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698D91" w14:textId="77777777" w:rsidR="00A56388" w:rsidRPr="00D45E1C" w:rsidRDefault="00A56388" w:rsidP="00A56388">
      <w:pPr>
        <w:jc w:val="center"/>
        <w:rPr>
          <w:rFonts w:cstheme="minorHAnsi"/>
          <w:b/>
          <w:sz w:val="24"/>
          <w:szCs w:val="24"/>
        </w:rPr>
      </w:pPr>
      <w:r>
        <w:rPr>
          <w:rFonts w:cstheme="minorHAnsi"/>
          <w:b/>
          <w:bCs/>
          <w:sz w:val="24"/>
          <w:szCs w:val="24"/>
          <w:lang w:val="cy-GB"/>
        </w:rPr>
        <w:t>COVID-19 a gwrthdra</w:t>
      </w:r>
      <w:bookmarkStart w:id="0" w:name="_GoBack"/>
      <w:bookmarkEnd w:id="0"/>
      <w:r>
        <w:rPr>
          <w:rFonts w:cstheme="minorHAnsi"/>
          <w:b/>
          <w:bCs/>
          <w:sz w:val="24"/>
          <w:szCs w:val="24"/>
          <w:lang w:val="cy-GB"/>
        </w:rPr>
        <w:t>wiadau traffig ffyrdd yng Nghymru – Barn iechyd cyhoeddus</w:t>
      </w:r>
    </w:p>
    <w:p w14:paraId="391CD3F5" w14:textId="77777777" w:rsidR="00084660" w:rsidRPr="00D45E1C" w:rsidRDefault="002874F0" w:rsidP="00D40EBB">
      <w:pPr>
        <w:rPr>
          <w:rFonts w:cstheme="minorHAnsi"/>
          <w:b/>
          <w:sz w:val="24"/>
          <w:szCs w:val="24"/>
        </w:rPr>
      </w:pPr>
      <w:r w:rsidRPr="00D45E1C">
        <w:rPr>
          <w:rFonts w:cstheme="minorHAnsi"/>
          <w:b/>
          <w:bCs/>
          <w:sz w:val="24"/>
          <w:szCs w:val="24"/>
          <w:lang w:val="cy-GB"/>
        </w:rPr>
        <w:t>Crynodeb</w:t>
      </w:r>
    </w:p>
    <w:p w14:paraId="21FC1DEB" w14:textId="77777777" w:rsidR="00084660" w:rsidRDefault="002874F0" w:rsidP="00D40EBB">
      <w:pPr>
        <w:rPr>
          <w:rFonts w:cstheme="minorHAnsi"/>
          <w:sz w:val="24"/>
          <w:szCs w:val="24"/>
        </w:rPr>
      </w:pPr>
      <w:r w:rsidRPr="00673562">
        <w:rPr>
          <w:rFonts w:cstheme="minorHAnsi"/>
          <w:sz w:val="24"/>
          <w:szCs w:val="24"/>
          <w:lang w:val="cy-GB"/>
        </w:rPr>
        <w:t xml:space="preserve">Roedd gostyngiad o tua 47% yn y defnydd o'r gwasanaeth iechyd ar gyfer trin anafiadau gwrthdrawiadau traffig ffyrdd rhwng mis Ionawr a mis Mai 2020 o gymharu â'r un cyfnod yn 2019. Roedd teithio am bob rheswm wedi gostwng yn dilyn y cyfyngiadau symud a gyflwynwyd ar 23 Mawrth 2020. </w:t>
      </w:r>
    </w:p>
    <w:p w14:paraId="601497E3" w14:textId="0D442D00" w:rsidR="00FA3794" w:rsidRDefault="002874F0" w:rsidP="00D40EBB">
      <w:pPr>
        <w:rPr>
          <w:rFonts w:cstheme="minorHAnsi"/>
          <w:sz w:val="24"/>
          <w:szCs w:val="24"/>
        </w:rPr>
      </w:pPr>
      <w:r>
        <w:rPr>
          <w:rFonts w:cstheme="minorHAnsi"/>
          <w:sz w:val="24"/>
          <w:szCs w:val="24"/>
          <w:lang w:val="cy-GB"/>
        </w:rPr>
        <w:t>Mae gwrthdrawiadau traffig ffyrdd yn un o ganlyniadau trafnidiaeth a theithio. Ar adeg pan oedd ymddygiad trafnidiaeth a theithio wedi newid roedd gostyngiadau sylweddol mewn gwrthdrawiadau traffig ffyrdd. Gall polisïau sy'n anelu at gynnal newidiadau yn yr ymddygiad h</w:t>
      </w:r>
      <w:r w:rsidR="00604419">
        <w:rPr>
          <w:rFonts w:cstheme="minorHAnsi"/>
          <w:sz w:val="24"/>
          <w:szCs w:val="24"/>
          <w:lang w:val="cy-GB"/>
        </w:rPr>
        <w:t>w</w:t>
      </w:r>
      <w:r>
        <w:rPr>
          <w:rFonts w:cstheme="minorHAnsi"/>
          <w:sz w:val="24"/>
          <w:szCs w:val="24"/>
          <w:lang w:val="cy-GB"/>
        </w:rPr>
        <w:t>n, fel annog teithio llesol, a hwyluso ei integreiddio â darpariaeth trafnidiaeth gyhoeddus ddiogel a chynaliadwy, pan fo'n briodol, lleihau'r defnydd o gar ac annog gweithio gartref, gyfrannu at ostyngiadau parhaus mewn gwrthdrawiadau.</w:t>
      </w:r>
    </w:p>
    <w:p w14:paraId="1113BF4D" w14:textId="77777777" w:rsidR="00244BF1" w:rsidRPr="00673562" w:rsidRDefault="002874F0" w:rsidP="00D40EBB">
      <w:pPr>
        <w:rPr>
          <w:rFonts w:cstheme="minorHAnsi"/>
          <w:sz w:val="24"/>
          <w:szCs w:val="24"/>
        </w:rPr>
      </w:pPr>
      <w:r>
        <w:rPr>
          <w:rFonts w:cstheme="minorHAnsi"/>
          <w:sz w:val="24"/>
          <w:szCs w:val="24"/>
          <w:lang w:val="cy-GB"/>
        </w:rPr>
        <w:t xml:space="preserve">Mae'r papur hwn yn ategu </w:t>
      </w:r>
      <w:hyperlink r:id="rId7" w:history="1">
        <w:r w:rsidRPr="00B912B7">
          <w:rPr>
            <w:rStyle w:val="Hyperlink"/>
            <w:rFonts w:cstheme="minorHAnsi"/>
            <w:i/>
            <w:iCs/>
            <w:sz w:val="24"/>
            <w:szCs w:val="24"/>
            <w:lang w:val="cy-GB"/>
          </w:rPr>
          <w:t>COVID ac ansawdd aer – barn iechyd cyhoeddus</w:t>
        </w:r>
      </w:hyperlink>
      <w:r>
        <w:rPr>
          <w:rFonts w:cstheme="minorHAnsi"/>
          <w:sz w:val="24"/>
          <w:szCs w:val="24"/>
          <w:lang w:val="cy-GB"/>
        </w:rPr>
        <w:t>, a baratowyd gan yr un tîm.</w:t>
      </w:r>
    </w:p>
    <w:p w14:paraId="3D9EACAA" w14:textId="77777777" w:rsidR="00D40EBB" w:rsidRPr="00D40EBB" w:rsidRDefault="002874F0" w:rsidP="00D40EBB">
      <w:pPr>
        <w:rPr>
          <w:rFonts w:cstheme="minorHAnsi"/>
          <w:b/>
          <w:sz w:val="24"/>
          <w:szCs w:val="24"/>
        </w:rPr>
      </w:pPr>
      <w:r w:rsidRPr="00D40EBB">
        <w:rPr>
          <w:rFonts w:cstheme="minorHAnsi"/>
          <w:b/>
          <w:bCs/>
          <w:sz w:val="24"/>
          <w:szCs w:val="24"/>
          <w:lang w:val="cy-GB"/>
        </w:rPr>
        <w:t>Data</w:t>
      </w:r>
    </w:p>
    <w:p w14:paraId="0B52B85F" w14:textId="77777777" w:rsidR="00786C8C" w:rsidRPr="00D40EBB" w:rsidRDefault="002874F0" w:rsidP="00D40EBB">
      <w:pPr>
        <w:rPr>
          <w:rFonts w:cstheme="minorHAnsi"/>
          <w:b/>
          <w:i/>
          <w:sz w:val="24"/>
          <w:szCs w:val="24"/>
        </w:rPr>
      </w:pPr>
      <w:r w:rsidRPr="00D40EBB">
        <w:rPr>
          <w:rFonts w:cstheme="minorHAnsi"/>
          <w:b/>
          <w:bCs/>
          <w:i/>
          <w:iCs/>
          <w:sz w:val="24"/>
          <w:szCs w:val="24"/>
          <w:lang w:val="cy-GB"/>
        </w:rPr>
        <w:t>Gwrthdrawiadau traffig ffyrdd a gafodd eu trin gan y gwasanaeth iechyd yn ystod y cyfyngiadau symud</w:t>
      </w:r>
    </w:p>
    <w:p w14:paraId="7F77DA57" w14:textId="3280B786" w:rsidR="008D5E71" w:rsidRPr="008D5E71" w:rsidRDefault="002874F0" w:rsidP="00D40EBB">
      <w:pPr>
        <w:rPr>
          <w:rFonts w:cstheme="minorHAnsi"/>
          <w:sz w:val="24"/>
          <w:szCs w:val="24"/>
        </w:rPr>
      </w:pPr>
      <w:r>
        <w:rPr>
          <w:rFonts w:cstheme="minorHAnsi"/>
          <w:sz w:val="24"/>
          <w:szCs w:val="24"/>
          <w:lang w:val="cy-GB"/>
        </w:rPr>
        <w:t>Yn ystod pum mis cyntaf 2019, roedd y presenoldeb mewn adrannau achosion brys yng Nghymru yn dilyn gwrthdrawiadau traffig ffyrdd, tua 1000 y mis (ffigur 1a:). Dechreuodd cyfyngiadau symud rhannol yng Nghymru ar 16 Mawrth 2020, gyda chyfyngiadau symud llawn ar 23 Mawrth. Roedd presenoldeb mewn adrannau achosion brys ar gyfer anafiadau gwrthdrawiadau traffig ffyrdd tua 50% yn is y</w:t>
      </w:r>
      <w:r w:rsidR="00604419">
        <w:rPr>
          <w:rFonts w:cstheme="minorHAnsi"/>
          <w:sz w:val="24"/>
          <w:szCs w:val="24"/>
          <w:lang w:val="cy-GB"/>
        </w:rPr>
        <w:t>m</w:t>
      </w:r>
      <w:r>
        <w:rPr>
          <w:rFonts w:cstheme="minorHAnsi"/>
          <w:sz w:val="24"/>
          <w:szCs w:val="24"/>
          <w:lang w:val="cy-GB"/>
        </w:rPr>
        <w:t xml:space="preserve"> mis Mawrth 2020 nag ym mis Mawrth 2019.</w:t>
      </w:r>
    </w:p>
    <w:p w14:paraId="340046E6" w14:textId="77777777" w:rsidR="008D5E71" w:rsidRDefault="002874F0" w:rsidP="00D40EBB">
      <w:pPr>
        <w:rPr>
          <w:rFonts w:cstheme="minorHAnsi"/>
          <w:i/>
          <w:sz w:val="24"/>
          <w:szCs w:val="24"/>
        </w:rPr>
      </w:pPr>
      <w:r>
        <w:rPr>
          <w:noProof/>
          <w:lang w:eastAsia="en-GB"/>
        </w:rPr>
        <w:drawing>
          <wp:inline distT="0" distB="0" distL="0" distR="0" wp14:anchorId="762B93C3" wp14:editId="00D08B71">
            <wp:extent cx="2733675" cy="1752600"/>
            <wp:effectExtent l="0" t="0" r="9525"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A35F59">
        <w:rPr>
          <w:noProof/>
          <w:lang w:eastAsia="en-GB"/>
        </w:rPr>
        <w:drawing>
          <wp:inline distT="0" distB="0" distL="0" distR="0" wp14:anchorId="5B821B3B" wp14:editId="295B9495">
            <wp:extent cx="2943225" cy="1743075"/>
            <wp:effectExtent l="0" t="0" r="9525"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9ACB2CF" w14:textId="77777777" w:rsidR="00A35F59" w:rsidRPr="009D7128" w:rsidRDefault="002874F0" w:rsidP="00A35F59">
      <w:pPr>
        <w:rPr>
          <w:rFonts w:cstheme="minorHAnsi"/>
          <w:b/>
          <w:sz w:val="16"/>
          <w:szCs w:val="16"/>
        </w:rPr>
      </w:pPr>
      <w:r w:rsidRPr="009D7128">
        <w:rPr>
          <w:rFonts w:cstheme="minorHAnsi"/>
          <w:b/>
          <w:bCs/>
          <w:sz w:val="16"/>
          <w:szCs w:val="16"/>
          <w:lang w:val="cy-GB"/>
        </w:rPr>
        <w:t>Ffigur 1a:- Presenoldeb mewn adrannau achosion brys yn dilyn gwrthdrawiadau traffig ffyrdd; 2019 o gymharu â 2020</w:t>
      </w:r>
      <w:r w:rsidRPr="009D7128">
        <w:rPr>
          <w:rFonts w:cstheme="minorHAnsi"/>
          <w:b/>
          <w:bCs/>
          <w:sz w:val="16"/>
          <w:szCs w:val="16"/>
          <w:lang w:val="cy-GB"/>
        </w:rPr>
        <w:tab/>
        <w:t>Ffigur 1b:- Derbyniadau cleifion mewnol yn dilyn gwrthdrawiadau traffig ffyrdd; 2019 o gymharu â 2020</w:t>
      </w:r>
    </w:p>
    <w:p w14:paraId="41546D17" w14:textId="77777777" w:rsidR="00D40EBB" w:rsidRPr="00A35F59" w:rsidRDefault="002874F0" w:rsidP="00D40EBB">
      <w:pPr>
        <w:rPr>
          <w:rFonts w:cstheme="minorHAnsi"/>
          <w:b/>
          <w:i/>
          <w:sz w:val="24"/>
          <w:szCs w:val="24"/>
        </w:rPr>
      </w:pPr>
      <w:r>
        <w:rPr>
          <w:rFonts w:cstheme="minorHAnsi"/>
          <w:sz w:val="24"/>
          <w:szCs w:val="24"/>
          <w:lang w:val="cy-GB"/>
        </w:rPr>
        <w:t>Yn 2019, roedd derbyniadau cleifion mewnol yn dilyn gwrthdrawiadau traffig ffyrdd wedi codi rhwng mis Ionawr a mis Mai (ffigur 1b), ond yn 2020 roedd y duedd ar i lawr ar draws yr un cyfnod.</w:t>
      </w:r>
    </w:p>
    <w:p w14:paraId="5EE9E68B" w14:textId="77777777" w:rsidR="00D40EBB" w:rsidRPr="00D40EBB" w:rsidRDefault="002874F0" w:rsidP="00D40EBB">
      <w:pPr>
        <w:pStyle w:val="Default"/>
        <w:spacing w:after="160" w:line="259" w:lineRule="auto"/>
        <w:rPr>
          <w:rFonts w:asciiTheme="minorHAnsi" w:hAnsiTheme="minorHAnsi" w:cstheme="minorHAnsi"/>
          <w:b/>
          <w:i/>
        </w:rPr>
      </w:pPr>
      <w:r w:rsidRPr="00D40EBB">
        <w:rPr>
          <w:rFonts w:ascii="Calibri" w:hAnsi="Calibri" w:cstheme="minorHAnsi"/>
          <w:b/>
          <w:bCs/>
          <w:i/>
          <w:iCs/>
          <w:lang w:val="cy-GB"/>
        </w:rPr>
        <w:t>Newidiadau mewn ymddygiad teithio</w:t>
      </w:r>
    </w:p>
    <w:p w14:paraId="4E3E3E82" w14:textId="77777777" w:rsidR="00D40EBB" w:rsidRPr="00D45E1C" w:rsidRDefault="002874F0" w:rsidP="00D40EBB">
      <w:pPr>
        <w:rPr>
          <w:rFonts w:cstheme="minorHAnsi"/>
          <w:sz w:val="24"/>
          <w:szCs w:val="24"/>
        </w:rPr>
      </w:pPr>
      <w:r w:rsidRPr="00211D45">
        <w:rPr>
          <w:rFonts w:cstheme="minorHAnsi"/>
          <w:sz w:val="24"/>
          <w:szCs w:val="24"/>
          <w:lang w:val="cy-GB"/>
        </w:rPr>
        <w:t xml:space="preserve">Mae meintioli effeithiau'r cyfyngiadau symud ar deithio yn bwysig er mwyn deall newidiadau o ran gwrthdrawiadau traffig ffyrdd. Yn seiliedig ar gyfartaleddau ar draws pob </w:t>
      </w:r>
      <w:r w:rsidRPr="00211D45">
        <w:rPr>
          <w:rFonts w:cstheme="minorHAnsi"/>
          <w:sz w:val="24"/>
          <w:szCs w:val="24"/>
          <w:lang w:val="cy-GB"/>
        </w:rPr>
        <w:lastRenderedPageBreak/>
        <w:t>un o'r 22 o awdurdodau lleol yng Nghymru, yn ystod yr wythnos cyn y cyfyngiadau symud gwelwyd mwy o deithio i brynu nwyddau groser a fferylliaeth, ond llai ar gyfer cludo, y gweithlu a manwerthu a hamdden (ffigur 2). Yn ystod y cyfyngiadau symud roedd yr holl deithio wedi gostwng, ond wrth i'r cyfyngiadau symud leddfu, roedd teithio wedi cynyddu. Fodd bynnag, mae'r data hyn yn dangos teithio yn unig, nid ydynt yn dangos sut roedd pobl yn teithio ac a oedd hyn wedi newid rhwng y cyfnod cyn ac ar ôl y cyfyngiadau symud.</w:t>
      </w:r>
    </w:p>
    <w:p w14:paraId="44F0DD2A" w14:textId="77777777" w:rsidR="00D40EBB" w:rsidRPr="00D45E1C" w:rsidRDefault="002874F0" w:rsidP="00D40EBB">
      <w:pPr>
        <w:rPr>
          <w:rFonts w:cstheme="minorHAnsi"/>
          <w:sz w:val="24"/>
          <w:szCs w:val="24"/>
        </w:rPr>
      </w:pPr>
      <w:r>
        <w:rPr>
          <w:noProof/>
          <w:lang w:eastAsia="en-GB"/>
        </w:rPr>
        <w:drawing>
          <wp:inline distT="0" distB="0" distL="0" distR="0" wp14:anchorId="395FD785" wp14:editId="2CDBD66B">
            <wp:extent cx="5467350" cy="2276475"/>
            <wp:effectExtent l="0" t="0" r="0"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7616939" w14:textId="77777777" w:rsidR="00A35F59" w:rsidRDefault="002874F0" w:rsidP="00D40EBB">
      <w:pPr>
        <w:rPr>
          <w:rFonts w:cstheme="minorHAnsi"/>
          <w:b/>
          <w:sz w:val="24"/>
          <w:szCs w:val="24"/>
        </w:rPr>
      </w:pPr>
      <w:r w:rsidRPr="009D7128">
        <w:rPr>
          <w:rFonts w:cstheme="minorHAnsi"/>
          <w:b/>
          <w:bCs/>
          <w:sz w:val="16"/>
          <w:szCs w:val="16"/>
          <w:lang w:val="cy-GB"/>
        </w:rPr>
        <w:t>Ffigur 2:- Tueddiadau mewn ymddygiad teithio ar draws Cymru – cyfartaleddau treigl dros dri diwrnod</w:t>
      </w:r>
      <w:r>
        <w:rPr>
          <w:rStyle w:val="FootnoteReference"/>
          <w:rFonts w:cstheme="minorHAnsi"/>
          <w:b/>
          <w:sz w:val="16"/>
          <w:szCs w:val="16"/>
        </w:rPr>
        <w:footnoteReference w:id="1"/>
      </w:r>
    </w:p>
    <w:p w14:paraId="1F0EAF2A" w14:textId="77777777" w:rsidR="00E00FF3" w:rsidRDefault="002874F0" w:rsidP="00D40EBB">
      <w:pPr>
        <w:rPr>
          <w:rFonts w:cstheme="minorHAnsi"/>
          <w:b/>
          <w:sz w:val="24"/>
          <w:szCs w:val="24"/>
        </w:rPr>
      </w:pPr>
      <w:r>
        <w:rPr>
          <w:rFonts w:cstheme="minorHAnsi"/>
          <w:b/>
          <w:bCs/>
          <w:sz w:val="24"/>
          <w:szCs w:val="24"/>
          <w:lang w:val="cy-GB"/>
        </w:rPr>
        <w:t>Sylwadaeth</w:t>
      </w:r>
    </w:p>
    <w:p w14:paraId="1162909D" w14:textId="77777777" w:rsidR="00C00EBA" w:rsidRPr="00E00FF3" w:rsidRDefault="002874F0" w:rsidP="00D40EBB">
      <w:pPr>
        <w:rPr>
          <w:rFonts w:cstheme="minorHAnsi"/>
          <w:b/>
          <w:i/>
          <w:sz w:val="24"/>
          <w:szCs w:val="24"/>
        </w:rPr>
      </w:pPr>
      <w:r w:rsidRPr="00E00FF3">
        <w:rPr>
          <w:rFonts w:cstheme="minorHAnsi"/>
          <w:b/>
          <w:bCs/>
          <w:i/>
          <w:iCs/>
          <w:sz w:val="24"/>
          <w:szCs w:val="24"/>
          <w:lang w:val="cy-GB"/>
        </w:rPr>
        <w:t xml:space="preserve">A oedd llai o wrthdrawiadau ffyrdd oherwydd y cyfyngiadau symud? </w:t>
      </w:r>
    </w:p>
    <w:p w14:paraId="0D528CE9" w14:textId="20E82343" w:rsidR="00C00EBA" w:rsidRDefault="002874F0" w:rsidP="00D40EBB">
      <w:pPr>
        <w:rPr>
          <w:rFonts w:cstheme="minorHAnsi"/>
          <w:sz w:val="24"/>
          <w:szCs w:val="24"/>
        </w:rPr>
      </w:pPr>
      <w:r>
        <w:rPr>
          <w:rFonts w:cstheme="minorHAnsi"/>
          <w:sz w:val="24"/>
          <w:szCs w:val="24"/>
          <w:lang w:val="cy-GB"/>
        </w:rPr>
        <w:t>Mae'r rhain yn gofnodion o'r defnydd o'r gwasanaeth iechyd a data teithio, yn hytrach na chofnodion o wrthdrawiadau traffig ffyrdd. At hynny, bydd angen dadansoddiad manylach, o'r defnydd o'r gwasanaeth iechyd, o bosibl yn cynnwys data ambiwlans ac unedau mân anafiadau i gadarnhau a geisiwyd triniaeth mewn mannau eraill, yn ogystal â dadansoddi data gwrthdrawiadau traffig ffyrdd yr heddlu. Mae data gwrthdrawiadau traffig ffyrdd yr heddlu yn bwysig i ganfod a oedd achosion o wrthdrawiadau traffig ffyrdd wedi newid yn ystod y cyfyngiadau symud. Gall y tueddiadau a ddangosir yma fod o ganlyniad i lai o wrthdrawiadau, ond mae angen ystyried posibiliadau eraill.</w:t>
      </w:r>
    </w:p>
    <w:p w14:paraId="32F49120" w14:textId="77777777" w:rsidR="00C10EE1" w:rsidRDefault="002874F0" w:rsidP="00D40EBB">
      <w:pPr>
        <w:rPr>
          <w:rFonts w:cstheme="minorHAnsi"/>
          <w:sz w:val="24"/>
          <w:szCs w:val="24"/>
        </w:rPr>
      </w:pPr>
      <w:r>
        <w:rPr>
          <w:rFonts w:cstheme="minorHAnsi"/>
          <w:sz w:val="24"/>
          <w:szCs w:val="24"/>
          <w:lang w:val="cy-GB"/>
        </w:rPr>
        <w:t xml:space="preserve">Pan fydd pobl yn cael eu hanafu, mae llawer o ffactorau'n dylanwadu ar eu penderfyniad i geisio triniaeth. Ers i ledaeniad COVID19 yn y gymuned ddechrau, mae'r defnydd o wasanaethau'r GIG, hyd yn oed ar gyfer cyflyrau sy'n bygwth bywyd, wedi gostwng yn sylweddol. Gallai hyn olygu bod pobl sy'n dioddef mân anafiadau mewn gwrthdrawiadau traffig ffyrdd wedi dewis peidio â cheisio triniaeth. </w:t>
      </w:r>
    </w:p>
    <w:p w14:paraId="6B70413A" w14:textId="77777777" w:rsidR="00C00EBA" w:rsidRDefault="002874F0" w:rsidP="00D40EBB">
      <w:pPr>
        <w:rPr>
          <w:rFonts w:cstheme="minorHAnsi"/>
          <w:sz w:val="24"/>
          <w:szCs w:val="24"/>
        </w:rPr>
      </w:pPr>
      <w:r>
        <w:rPr>
          <w:rFonts w:cstheme="minorHAnsi"/>
          <w:sz w:val="24"/>
          <w:szCs w:val="24"/>
          <w:lang w:val="cy-GB"/>
        </w:rPr>
        <w:t>Nid yw'r data hyn yn rhoi unrhyw arwydd o ddifrifoldeb. Drwy gydol y cyfyngiadau symud, cafwyd adroddiadau bod y cerbydau a oedd yn symud yn gwneud hynny ar gyflymder uwch nag arfer</w:t>
      </w:r>
      <w:r>
        <w:rPr>
          <w:rStyle w:val="FootnoteReference"/>
          <w:rFonts w:cstheme="minorHAnsi"/>
          <w:sz w:val="24"/>
          <w:szCs w:val="24"/>
        </w:rPr>
        <w:footnoteReference w:id="2"/>
      </w:r>
      <w:r>
        <w:rPr>
          <w:rFonts w:cstheme="minorHAnsi"/>
          <w:sz w:val="24"/>
          <w:szCs w:val="24"/>
          <w:lang w:val="cy-GB"/>
        </w:rPr>
        <w:t xml:space="preserve">. Mae'n bosibl bod hyn wedi cynyddu'r risg o wrthdrawiadau a chynyddu </w:t>
      </w:r>
      <w:r>
        <w:rPr>
          <w:rFonts w:cstheme="minorHAnsi"/>
          <w:sz w:val="24"/>
          <w:szCs w:val="24"/>
          <w:lang w:val="cy-GB"/>
        </w:rPr>
        <w:lastRenderedPageBreak/>
        <w:t>difrifoldeb yr anaf mewn unrhyw wrthdrawiad a ddigwyddodd. Felly, er bod llai o wrthdrawiadau, gallai'r rhai a ddigwyddodd fod wedi arwain at anafiadau mwy difrifol.</w:t>
      </w:r>
    </w:p>
    <w:p w14:paraId="4C834EA6" w14:textId="77777777" w:rsidR="00D40EBB" w:rsidRDefault="002874F0" w:rsidP="00D40EBB">
      <w:pPr>
        <w:rPr>
          <w:rFonts w:cstheme="minorHAnsi"/>
          <w:sz w:val="24"/>
          <w:szCs w:val="24"/>
        </w:rPr>
      </w:pPr>
      <w:r>
        <w:rPr>
          <w:rFonts w:cstheme="minorHAnsi"/>
          <w:sz w:val="24"/>
          <w:szCs w:val="24"/>
          <w:lang w:val="cy-GB"/>
        </w:rPr>
        <w:t>O ran derbyniadau cleifion mewnol, efallai nad yw derbyniadau cynyddol yn 2019 yn adlewyrchu cynnydd mewn damweiniau, ond newid yn y trothwy ar gyfer derbyn, o bosibl wrth i bwysau'r gaeaf leihau. Yn yr un modd llai, efallai fod llai o dderbyniadau o ganlyniad i lai o wrthdrawiadau, neu i drothwyon derbyn sy'n newid.</w:t>
      </w:r>
    </w:p>
    <w:p w14:paraId="646D0474" w14:textId="77777777" w:rsidR="00084660" w:rsidRPr="00E00FF3" w:rsidRDefault="002874F0" w:rsidP="00D40EBB">
      <w:pPr>
        <w:rPr>
          <w:rFonts w:cstheme="minorHAnsi"/>
          <w:b/>
          <w:bCs/>
          <w:i/>
          <w:sz w:val="24"/>
          <w:szCs w:val="24"/>
        </w:rPr>
      </w:pPr>
      <w:r w:rsidRPr="00E00FF3">
        <w:rPr>
          <w:rFonts w:cstheme="minorHAnsi"/>
          <w:b/>
          <w:bCs/>
          <w:i/>
          <w:iCs/>
          <w:sz w:val="24"/>
          <w:szCs w:val="24"/>
          <w:lang w:val="cy-GB"/>
        </w:rPr>
        <w:t>Beth mae hyn yn ei olygu i iechyd cyhoeddus a pholisi iechyd cyhoeddus?</w:t>
      </w:r>
    </w:p>
    <w:p w14:paraId="4550C14A" w14:textId="77777777" w:rsidR="00C10EE1" w:rsidRDefault="002874F0" w:rsidP="00D40EBB">
      <w:pPr>
        <w:rPr>
          <w:rFonts w:cstheme="minorHAnsi"/>
          <w:bCs/>
          <w:sz w:val="24"/>
          <w:szCs w:val="24"/>
        </w:rPr>
      </w:pPr>
      <w:r>
        <w:rPr>
          <w:rFonts w:cstheme="minorHAnsi"/>
          <w:bCs/>
          <w:sz w:val="24"/>
          <w:szCs w:val="24"/>
          <w:lang w:val="cy-GB"/>
        </w:rPr>
        <w:t>Mae gwrthdrawiadau traffig ffyrdd yn achos sylweddol o niwed i iechyd ac yn faich ar wasanaethau iechyd. Maent hefyd yn gosod beichiau anuniongyrchol ar iechyd a'r economi. Os yw'r data hyn yn adlewyrchiad cywir o ostyngiadau mewn gwrthdrawiadau traffig ffyrdd o ganlyniad i'r cyfyngiadau symud, yna gallai'r manteision fod yn bwysig iawn.</w:t>
      </w:r>
    </w:p>
    <w:p w14:paraId="461403FB" w14:textId="77777777" w:rsidR="00176D55" w:rsidRPr="000648C0" w:rsidRDefault="002874F0" w:rsidP="00D40EBB">
      <w:pPr>
        <w:rPr>
          <w:rFonts w:cstheme="minorHAnsi"/>
          <w:bCs/>
          <w:sz w:val="24"/>
          <w:szCs w:val="24"/>
        </w:rPr>
      </w:pPr>
      <w:r>
        <w:rPr>
          <w:rFonts w:cstheme="minorHAnsi"/>
          <w:bCs/>
          <w:sz w:val="24"/>
          <w:szCs w:val="24"/>
          <w:lang w:val="cy-GB"/>
        </w:rPr>
        <w:t>Yn ogystal, mae COVID-19 wedi rhoi pwysau sylweddol ar y GIG am gyfnod amhenodol o amser, a bydd yn parhau i wneud hynny. Hyd yn oed pan fydd mynychder a nifer yr achosion o COVID-19 yn gostwng, bydd angen i'r GIG adfer a mynd i'r afael â'r ‘ôl-groniad’. Wrth i hyn ddigwydd, mae'n bwysig lleihau unrhyw faich y gellir ei osgoi ar y GIG ac mae gwrthdrawiadau traffig ffyrdd yn enghraifft dda o hyn. Felly, mae nodi ffyrdd o gynnal gostyngiadau parhaus o ran gwrthdrawiadau traffig ffyrdd yn hanfodol yn y tymor byr, y tymor canolig a'r hirdymor.</w:t>
      </w:r>
    </w:p>
    <w:p w14:paraId="08E994B2" w14:textId="77777777" w:rsidR="00527288" w:rsidRDefault="002874F0" w:rsidP="00D40EBB">
      <w:pPr>
        <w:rPr>
          <w:rFonts w:cstheme="minorHAnsi"/>
          <w:sz w:val="24"/>
          <w:szCs w:val="24"/>
        </w:rPr>
      </w:pPr>
      <w:r w:rsidRPr="007F1BCC">
        <w:rPr>
          <w:rFonts w:cstheme="minorHAnsi"/>
          <w:sz w:val="24"/>
          <w:szCs w:val="24"/>
          <w:lang w:val="cy-GB"/>
        </w:rPr>
        <w:t xml:space="preserve">Teithio a thrafnidiaeth sy'n cyfrannu at wrthdrawiadau traffig ffyrdd. Mae tystiolaeth anecdotaidd yn awgrymu bod llawer o bobl yn teithio'n lleol ar droed ac ar feic yn ystod y cyfyngiadau symud, gyda llawer llai o deithio mewn car. Mae hefyd yn ymddangos bod llai o deithio yn gyffredinol (ffigur 2), gan leihau'r amlygiad posibl yn sylweddol. Mae hyn yn gyson ag </w:t>
      </w:r>
      <w:hyperlink r:id="rId11" w:history="1">
        <w:r w:rsidRPr="00B912B7">
          <w:rPr>
            <w:rStyle w:val="Hyperlink"/>
            <w:rFonts w:cstheme="minorHAnsi"/>
            <w:sz w:val="24"/>
            <w:szCs w:val="24"/>
            <w:lang w:val="cy-GB"/>
          </w:rPr>
          <w:t>asesiadau o newidiadau mewn ansawdd aer</w:t>
        </w:r>
      </w:hyperlink>
      <w:r w:rsidRPr="007F1BCC">
        <w:rPr>
          <w:rFonts w:cstheme="minorHAnsi"/>
          <w:sz w:val="24"/>
          <w:szCs w:val="24"/>
          <w:lang w:val="cy-GB"/>
        </w:rPr>
        <w:t xml:space="preserve"> yn ystod yr un cyfnod a gynhaliwyd gan y tîm hwn.</w:t>
      </w:r>
    </w:p>
    <w:p w14:paraId="03FA2258" w14:textId="77777777" w:rsidR="00EF687A" w:rsidRPr="00E00FF3" w:rsidRDefault="002874F0" w:rsidP="00527288">
      <w:pPr>
        <w:rPr>
          <w:rFonts w:cstheme="minorHAnsi"/>
          <w:sz w:val="24"/>
          <w:szCs w:val="24"/>
        </w:rPr>
      </w:pPr>
      <w:r>
        <w:rPr>
          <w:rFonts w:cstheme="minorHAnsi"/>
          <w:sz w:val="24"/>
          <w:szCs w:val="24"/>
          <w:lang w:val="cy-GB"/>
        </w:rPr>
        <w:t xml:space="preserve">Gyda'i gilydd, felly, mae'r data hyn yn awgrymu y bu newidiadau sylweddol o ran yr angen i deithio a'r modd teithio a allai fod wedi cyfrannu at ostyngiad mewn gwrthdrawiadau traffig ffyrdd. Gallai polisïau sy'n ymgorffori camau gweithredu i annog a chefnogi teithio llesol, a hwyluso'r broses o integreiddio hyn â darpariaeth trafnidiaeth gyhoeddus ddiogel a chynaliadwy, ynghyd â threfniadau gweithio gartref hyblyg lle y bo'n bosibl, wneud gwahaniaeth cadarnhaol i wrthdrawiadau traffig ffyrdd, iechyd cyhoeddus ac iechyd amgylcheddol ehangach yng Nghymru. </w:t>
      </w:r>
    </w:p>
    <w:p w14:paraId="2E044DDB" w14:textId="77777777" w:rsidR="00084660" w:rsidRPr="00D45E1C" w:rsidRDefault="00084660" w:rsidP="00D40EBB">
      <w:pPr>
        <w:rPr>
          <w:rFonts w:cstheme="minorHAnsi"/>
          <w:b/>
          <w:sz w:val="24"/>
          <w:szCs w:val="24"/>
        </w:rPr>
      </w:pPr>
    </w:p>
    <w:sectPr w:rsidR="00084660" w:rsidRPr="00D45E1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C8AD61" w14:textId="77777777" w:rsidR="00181375" w:rsidRDefault="00181375">
      <w:pPr>
        <w:spacing w:after="0" w:line="240" w:lineRule="auto"/>
      </w:pPr>
      <w:r>
        <w:separator/>
      </w:r>
    </w:p>
  </w:endnote>
  <w:endnote w:type="continuationSeparator" w:id="0">
    <w:p w14:paraId="77931636" w14:textId="77777777" w:rsidR="00181375" w:rsidRDefault="001813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3D3663" w14:textId="77777777" w:rsidR="00181375" w:rsidRDefault="00181375" w:rsidP="00D37DFA">
      <w:pPr>
        <w:spacing w:after="0" w:line="240" w:lineRule="auto"/>
      </w:pPr>
      <w:r>
        <w:separator/>
      </w:r>
    </w:p>
  </w:footnote>
  <w:footnote w:type="continuationSeparator" w:id="0">
    <w:p w14:paraId="21F3AB94" w14:textId="77777777" w:rsidR="00181375" w:rsidRDefault="00181375" w:rsidP="00D37DFA">
      <w:pPr>
        <w:spacing w:after="0" w:line="240" w:lineRule="auto"/>
      </w:pPr>
      <w:r>
        <w:continuationSeparator/>
      </w:r>
    </w:p>
  </w:footnote>
  <w:footnote w:id="1">
    <w:p w14:paraId="6142D382" w14:textId="77777777" w:rsidR="00D37DFA" w:rsidRPr="00B912B7" w:rsidRDefault="002874F0">
      <w:pPr>
        <w:pStyle w:val="FootnoteText"/>
        <w:rPr>
          <w:rFonts w:cstheme="minorHAnsi"/>
          <w:sz w:val="16"/>
          <w:szCs w:val="16"/>
        </w:rPr>
      </w:pPr>
      <w:r w:rsidRPr="00B912B7">
        <w:rPr>
          <w:rStyle w:val="FootnoteReference"/>
          <w:rFonts w:cstheme="minorHAnsi"/>
          <w:sz w:val="16"/>
          <w:szCs w:val="16"/>
        </w:rPr>
        <w:footnoteRef/>
      </w:r>
      <w:r w:rsidRPr="00B912B7">
        <w:rPr>
          <w:rFonts w:cstheme="minorHAnsi"/>
          <w:sz w:val="16"/>
          <w:szCs w:val="16"/>
          <w:lang w:val="cy-GB"/>
        </w:rPr>
        <w:t xml:space="preserve"> </w:t>
      </w:r>
      <w:hyperlink r:id="rId1" w:history="1">
        <w:r w:rsidRPr="00B912B7">
          <w:rPr>
            <w:rStyle w:val="Hyperlink"/>
            <w:rFonts w:cstheme="minorHAnsi"/>
            <w:sz w:val="16"/>
            <w:szCs w:val="16"/>
            <w:lang w:val="cy-GB"/>
          </w:rPr>
          <w:t>https://www.google.com/covid19/mobility/</w:t>
        </w:r>
      </w:hyperlink>
    </w:p>
  </w:footnote>
  <w:footnote w:id="2">
    <w:p w14:paraId="5BB8FA1E" w14:textId="77777777" w:rsidR="00B912B7" w:rsidRPr="00B912B7" w:rsidRDefault="002874F0">
      <w:pPr>
        <w:pStyle w:val="FootnoteText"/>
        <w:rPr>
          <w:rFonts w:cstheme="minorHAnsi"/>
          <w:sz w:val="16"/>
          <w:szCs w:val="16"/>
        </w:rPr>
      </w:pPr>
      <w:r w:rsidRPr="00B912B7">
        <w:rPr>
          <w:rStyle w:val="FootnoteReference"/>
          <w:rFonts w:cstheme="minorHAnsi"/>
          <w:sz w:val="16"/>
          <w:szCs w:val="16"/>
        </w:rPr>
        <w:footnoteRef/>
      </w:r>
      <w:r w:rsidRPr="00B912B7">
        <w:rPr>
          <w:rFonts w:cstheme="minorHAnsi"/>
          <w:sz w:val="16"/>
          <w:szCs w:val="16"/>
          <w:lang w:val="cy-GB"/>
        </w:rPr>
        <w:t xml:space="preserve"> </w:t>
      </w:r>
      <w:hyperlink r:id="rId2" w:history="1">
        <w:r w:rsidRPr="00B912B7">
          <w:rPr>
            <w:rStyle w:val="Hyperlink"/>
            <w:rFonts w:cstheme="minorHAnsi"/>
            <w:sz w:val="16"/>
            <w:szCs w:val="16"/>
            <w:lang w:val="cy-GB"/>
          </w:rPr>
          <w:t>https://www.bbc.co.uk/news/uk-england-53215121</w:t>
        </w:r>
      </w:hyperlink>
    </w:p>
    <w:p w14:paraId="62602D35" w14:textId="77777777" w:rsidR="00B912B7" w:rsidRPr="00B912B7" w:rsidRDefault="00181375">
      <w:pPr>
        <w:pStyle w:val="FootnoteText"/>
        <w:rPr>
          <w:rFonts w:cstheme="minorHAnsi"/>
          <w:sz w:val="16"/>
          <w:szCs w:val="16"/>
        </w:rPr>
      </w:pPr>
      <w:hyperlink r:id="rId3" w:history="1">
        <w:r w:rsidR="002874F0" w:rsidRPr="00B912B7">
          <w:rPr>
            <w:rStyle w:val="Hyperlink"/>
            <w:rFonts w:cstheme="minorHAnsi"/>
            <w:sz w:val="16"/>
            <w:szCs w:val="16"/>
            <w:lang w:val="cy-GB"/>
          </w:rPr>
          <w:t>https://www.theguardian.com/uk-news/2020/jun/02/rac-hits-out-at-truly-shocking-lockdown-speeding-offences</w:t>
        </w:r>
      </w:hyperlink>
      <w:r w:rsidR="002874F0" w:rsidRPr="00B912B7">
        <w:rPr>
          <w:rFonts w:cstheme="minorHAnsi"/>
          <w:sz w:val="16"/>
          <w:szCs w:val="16"/>
          <w:lang w:val="cy-GB"/>
        </w:rPr>
        <w:t xml:space="preserve"> </w:t>
      </w:r>
    </w:p>
    <w:p w14:paraId="1EB34211" w14:textId="77777777" w:rsidR="00B912B7" w:rsidRPr="00B912B7" w:rsidRDefault="00181375">
      <w:pPr>
        <w:pStyle w:val="FootnoteText"/>
        <w:rPr>
          <w:rFonts w:cstheme="minorHAnsi"/>
          <w:sz w:val="16"/>
          <w:szCs w:val="16"/>
        </w:rPr>
      </w:pPr>
      <w:hyperlink r:id="rId4" w:history="1">
        <w:r w:rsidR="002874F0" w:rsidRPr="00B912B7">
          <w:rPr>
            <w:rStyle w:val="Hyperlink"/>
            <w:rFonts w:cstheme="minorHAnsi"/>
            <w:sz w:val="16"/>
            <w:szCs w:val="16"/>
            <w:lang w:val="cy-GB"/>
          </w:rPr>
          <w:t>https://www.walesonline.co.uk/news/wales-news/coronavirus-lockdown-speeding-police-roads-18427901</w:t>
        </w:r>
      </w:hyperlink>
      <w:r w:rsidR="002874F0" w:rsidRPr="00B912B7">
        <w:rPr>
          <w:rFonts w:cstheme="minorHAnsi"/>
          <w:sz w:val="16"/>
          <w:szCs w:val="16"/>
          <w:lang w:val="cy-GB"/>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7C57"/>
    <w:rsid w:val="000648C0"/>
    <w:rsid w:val="00084660"/>
    <w:rsid w:val="00132AB6"/>
    <w:rsid w:val="00176D55"/>
    <w:rsid w:val="00181375"/>
    <w:rsid w:val="00211D45"/>
    <w:rsid w:val="002277CF"/>
    <w:rsid w:val="00244BF1"/>
    <w:rsid w:val="002874F0"/>
    <w:rsid w:val="0029441C"/>
    <w:rsid w:val="00297C57"/>
    <w:rsid w:val="00345DE9"/>
    <w:rsid w:val="003D1D67"/>
    <w:rsid w:val="004B18F0"/>
    <w:rsid w:val="004B5FB8"/>
    <w:rsid w:val="004D7C79"/>
    <w:rsid w:val="00527288"/>
    <w:rsid w:val="00604419"/>
    <w:rsid w:val="00631D99"/>
    <w:rsid w:val="00673562"/>
    <w:rsid w:val="007427A3"/>
    <w:rsid w:val="00786C8C"/>
    <w:rsid w:val="007F1BCC"/>
    <w:rsid w:val="0084364A"/>
    <w:rsid w:val="00844F89"/>
    <w:rsid w:val="008A09CF"/>
    <w:rsid w:val="008D5E71"/>
    <w:rsid w:val="0098378E"/>
    <w:rsid w:val="009D6BFA"/>
    <w:rsid w:val="009D7128"/>
    <w:rsid w:val="00A35F59"/>
    <w:rsid w:val="00A56388"/>
    <w:rsid w:val="00AC2CAB"/>
    <w:rsid w:val="00B912B7"/>
    <w:rsid w:val="00BA26EE"/>
    <w:rsid w:val="00C00EBA"/>
    <w:rsid w:val="00C10EE1"/>
    <w:rsid w:val="00D37DFA"/>
    <w:rsid w:val="00D40EBB"/>
    <w:rsid w:val="00D45E1C"/>
    <w:rsid w:val="00DC5657"/>
    <w:rsid w:val="00DD6564"/>
    <w:rsid w:val="00E00FF3"/>
    <w:rsid w:val="00E357CB"/>
    <w:rsid w:val="00E508F9"/>
    <w:rsid w:val="00EF687A"/>
    <w:rsid w:val="00F8418A"/>
    <w:rsid w:val="00FA37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CE89E1"/>
  <w15:chartTrackingRefBased/>
  <w15:docId w15:val="{DAC4080A-1BD1-4DAA-BB5E-F24535656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84660"/>
    <w:pPr>
      <w:autoSpaceDE w:val="0"/>
      <w:autoSpaceDN w:val="0"/>
      <w:adjustRightInd w:val="0"/>
      <w:spacing w:after="0" w:line="240" w:lineRule="auto"/>
    </w:pPr>
    <w:rPr>
      <w:rFonts w:ascii="Arial" w:hAnsi="Arial" w:cs="Arial"/>
      <w:color w:val="000000"/>
      <w:sz w:val="24"/>
      <w:szCs w:val="24"/>
    </w:rPr>
  </w:style>
  <w:style w:type="paragraph" w:styleId="FootnoteText">
    <w:name w:val="footnote text"/>
    <w:basedOn w:val="Normal"/>
    <w:link w:val="FootnoteTextChar"/>
    <w:uiPriority w:val="99"/>
    <w:semiHidden/>
    <w:unhideWhenUsed/>
    <w:rsid w:val="00D37DF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37DFA"/>
    <w:rPr>
      <w:sz w:val="20"/>
      <w:szCs w:val="20"/>
    </w:rPr>
  </w:style>
  <w:style w:type="character" w:styleId="FootnoteReference">
    <w:name w:val="footnote reference"/>
    <w:basedOn w:val="DefaultParagraphFont"/>
    <w:uiPriority w:val="99"/>
    <w:semiHidden/>
    <w:unhideWhenUsed/>
    <w:rsid w:val="00D37DFA"/>
    <w:rPr>
      <w:vertAlign w:val="superscript"/>
    </w:rPr>
  </w:style>
  <w:style w:type="character" w:styleId="Hyperlink">
    <w:name w:val="Hyperlink"/>
    <w:basedOn w:val="DefaultParagraphFont"/>
    <w:uiPriority w:val="99"/>
    <w:unhideWhenUsed/>
    <w:rsid w:val="00D37DF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airquality.gov.wales/reports-seminars/report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airquality.gov.wales/reports-seminars/reports" TargetMode="External"/><Relationship Id="rId5" Type="http://schemas.openxmlformats.org/officeDocument/2006/relationships/footnotes" Target="footnotes.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s>
</file>

<file path=word/_rels/footnotes.xml.rels><?xml version="1.0" encoding="UTF-8" standalone="yes"?>
<Relationships xmlns="http://schemas.openxmlformats.org/package/2006/relationships"><Relationship Id="rId3" Type="http://schemas.openxmlformats.org/officeDocument/2006/relationships/hyperlink" Target="https://www.theguardian.com/uk-news/2020/jun/02/rac-hits-out-at-truly-shocking-lockdown-speeding-offences" TargetMode="External"/><Relationship Id="rId2" Type="http://schemas.openxmlformats.org/officeDocument/2006/relationships/hyperlink" Target="https://www.bbc.co.uk/news/uk-england-53215121" TargetMode="External"/><Relationship Id="rId1" Type="http://schemas.openxmlformats.org/officeDocument/2006/relationships/hyperlink" Target="https://www.google.com/covid19/mobility/" TargetMode="External"/><Relationship Id="rId4" Type="http://schemas.openxmlformats.org/officeDocument/2006/relationships/hyperlink" Target="https://www.walesonline.co.uk/news/wales-news/coronavirus-lockdown-speeding-police-roads-18427901"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rytvpsrvfil0002\shared\PHTOP\CCDC\Sarah%20Jones\Environmental%20Health%20Protection\Environmental%20Health%20Protection\RTCs%20during%20COVID%20lockdown.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rytvpsrvfil0002\shared\PHTOP\CCDC\Sarah%20Jones\Environmental%20Health%20Protection\Environmental%20Health%20Protection\RTCs%20during%20COVID%20lockdow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rytvpsrvfil0002\shared\PHTOP\CCDC\Sarah%20Jones\Environmental%20Health%20Protection\Environmental%20Health%20Protection\Air%20quality%20paper%20thinking.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Sheet1!$K$8</c:f>
              <c:strCache>
                <c:ptCount val="1"/>
                <c:pt idx="0">
                  <c:v>2019</c:v>
                </c:pt>
              </c:strCache>
            </c:strRef>
          </c:tx>
          <c:spPr>
            <a:solidFill>
              <a:schemeClr val="accent1"/>
            </a:solidFill>
            <a:ln>
              <a:noFill/>
            </a:ln>
            <a:effectLst/>
          </c:spPr>
          <c:invertIfNegative val="0"/>
          <c:dLbls>
            <c:delete val="1"/>
          </c:dLbls>
          <c:cat>
            <c:strRef>
              <c:f>Sheet1!$J$9:$J$13</c:f>
              <c:strCache>
                <c:ptCount val="5"/>
                <c:pt idx="0">
                  <c:v>January</c:v>
                </c:pt>
                <c:pt idx="1">
                  <c:v>February</c:v>
                </c:pt>
                <c:pt idx="2">
                  <c:v>March</c:v>
                </c:pt>
                <c:pt idx="3">
                  <c:v>April</c:v>
                </c:pt>
                <c:pt idx="4">
                  <c:v>May</c:v>
                </c:pt>
              </c:strCache>
            </c:strRef>
          </c:cat>
          <c:val>
            <c:numRef>
              <c:f>Sheet1!$K$9:$K$13</c:f>
              <c:numCache>
                <c:formatCode>General</c:formatCode>
                <c:ptCount val="5"/>
                <c:pt idx="0">
                  <c:v>1024</c:v>
                </c:pt>
                <c:pt idx="1">
                  <c:v>973</c:v>
                </c:pt>
                <c:pt idx="2">
                  <c:v>998</c:v>
                </c:pt>
                <c:pt idx="3">
                  <c:v>1064</c:v>
                </c:pt>
                <c:pt idx="4">
                  <c:v>1014</c:v>
                </c:pt>
              </c:numCache>
            </c:numRef>
          </c:val>
          <c:extLst>
            <c:ext xmlns:c16="http://schemas.microsoft.com/office/drawing/2014/chart" uri="{C3380CC4-5D6E-409C-BE32-E72D297353CC}">
              <c16:uniqueId val="{00000000-981D-4DEF-8863-88A35756C241}"/>
            </c:ext>
          </c:extLst>
        </c:ser>
        <c:ser>
          <c:idx val="1"/>
          <c:order val="1"/>
          <c:tx>
            <c:strRef>
              <c:f>Sheet1!$L$8</c:f>
              <c:strCache>
                <c:ptCount val="1"/>
                <c:pt idx="0">
                  <c:v>2020</c:v>
                </c:pt>
              </c:strCache>
            </c:strRef>
          </c:tx>
          <c:spPr>
            <a:solidFill>
              <a:srgbClr val="FF0000"/>
            </a:solidFill>
            <a:ln>
              <a:solidFill>
                <a:srgbClr val="FF0000"/>
              </a:solidFill>
            </a:ln>
            <a:effectLst/>
          </c:spPr>
          <c:invertIfNegative val="0"/>
          <c:dLbls>
            <c:delete val="1"/>
          </c:dLbls>
          <c:cat>
            <c:strRef>
              <c:f>Sheet1!$J$9:$J$13</c:f>
              <c:strCache>
                <c:ptCount val="5"/>
                <c:pt idx="0">
                  <c:v>January</c:v>
                </c:pt>
                <c:pt idx="1">
                  <c:v>February</c:v>
                </c:pt>
                <c:pt idx="2">
                  <c:v>March</c:v>
                </c:pt>
                <c:pt idx="3">
                  <c:v>April</c:v>
                </c:pt>
                <c:pt idx="4">
                  <c:v>May</c:v>
                </c:pt>
              </c:strCache>
            </c:strRef>
          </c:cat>
          <c:val>
            <c:numRef>
              <c:f>Sheet1!$L$9:$L$13</c:f>
              <c:numCache>
                <c:formatCode>General</c:formatCode>
                <c:ptCount val="5"/>
                <c:pt idx="0">
                  <c:v>933</c:v>
                </c:pt>
                <c:pt idx="1">
                  <c:v>807</c:v>
                </c:pt>
                <c:pt idx="2">
                  <c:v>530</c:v>
                </c:pt>
                <c:pt idx="3">
                  <c:v>163</c:v>
                </c:pt>
                <c:pt idx="4">
                  <c:v>294</c:v>
                </c:pt>
              </c:numCache>
            </c:numRef>
          </c:val>
          <c:extLst>
            <c:ext xmlns:c16="http://schemas.microsoft.com/office/drawing/2014/chart" uri="{C3380CC4-5D6E-409C-BE32-E72D297353CC}">
              <c16:uniqueId val="{00000001-981D-4DEF-8863-88A35756C241}"/>
            </c:ext>
          </c:extLst>
        </c:ser>
        <c:dLbls>
          <c:dLblPos val="outEnd"/>
          <c:showLegendKey val="0"/>
          <c:showVal val="1"/>
          <c:showCatName val="0"/>
          <c:showSerName val="0"/>
          <c:showPercent val="0"/>
          <c:showBubbleSize val="0"/>
        </c:dLbls>
        <c:gapWidth val="219"/>
        <c:overlap val="-27"/>
        <c:axId val="701495800"/>
        <c:axId val="701485960"/>
      </c:barChart>
      <c:catAx>
        <c:axId val="701495800"/>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701485960"/>
        <c:crosses val="autoZero"/>
        <c:auto val="1"/>
        <c:lblAlgn val="ctr"/>
        <c:lblOffset val="100"/>
        <c:noMultiLvlLbl val="0"/>
      </c:catAx>
      <c:valAx>
        <c:axId val="701485960"/>
        <c:scaling>
          <c:orientation val="minMax"/>
        </c:scaling>
        <c:delete val="0"/>
        <c:axPos val="l"/>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701495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Sheet1!$K$31</c:f>
              <c:strCache>
                <c:ptCount val="1"/>
                <c:pt idx="0">
                  <c:v>2019</c:v>
                </c:pt>
              </c:strCache>
            </c:strRef>
          </c:tx>
          <c:spPr>
            <a:solidFill>
              <a:schemeClr val="accent1"/>
            </a:solidFill>
            <a:ln>
              <a:noFill/>
            </a:ln>
            <a:effectLst/>
          </c:spPr>
          <c:invertIfNegative val="0"/>
          <c:dLbls>
            <c:delete val="1"/>
          </c:dLbls>
          <c:cat>
            <c:strRef>
              <c:f>Sheet1!$J$32:$J$36</c:f>
              <c:strCache>
                <c:ptCount val="5"/>
                <c:pt idx="0">
                  <c:v>January</c:v>
                </c:pt>
                <c:pt idx="1">
                  <c:v>February</c:v>
                </c:pt>
                <c:pt idx="2">
                  <c:v>March</c:v>
                </c:pt>
                <c:pt idx="3">
                  <c:v>April</c:v>
                </c:pt>
                <c:pt idx="4">
                  <c:v>May</c:v>
                </c:pt>
              </c:strCache>
            </c:strRef>
          </c:cat>
          <c:val>
            <c:numRef>
              <c:f>Sheet1!$K$32:$K$36</c:f>
              <c:numCache>
                <c:formatCode>General</c:formatCode>
                <c:ptCount val="5"/>
                <c:pt idx="0">
                  <c:v>190</c:v>
                </c:pt>
                <c:pt idx="1">
                  <c:v>225</c:v>
                </c:pt>
                <c:pt idx="2">
                  <c:v>186</c:v>
                </c:pt>
                <c:pt idx="3">
                  <c:v>280</c:v>
                </c:pt>
                <c:pt idx="4">
                  <c:v>306</c:v>
                </c:pt>
              </c:numCache>
            </c:numRef>
          </c:val>
          <c:extLst>
            <c:ext xmlns:c16="http://schemas.microsoft.com/office/drawing/2014/chart" uri="{C3380CC4-5D6E-409C-BE32-E72D297353CC}">
              <c16:uniqueId val="{00000000-7870-41B7-AA9A-4B5E1C8E0A95}"/>
            </c:ext>
          </c:extLst>
        </c:ser>
        <c:ser>
          <c:idx val="1"/>
          <c:order val="1"/>
          <c:tx>
            <c:strRef>
              <c:f>Sheet1!$L$31</c:f>
              <c:strCache>
                <c:ptCount val="1"/>
                <c:pt idx="0">
                  <c:v>2020</c:v>
                </c:pt>
              </c:strCache>
            </c:strRef>
          </c:tx>
          <c:spPr>
            <a:solidFill>
              <a:srgbClr val="FF0000"/>
            </a:solidFill>
            <a:ln>
              <a:noFill/>
            </a:ln>
            <a:effectLst/>
          </c:spPr>
          <c:invertIfNegative val="0"/>
          <c:dLbls>
            <c:delete val="1"/>
          </c:dLbls>
          <c:cat>
            <c:strRef>
              <c:f>Sheet1!$J$32:$J$36</c:f>
              <c:strCache>
                <c:ptCount val="5"/>
                <c:pt idx="0">
                  <c:v>January</c:v>
                </c:pt>
                <c:pt idx="1">
                  <c:v>February</c:v>
                </c:pt>
                <c:pt idx="2">
                  <c:v>March</c:v>
                </c:pt>
                <c:pt idx="3">
                  <c:v>April</c:v>
                </c:pt>
                <c:pt idx="4">
                  <c:v>May</c:v>
                </c:pt>
              </c:strCache>
            </c:strRef>
          </c:cat>
          <c:val>
            <c:numRef>
              <c:f>Sheet1!$L$32:$L$36</c:f>
              <c:numCache>
                <c:formatCode>General</c:formatCode>
                <c:ptCount val="5"/>
                <c:pt idx="0">
                  <c:v>183</c:v>
                </c:pt>
                <c:pt idx="1">
                  <c:v>140</c:v>
                </c:pt>
                <c:pt idx="2">
                  <c:v>123</c:v>
                </c:pt>
                <c:pt idx="3">
                  <c:v>83</c:v>
                </c:pt>
                <c:pt idx="4">
                  <c:v>94</c:v>
                </c:pt>
              </c:numCache>
            </c:numRef>
          </c:val>
          <c:extLst>
            <c:ext xmlns:c16="http://schemas.microsoft.com/office/drawing/2014/chart" uri="{C3380CC4-5D6E-409C-BE32-E72D297353CC}">
              <c16:uniqueId val="{00000001-7870-41B7-AA9A-4B5E1C8E0A95}"/>
            </c:ext>
          </c:extLst>
        </c:ser>
        <c:dLbls>
          <c:dLblPos val="outEnd"/>
          <c:showLegendKey val="0"/>
          <c:showVal val="1"/>
          <c:showCatName val="0"/>
          <c:showSerName val="0"/>
          <c:showPercent val="0"/>
          <c:showBubbleSize val="0"/>
        </c:dLbls>
        <c:gapWidth val="219"/>
        <c:overlap val="-27"/>
        <c:axId val="708972888"/>
        <c:axId val="708971904"/>
      </c:barChart>
      <c:catAx>
        <c:axId val="708972888"/>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708971904"/>
        <c:crosses val="autoZero"/>
        <c:auto val="1"/>
        <c:lblAlgn val="ctr"/>
        <c:lblOffset val="100"/>
        <c:noMultiLvlLbl val="0"/>
      </c:catAx>
      <c:valAx>
        <c:axId val="708971904"/>
        <c:scaling>
          <c:orientation val="minMax"/>
        </c:scaling>
        <c:delete val="0"/>
        <c:axPos val="l"/>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708972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4"/>
          <c:order val="4"/>
          <c:tx>
            <c:strRef>
              <c:f>'Google to 27 June'!$L$2</c:f>
              <c:strCache>
                <c:ptCount val="1"/>
                <c:pt idx="0">
                  <c:v>Pre-lockdown week</c:v>
                </c:pt>
              </c:strCache>
            </c:strRef>
          </c:tx>
          <c:spPr>
            <a:solidFill>
              <a:schemeClr val="accent5"/>
            </a:solidFill>
            <a:ln>
              <a:noFill/>
            </a:ln>
            <a:effectLst/>
          </c:spPr>
          <c:invertIfNegative val="0"/>
          <c:cat>
            <c:numRef>
              <c:f>'Google to 27 June'!$B$3545:$B$3698</c:f>
              <c:numCache>
                <c:formatCode>m/d/yyyy</c:formatCode>
                <c:ptCount val="154"/>
                <c:pt idx="0">
                  <c:v>43876</c:v>
                </c:pt>
                <c:pt idx="1">
                  <c:v>43877</c:v>
                </c:pt>
                <c:pt idx="2">
                  <c:v>43878</c:v>
                </c:pt>
                <c:pt idx="3">
                  <c:v>43879</c:v>
                </c:pt>
                <c:pt idx="4">
                  <c:v>43880</c:v>
                </c:pt>
                <c:pt idx="5">
                  <c:v>43881</c:v>
                </c:pt>
                <c:pt idx="6">
                  <c:v>43882</c:v>
                </c:pt>
                <c:pt idx="7">
                  <c:v>43883</c:v>
                </c:pt>
                <c:pt idx="8">
                  <c:v>43884</c:v>
                </c:pt>
                <c:pt idx="9">
                  <c:v>43885</c:v>
                </c:pt>
                <c:pt idx="10">
                  <c:v>43886</c:v>
                </c:pt>
                <c:pt idx="11">
                  <c:v>43887</c:v>
                </c:pt>
                <c:pt idx="12">
                  <c:v>43888</c:v>
                </c:pt>
                <c:pt idx="13">
                  <c:v>43889</c:v>
                </c:pt>
                <c:pt idx="14">
                  <c:v>43890</c:v>
                </c:pt>
                <c:pt idx="15">
                  <c:v>43891</c:v>
                </c:pt>
                <c:pt idx="16">
                  <c:v>43892</c:v>
                </c:pt>
                <c:pt idx="17">
                  <c:v>43893</c:v>
                </c:pt>
                <c:pt idx="18">
                  <c:v>43894</c:v>
                </c:pt>
                <c:pt idx="19">
                  <c:v>43895</c:v>
                </c:pt>
                <c:pt idx="20">
                  <c:v>43896</c:v>
                </c:pt>
                <c:pt idx="21">
                  <c:v>43897</c:v>
                </c:pt>
                <c:pt idx="22">
                  <c:v>43898</c:v>
                </c:pt>
                <c:pt idx="23">
                  <c:v>43899</c:v>
                </c:pt>
                <c:pt idx="24">
                  <c:v>43900</c:v>
                </c:pt>
                <c:pt idx="25">
                  <c:v>43901</c:v>
                </c:pt>
                <c:pt idx="26">
                  <c:v>43902</c:v>
                </c:pt>
                <c:pt idx="27">
                  <c:v>43903</c:v>
                </c:pt>
                <c:pt idx="28">
                  <c:v>43904</c:v>
                </c:pt>
                <c:pt idx="29">
                  <c:v>43905</c:v>
                </c:pt>
                <c:pt idx="30">
                  <c:v>43906</c:v>
                </c:pt>
                <c:pt idx="31">
                  <c:v>43907</c:v>
                </c:pt>
                <c:pt idx="32">
                  <c:v>43908</c:v>
                </c:pt>
                <c:pt idx="33">
                  <c:v>43909</c:v>
                </c:pt>
                <c:pt idx="34">
                  <c:v>43910</c:v>
                </c:pt>
                <c:pt idx="35">
                  <c:v>43911</c:v>
                </c:pt>
                <c:pt idx="36">
                  <c:v>43912</c:v>
                </c:pt>
                <c:pt idx="37">
                  <c:v>43913</c:v>
                </c:pt>
                <c:pt idx="38">
                  <c:v>43914</c:v>
                </c:pt>
                <c:pt idx="39">
                  <c:v>43915</c:v>
                </c:pt>
                <c:pt idx="40">
                  <c:v>43916</c:v>
                </c:pt>
                <c:pt idx="41">
                  <c:v>43917</c:v>
                </c:pt>
                <c:pt idx="42">
                  <c:v>43918</c:v>
                </c:pt>
                <c:pt idx="43">
                  <c:v>43919</c:v>
                </c:pt>
                <c:pt idx="44">
                  <c:v>43920</c:v>
                </c:pt>
                <c:pt idx="45">
                  <c:v>43921</c:v>
                </c:pt>
                <c:pt idx="46">
                  <c:v>43922</c:v>
                </c:pt>
                <c:pt idx="47">
                  <c:v>43923</c:v>
                </c:pt>
                <c:pt idx="48">
                  <c:v>43924</c:v>
                </c:pt>
                <c:pt idx="49">
                  <c:v>43925</c:v>
                </c:pt>
                <c:pt idx="50">
                  <c:v>43926</c:v>
                </c:pt>
                <c:pt idx="51">
                  <c:v>43927</c:v>
                </c:pt>
                <c:pt idx="52">
                  <c:v>43928</c:v>
                </c:pt>
                <c:pt idx="53">
                  <c:v>43929</c:v>
                </c:pt>
                <c:pt idx="54">
                  <c:v>43930</c:v>
                </c:pt>
                <c:pt idx="55">
                  <c:v>43931</c:v>
                </c:pt>
                <c:pt idx="56">
                  <c:v>43932</c:v>
                </c:pt>
                <c:pt idx="57">
                  <c:v>43933</c:v>
                </c:pt>
                <c:pt idx="58">
                  <c:v>43934</c:v>
                </c:pt>
                <c:pt idx="59">
                  <c:v>43935</c:v>
                </c:pt>
                <c:pt idx="60">
                  <c:v>43936</c:v>
                </c:pt>
                <c:pt idx="61">
                  <c:v>43937</c:v>
                </c:pt>
                <c:pt idx="62">
                  <c:v>43938</c:v>
                </c:pt>
                <c:pt idx="63">
                  <c:v>43939</c:v>
                </c:pt>
                <c:pt idx="64">
                  <c:v>43940</c:v>
                </c:pt>
                <c:pt idx="65">
                  <c:v>43941</c:v>
                </c:pt>
                <c:pt idx="66">
                  <c:v>43942</c:v>
                </c:pt>
                <c:pt idx="67">
                  <c:v>43943</c:v>
                </c:pt>
                <c:pt idx="68">
                  <c:v>43944</c:v>
                </c:pt>
                <c:pt idx="69">
                  <c:v>43945</c:v>
                </c:pt>
                <c:pt idx="70">
                  <c:v>43946</c:v>
                </c:pt>
                <c:pt idx="71">
                  <c:v>43947</c:v>
                </c:pt>
                <c:pt idx="72">
                  <c:v>43948</c:v>
                </c:pt>
                <c:pt idx="73">
                  <c:v>43949</c:v>
                </c:pt>
                <c:pt idx="74">
                  <c:v>43950</c:v>
                </c:pt>
                <c:pt idx="75">
                  <c:v>43951</c:v>
                </c:pt>
                <c:pt idx="76">
                  <c:v>43952</c:v>
                </c:pt>
                <c:pt idx="77">
                  <c:v>43953</c:v>
                </c:pt>
                <c:pt idx="78">
                  <c:v>43954</c:v>
                </c:pt>
                <c:pt idx="79">
                  <c:v>43955</c:v>
                </c:pt>
                <c:pt idx="80">
                  <c:v>43956</c:v>
                </c:pt>
                <c:pt idx="81">
                  <c:v>43957</c:v>
                </c:pt>
                <c:pt idx="82">
                  <c:v>43958</c:v>
                </c:pt>
                <c:pt idx="83">
                  <c:v>43959</c:v>
                </c:pt>
                <c:pt idx="84">
                  <c:v>43960</c:v>
                </c:pt>
                <c:pt idx="85">
                  <c:v>43961</c:v>
                </c:pt>
                <c:pt idx="86">
                  <c:v>43962</c:v>
                </c:pt>
                <c:pt idx="87">
                  <c:v>43963</c:v>
                </c:pt>
                <c:pt idx="88">
                  <c:v>43964</c:v>
                </c:pt>
                <c:pt idx="89">
                  <c:v>43965</c:v>
                </c:pt>
                <c:pt idx="90">
                  <c:v>43966</c:v>
                </c:pt>
                <c:pt idx="91">
                  <c:v>43967</c:v>
                </c:pt>
                <c:pt idx="92">
                  <c:v>43968</c:v>
                </c:pt>
                <c:pt idx="93">
                  <c:v>43969</c:v>
                </c:pt>
                <c:pt idx="94">
                  <c:v>43970</c:v>
                </c:pt>
                <c:pt idx="95">
                  <c:v>43971</c:v>
                </c:pt>
                <c:pt idx="96">
                  <c:v>43972</c:v>
                </c:pt>
                <c:pt idx="97">
                  <c:v>43973</c:v>
                </c:pt>
                <c:pt idx="98">
                  <c:v>43974</c:v>
                </c:pt>
                <c:pt idx="99">
                  <c:v>43975</c:v>
                </c:pt>
                <c:pt idx="100">
                  <c:v>43976</c:v>
                </c:pt>
                <c:pt idx="101">
                  <c:v>43977</c:v>
                </c:pt>
                <c:pt idx="102">
                  <c:v>43978</c:v>
                </c:pt>
                <c:pt idx="103">
                  <c:v>43979</c:v>
                </c:pt>
                <c:pt idx="104">
                  <c:v>43980</c:v>
                </c:pt>
                <c:pt idx="105">
                  <c:v>43981</c:v>
                </c:pt>
                <c:pt idx="106">
                  <c:v>43982</c:v>
                </c:pt>
                <c:pt idx="107">
                  <c:v>43983</c:v>
                </c:pt>
                <c:pt idx="108">
                  <c:v>43984</c:v>
                </c:pt>
                <c:pt idx="109">
                  <c:v>43985</c:v>
                </c:pt>
                <c:pt idx="110">
                  <c:v>43986</c:v>
                </c:pt>
                <c:pt idx="111">
                  <c:v>43987</c:v>
                </c:pt>
                <c:pt idx="112">
                  <c:v>43988</c:v>
                </c:pt>
                <c:pt idx="113">
                  <c:v>43989</c:v>
                </c:pt>
                <c:pt idx="114">
                  <c:v>43990</c:v>
                </c:pt>
                <c:pt idx="115">
                  <c:v>43991</c:v>
                </c:pt>
                <c:pt idx="116">
                  <c:v>43992</c:v>
                </c:pt>
                <c:pt idx="117">
                  <c:v>43993</c:v>
                </c:pt>
                <c:pt idx="118">
                  <c:v>43994</c:v>
                </c:pt>
                <c:pt idx="119">
                  <c:v>43995</c:v>
                </c:pt>
                <c:pt idx="120">
                  <c:v>43996</c:v>
                </c:pt>
                <c:pt idx="121">
                  <c:v>43997</c:v>
                </c:pt>
                <c:pt idx="122">
                  <c:v>43998</c:v>
                </c:pt>
                <c:pt idx="123">
                  <c:v>43999</c:v>
                </c:pt>
                <c:pt idx="124">
                  <c:v>44000</c:v>
                </c:pt>
                <c:pt idx="125">
                  <c:v>44001</c:v>
                </c:pt>
                <c:pt idx="126">
                  <c:v>44002</c:v>
                </c:pt>
                <c:pt idx="127">
                  <c:v>44003</c:v>
                </c:pt>
                <c:pt idx="128">
                  <c:v>44004</c:v>
                </c:pt>
                <c:pt idx="129">
                  <c:v>44005</c:v>
                </c:pt>
                <c:pt idx="130">
                  <c:v>44006</c:v>
                </c:pt>
                <c:pt idx="131">
                  <c:v>44007</c:v>
                </c:pt>
                <c:pt idx="132">
                  <c:v>44008</c:v>
                </c:pt>
                <c:pt idx="133">
                  <c:v>44009</c:v>
                </c:pt>
                <c:pt idx="134">
                  <c:v>44010</c:v>
                </c:pt>
                <c:pt idx="135">
                  <c:v>44011</c:v>
                </c:pt>
                <c:pt idx="136">
                  <c:v>44012</c:v>
                </c:pt>
                <c:pt idx="137">
                  <c:v>44013</c:v>
                </c:pt>
                <c:pt idx="138">
                  <c:v>44014</c:v>
                </c:pt>
                <c:pt idx="139">
                  <c:v>44015</c:v>
                </c:pt>
                <c:pt idx="140">
                  <c:v>44016</c:v>
                </c:pt>
                <c:pt idx="141">
                  <c:v>44017</c:v>
                </c:pt>
                <c:pt idx="142">
                  <c:v>44018</c:v>
                </c:pt>
                <c:pt idx="143">
                  <c:v>44019</c:v>
                </c:pt>
                <c:pt idx="144">
                  <c:v>44020</c:v>
                </c:pt>
                <c:pt idx="145">
                  <c:v>44021</c:v>
                </c:pt>
                <c:pt idx="146">
                  <c:v>44022</c:v>
                </c:pt>
                <c:pt idx="147">
                  <c:v>44023</c:v>
                </c:pt>
                <c:pt idx="148">
                  <c:v>44024</c:v>
                </c:pt>
                <c:pt idx="149">
                  <c:v>44025</c:v>
                </c:pt>
                <c:pt idx="150">
                  <c:v>44026</c:v>
                </c:pt>
                <c:pt idx="151">
                  <c:v>44027</c:v>
                </c:pt>
                <c:pt idx="152">
                  <c:v>44028</c:v>
                </c:pt>
                <c:pt idx="153">
                  <c:v>44029</c:v>
                </c:pt>
              </c:numCache>
            </c:numRef>
          </c:cat>
          <c:val>
            <c:numRef>
              <c:f>'Google to 27 June'!$L$3545:$L$3698</c:f>
              <c:numCache>
                <c:formatCode>General</c:formatCode>
                <c:ptCount val="154"/>
                <c:pt idx="30">
                  <c:v>100</c:v>
                </c:pt>
                <c:pt idx="37">
                  <c:v>100</c:v>
                </c:pt>
                <c:pt idx="142">
                  <c:v>100</c:v>
                </c:pt>
              </c:numCache>
            </c:numRef>
          </c:val>
          <c:extLst>
            <c:ext xmlns:c16="http://schemas.microsoft.com/office/drawing/2014/chart" uri="{C3380CC4-5D6E-409C-BE32-E72D297353CC}">
              <c16:uniqueId val="{00000000-BC55-4F12-B7F6-63E28CF81CA2}"/>
            </c:ext>
          </c:extLst>
        </c:ser>
        <c:dLbls>
          <c:showLegendKey val="0"/>
          <c:showVal val="0"/>
          <c:showCatName val="0"/>
          <c:showSerName val="0"/>
          <c:showPercent val="0"/>
          <c:showBubbleSize val="0"/>
        </c:dLbls>
        <c:gapWidth val="500"/>
        <c:axId val="500006504"/>
        <c:axId val="500006176"/>
      </c:barChart>
      <c:lineChart>
        <c:grouping val="standard"/>
        <c:varyColors val="0"/>
        <c:ser>
          <c:idx val="0"/>
          <c:order val="0"/>
          <c:tx>
            <c:strRef>
              <c:f>'Google to 27 June'!$H$2</c:f>
              <c:strCache>
                <c:ptCount val="1"/>
                <c:pt idx="0">
                  <c:v>Retail and recreation </c:v>
                </c:pt>
              </c:strCache>
            </c:strRef>
          </c:tx>
          <c:spPr>
            <a:ln w="28575" cap="rnd">
              <a:solidFill>
                <a:schemeClr val="accent1"/>
              </a:solidFill>
              <a:round/>
            </a:ln>
            <a:effectLst/>
          </c:spPr>
          <c:marker>
            <c:symbol val="none"/>
          </c:marker>
          <c:cat>
            <c:numRef>
              <c:f>'Google to 27 June'!$B$3545:$B$3698</c:f>
              <c:numCache>
                <c:formatCode>m/d/yyyy</c:formatCode>
                <c:ptCount val="154"/>
                <c:pt idx="0">
                  <c:v>43876</c:v>
                </c:pt>
                <c:pt idx="1">
                  <c:v>43877</c:v>
                </c:pt>
                <c:pt idx="2">
                  <c:v>43878</c:v>
                </c:pt>
                <c:pt idx="3">
                  <c:v>43879</c:v>
                </c:pt>
                <c:pt idx="4">
                  <c:v>43880</c:v>
                </c:pt>
                <c:pt idx="5">
                  <c:v>43881</c:v>
                </c:pt>
                <c:pt idx="6">
                  <c:v>43882</c:v>
                </c:pt>
                <c:pt idx="7">
                  <c:v>43883</c:v>
                </c:pt>
                <c:pt idx="8">
                  <c:v>43884</c:v>
                </c:pt>
                <c:pt idx="9">
                  <c:v>43885</c:v>
                </c:pt>
                <c:pt idx="10">
                  <c:v>43886</c:v>
                </c:pt>
                <c:pt idx="11">
                  <c:v>43887</c:v>
                </c:pt>
                <c:pt idx="12">
                  <c:v>43888</c:v>
                </c:pt>
                <c:pt idx="13">
                  <c:v>43889</c:v>
                </c:pt>
                <c:pt idx="14">
                  <c:v>43890</c:v>
                </c:pt>
                <c:pt idx="15">
                  <c:v>43891</c:v>
                </c:pt>
                <c:pt idx="16">
                  <c:v>43892</c:v>
                </c:pt>
                <c:pt idx="17">
                  <c:v>43893</c:v>
                </c:pt>
                <c:pt idx="18">
                  <c:v>43894</c:v>
                </c:pt>
                <c:pt idx="19">
                  <c:v>43895</c:v>
                </c:pt>
                <c:pt idx="20">
                  <c:v>43896</c:v>
                </c:pt>
                <c:pt idx="21">
                  <c:v>43897</c:v>
                </c:pt>
                <c:pt idx="22">
                  <c:v>43898</c:v>
                </c:pt>
                <c:pt idx="23">
                  <c:v>43899</c:v>
                </c:pt>
                <c:pt idx="24">
                  <c:v>43900</c:v>
                </c:pt>
                <c:pt idx="25">
                  <c:v>43901</c:v>
                </c:pt>
                <c:pt idx="26">
                  <c:v>43902</c:v>
                </c:pt>
                <c:pt idx="27">
                  <c:v>43903</c:v>
                </c:pt>
                <c:pt idx="28">
                  <c:v>43904</c:v>
                </c:pt>
                <c:pt idx="29">
                  <c:v>43905</c:v>
                </c:pt>
                <c:pt idx="30">
                  <c:v>43906</c:v>
                </c:pt>
                <c:pt idx="31">
                  <c:v>43907</c:v>
                </c:pt>
                <c:pt idx="32">
                  <c:v>43908</c:v>
                </c:pt>
                <c:pt idx="33">
                  <c:v>43909</c:v>
                </c:pt>
                <c:pt idx="34">
                  <c:v>43910</c:v>
                </c:pt>
                <c:pt idx="35">
                  <c:v>43911</c:v>
                </c:pt>
                <c:pt idx="36">
                  <c:v>43912</c:v>
                </c:pt>
                <c:pt idx="37">
                  <c:v>43913</c:v>
                </c:pt>
                <c:pt idx="38">
                  <c:v>43914</c:v>
                </c:pt>
                <c:pt idx="39">
                  <c:v>43915</c:v>
                </c:pt>
                <c:pt idx="40">
                  <c:v>43916</c:v>
                </c:pt>
                <c:pt idx="41">
                  <c:v>43917</c:v>
                </c:pt>
                <c:pt idx="42">
                  <c:v>43918</c:v>
                </c:pt>
                <c:pt idx="43">
                  <c:v>43919</c:v>
                </c:pt>
                <c:pt idx="44">
                  <c:v>43920</c:v>
                </c:pt>
                <c:pt idx="45">
                  <c:v>43921</c:v>
                </c:pt>
                <c:pt idx="46">
                  <c:v>43922</c:v>
                </c:pt>
                <c:pt idx="47">
                  <c:v>43923</c:v>
                </c:pt>
                <c:pt idx="48">
                  <c:v>43924</c:v>
                </c:pt>
                <c:pt idx="49">
                  <c:v>43925</c:v>
                </c:pt>
                <c:pt idx="50">
                  <c:v>43926</c:v>
                </c:pt>
                <c:pt idx="51">
                  <c:v>43927</c:v>
                </c:pt>
                <c:pt idx="52">
                  <c:v>43928</c:v>
                </c:pt>
                <c:pt idx="53">
                  <c:v>43929</c:v>
                </c:pt>
                <c:pt idx="54">
                  <c:v>43930</c:v>
                </c:pt>
                <c:pt idx="55">
                  <c:v>43931</c:v>
                </c:pt>
                <c:pt idx="56">
                  <c:v>43932</c:v>
                </c:pt>
                <c:pt idx="57">
                  <c:v>43933</c:v>
                </c:pt>
                <c:pt idx="58">
                  <c:v>43934</c:v>
                </c:pt>
                <c:pt idx="59">
                  <c:v>43935</c:v>
                </c:pt>
                <c:pt idx="60">
                  <c:v>43936</c:v>
                </c:pt>
                <c:pt idx="61">
                  <c:v>43937</c:v>
                </c:pt>
                <c:pt idx="62">
                  <c:v>43938</c:v>
                </c:pt>
                <c:pt idx="63">
                  <c:v>43939</c:v>
                </c:pt>
                <c:pt idx="64">
                  <c:v>43940</c:v>
                </c:pt>
                <c:pt idx="65">
                  <c:v>43941</c:v>
                </c:pt>
                <c:pt idx="66">
                  <c:v>43942</c:v>
                </c:pt>
                <c:pt idx="67">
                  <c:v>43943</c:v>
                </c:pt>
                <c:pt idx="68">
                  <c:v>43944</c:v>
                </c:pt>
                <c:pt idx="69">
                  <c:v>43945</c:v>
                </c:pt>
                <c:pt idx="70">
                  <c:v>43946</c:v>
                </c:pt>
                <c:pt idx="71">
                  <c:v>43947</c:v>
                </c:pt>
                <c:pt idx="72">
                  <c:v>43948</c:v>
                </c:pt>
                <c:pt idx="73">
                  <c:v>43949</c:v>
                </c:pt>
                <c:pt idx="74">
                  <c:v>43950</c:v>
                </c:pt>
                <c:pt idx="75">
                  <c:v>43951</c:v>
                </c:pt>
                <c:pt idx="76">
                  <c:v>43952</c:v>
                </c:pt>
                <c:pt idx="77">
                  <c:v>43953</c:v>
                </c:pt>
                <c:pt idx="78">
                  <c:v>43954</c:v>
                </c:pt>
                <c:pt idx="79">
                  <c:v>43955</c:v>
                </c:pt>
                <c:pt idx="80">
                  <c:v>43956</c:v>
                </c:pt>
                <c:pt idx="81">
                  <c:v>43957</c:v>
                </c:pt>
                <c:pt idx="82">
                  <c:v>43958</c:v>
                </c:pt>
                <c:pt idx="83">
                  <c:v>43959</c:v>
                </c:pt>
                <c:pt idx="84">
                  <c:v>43960</c:v>
                </c:pt>
                <c:pt idx="85">
                  <c:v>43961</c:v>
                </c:pt>
                <c:pt idx="86">
                  <c:v>43962</c:v>
                </c:pt>
                <c:pt idx="87">
                  <c:v>43963</c:v>
                </c:pt>
                <c:pt idx="88">
                  <c:v>43964</c:v>
                </c:pt>
                <c:pt idx="89">
                  <c:v>43965</c:v>
                </c:pt>
                <c:pt idx="90">
                  <c:v>43966</c:v>
                </c:pt>
                <c:pt idx="91">
                  <c:v>43967</c:v>
                </c:pt>
                <c:pt idx="92">
                  <c:v>43968</c:v>
                </c:pt>
                <c:pt idx="93">
                  <c:v>43969</c:v>
                </c:pt>
                <c:pt idx="94">
                  <c:v>43970</c:v>
                </c:pt>
                <c:pt idx="95">
                  <c:v>43971</c:v>
                </c:pt>
                <c:pt idx="96">
                  <c:v>43972</c:v>
                </c:pt>
                <c:pt idx="97">
                  <c:v>43973</c:v>
                </c:pt>
                <c:pt idx="98">
                  <c:v>43974</c:v>
                </c:pt>
                <c:pt idx="99">
                  <c:v>43975</c:v>
                </c:pt>
                <c:pt idx="100">
                  <c:v>43976</c:v>
                </c:pt>
                <c:pt idx="101">
                  <c:v>43977</c:v>
                </c:pt>
                <c:pt idx="102">
                  <c:v>43978</c:v>
                </c:pt>
                <c:pt idx="103">
                  <c:v>43979</c:v>
                </c:pt>
                <c:pt idx="104">
                  <c:v>43980</c:v>
                </c:pt>
                <c:pt idx="105">
                  <c:v>43981</c:v>
                </c:pt>
                <c:pt idx="106">
                  <c:v>43982</c:v>
                </c:pt>
                <c:pt idx="107">
                  <c:v>43983</c:v>
                </c:pt>
                <c:pt idx="108">
                  <c:v>43984</c:v>
                </c:pt>
                <c:pt idx="109">
                  <c:v>43985</c:v>
                </c:pt>
                <c:pt idx="110">
                  <c:v>43986</c:v>
                </c:pt>
                <c:pt idx="111">
                  <c:v>43987</c:v>
                </c:pt>
                <c:pt idx="112">
                  <c:v>43988</c:v>
                </c:pt>
                <c:pt idx="113">
                  <c:v>43989</c:v>
                </c:pt>
                <c:pt idx="114">
                  <c:v>43990</c:v>
                </c:pt>
                <c:pt idx="115">
                  <c:v>43991</c:v>
                </c:pt>
                <c:pt idx="116">
                  <c:v>43992</c:v>
                </c:pt>
                <c:pt idx="117">
                  <c:v>43993</c:v>
                </c:pt>
                <c:pt idx="118">
                  <c:v>43994</c:v>
                </c:pt>
                <c:pt idx="119">
                  <c:v>43995</c:v>
                </c:pt>
                <c:pt idx="120">
                  <c:v>43996</c:v>
                </c:pt>
                <c:pt idx="121">
                  <c:v>43997</c:v>
                </c:pt>
                <c:pt idx="122">
                  <c:v>43998</c:v>
                </c:pt>
                <c:pt idx="123">
                  <c:v>43999</c:v>
                </c:pt>
                <c:pt idx="124">
                  <c:v>44000</c:v>
                </c:pt>
                <c:pt idx="125">
                  <c:v>44001</c:v>
                </c:pt>
                <c:pt idx="126">
                  <c:v>44002</c:v>
                </c:pt>
                <c:pt idx="127">
                  <c:v>44003</c:v>
                </c:pt>
                <c:pt idx="128">
                  <c:v>44004</c:v>
                </c:pt>
                <c:pt idx="129">
                  <c:v>44005</c:v>
                </c:pt>
                <c:pt idx="130">
                  <c:v>44006</c:v>
                </c:pt>
                <c:pt idx="131">
                  <c:v>44007</c:v>
                </c:pt>
                <c:pt idx="132">
                  <c:v>44008</c:v>
                </c:pt>
                <c:pt idx="133">
                  <c:v>44009</c:v>
                </c:pt>
                <c:pt idx="134">
                  <c:v>44010</c:v>
                </c:pt>
                <c:pt idx="135">
                  <c:v>44011</c:v>
                </c:pt>
                <c:pt idx="136">
                  <c:v>44012</c:v>
                </c:pt>
                <c:pt idx="137">
                  <c:v>44013</c:v>
                </c:pt>
                <c:pt idx="138">
                  <c:v>44014</c:v>
                </c:pt>
                <c:pt idx="139">
                  <c:v>44015</c:v>
                </c:pt>
                <c:pt idx="140">
                  <c:v>44016</c:v>
                </c:pt>
                <c:pt idx="141">
                  <c:v>44017</c:v>
                </c:pt>
                <c:pt idx="142">
                  <c:v>44018</c:v>
                </c:pt>
                <c:pt idx="143">
                  <c:v>44019</c:v>
                </c:pt>
                <c:pt idx="144">
                  <c:v>44020</c:v>
                </c:pt>
                <c:pt idx="145">
                  <c:v>44021</c:v>
                </c:pt>
                <c:pt idx="146">
                  <c:v>44022</c:v>
                </c:pt>
                <c:pt idx="147">
                  <c:v>44023</c:v>
                </c:pt>
                <c:pt idx="148">
                  <c:v>44024</c:v>
                </c:pt>
                <c:pt idx="149">
                  <c:v>44025</c:v>
                </c:pt>
                <c:pt idx="150">
                  <c:v>44026</c:v>
                </c:pt>
                <c:pt idx="151">
                  <c:v>44027</c:v>
                </c:pt>
                <c:pt idx="152">
                  <c:v>44028</c:v>
                </c:pt>
                <c:pt idx="153">
                  <c:v>44029</c:v>
                </c:pt>
              </c:numCache>
            </c:numRef>
          </c:cat>
          <c:val>
            <c:numRef>
              <c:f>'Google to 27 June'!$H$3545:$H$3698</c:f>
              <c:numCache>
                <c:formatCode>General</c:formatCode>
                <c:ptCount val="154"/>
                <c:pt idx="2" formatCode="0">
                  <c:v>-5.3484848484848486</c:v>
                </c:pt>
                <c:pt idx="3" formatCode="0">
                  <c:v>3.1363636363636362</c:v>
                </c:pt>
                <c:pt idx="4" formatCode="0">
                  <c:v>8.5</c:v>
                </c:pt>
                <c:pt idx="5" formatCode="0">
                  <c:v>7.5</c:v>
                </c:pt>
                <c:pt idx="6" formatCode="0">
                  <c:v>6.4545454545454541</c:v>
                </c:pt>
                <c:pt idx="7" formatCode="0">
                  <c:v>4.3939393939393945</c:v>
                </c:pt>
                <c:pt idx="8" formatCode="0">
                  <c:v>1.6515151515151516</c:v>
                </c:pt>
                <c:pt idx="9" formatCode="0">
                  <c:v>-1.4090909090909092</c:v>
                </c:pt>
                <c:pt idx="10" formatCode="0">
                  <c:v>-1.5909090909090908</c:v>
                </c:pt>
                <c:pt idx="11" formatCode="0">
                  <c:v>-0.95454545454545459</c:v>
                </c:pt>
                <c:pt idx="12" formatCode="0">
                  <c:v>2.0454545454545454</c:v>
                </c:pt>
                <c:pt idx="13" formatCode="0">
                  <c:v>0.95454545454545447</c:v>
                </c:pt>
                <c:pt idx="14" formatCode="0">
                  <c:v>1.6212121212121211</c:v>
                </c:pt>
                <c:pt idx="15" formatCode="0">
                  <c:v>2.772727272727272</c:v>
                </c:pt>
                <c:pt idx="16" formatCode="0">
                  <c:v>7.2121212121212119</c:v>
                </c:pt>
                <c:pt idx="17" formatCode="0">
                  <c:v>8.5909090909090917</c:v>
                </c:pt>
                <c:pt idx="18" formatCode="0">
                  <c:v>6.1515151515151514</c:v>
                </c:pt>
                <c:pt idx="19" formatCode="0">
                  <c:v>5.0454545454545459</c:v>
                </c:pt>
                <c:pt idx="20" formatCode="0">
                  <c:v>4.7575757575757578</c:v>
                </c:pt>
                <c:pt idx="21" formatCode="0">
                  <c:v>5.8484848484848486</c:v>
                </c:pt>
                <c:pt idx="22" formatCode="0">
                  <c:v>6.3939393939393936</c:v>
                </c:pt>
                <c:pt idx="23" formatCode="0">
                  <c:v>4.9848484848484844</c:v>
                </c:pt>
                <c:pt idx="24" formatCode="0">
                  <c:v>3.6363636363636362</c:v>
                </c:pt>
                <c:pt idx="25" formatCode="0">
                  <c:v>2.0606060606060606</c:v>
                </c:pt>
                <c:pt idx="26" formatCode="0">
                  <c:v>2.4090909090909087</c:v>
                </c:pt>
                <c:pt idx="27" formatCode="0">
                  <c:v>3.0909090909090904</c:v>
                </c:pt>
                <c:pt idx="28" formatCode="0">
                  <c:v>2.106060606060606</c:v>
                </c:pt>
                <c:pt idx="29" formatCode="0">
                  <c:v>0.68181818181818199</c:v>
                </c:pt>
                <c:pt idx="30" formatCode="0">
                  <c:v>1.4393939393939394</c:v>
                </c:pt>
                <c:pt idx="31" formatCode="0">
                  <c:v>-1.6818181818181819</c:v>
                </c:pt>
                <c:pt idx="32" formatCode="0">
                  <c:v>-6.787878787878789</c:v>
                </c:pt>
                <c:pt idx="33" formatCode="0">
                  <c:v>-13.757575757575758</c:v>
                </c:pt>
                <c:pt idx="34" formatCode="0">
                  <c:v>-17.272727272727273</c:v>
                </c:pt>
                <c:pt idx="35" formatCode="0">
                  <c:v>-24.878787878787875</c:v>
                </c:pt>
                <c:pt idx="36" formatCode="0">
                  <c:v>-35.696969696969695</c:v>
                </c:pt>
                <c:pt idx="37" formatCode="0">
                  <c:v>-41.04545454545454</c:v>
                </c:pt>
                <c:pt idx="38" formatCode="0">
                  <c:v>-50.393939393939398</c:v>
                </c:pt>
                <c:pt idx="39" formatCode="0">
                  <c:v>-58.196969696969688</c:v>
                </c:pt>
                <c:pt idx="40" formatCode="0">
                  <c:v>-69.924242424242422</c:v>
                </c:pt>
                <c:pt idx="41" formatCode="0">
                  <c:v>-72.075757575757578</c:v>
                </c:pt>
                <c:pt idx="42" formatCode="0">
                  <c:v>-75.469696969696969</c:v>
                </c:pt>
                <c:pt idx="43" formatCode="0">
                  <c:v>-79.393939393939391</c:v>
                </c:pt>
                <c:pt idx="44" formatCode="0">
                  <c:v>-78.590909090909079</c:v>
                </c:pt>
                <c:pt idx="45" formatCode="0">
                  <c:v>-75.151515151515142</c:v>
                </c:pt>
                <c:pt idx="46" formatCode="0">
                  <c:v>-71.803030303030297</c:v>
                </c:pt>
                <c:pt idx="47" formatCode="0">
                  <c:v>-72.409090909090921</c:v>
                </c:pt>
                <c:pt idx="48" formatCode="0">
                  <c:v>-72.954545454545453</c:v>
                </c:pt>
                <c:pt idx="49" formatCode="0">
                  <c:v>-74.893939393939391</c:v>
                </c:pt>
                <c:pt idx="50" formatCode="0">
                  <c:v>-77.181818181818187</c:v>
                </c:pt>
                <c:pt idx="51" formatCode="0">
                  <c:v>-73.893939393939391</c:v>
                </c:pt>
                <c:pt idx="52" formatCode="0">
                  <c:v>-69.181818181818187</c:v>
                </c:pt>
                <c:pt idx="53" formatCode="0">
                  <c:v>-64.181818181818173</c:v>
                </c:pt>
                <c:pt idx="54" formatCode="0">
                  <c:v>-63.590909090909086</c:v>
                </c:pt>
                <c:pt idx="55" formatCode="0">
                  <c:v>-66.151515151515142</c:v>
                </c:pt>
                <c:pt idx="56" formatCode="0">
                  <c:v>-70.575757575757564</c:v>
                </c:pt>
                <c:pt idx="57" formatCode="0">
                  <c:v>-77.560606060606062</c:v>
                </c:pt>
                <c:pt idx="58" formatCode="0">
                  <c:v>-76.878787878787875</c:v>
                </c:pt>
                <c:pt idx="59" formatCode="0">
                  <c:v>-71.560606060606062</c:v>
                </c:pt>
                <c:pt idx="60" formatCode="0">
                  <c:v>-65.333333333333329</c:v>
                </c:pt>
                <c:pt idx="61" formatCode="0">
                  <c:v>-62.848484848484851</c:v>
                </c:pt>
                <c:pt idx="62" formatCode="0">
                  <c:v>-65.469696969696969</c:v>
                </c:pt>
                <c:pt idx="63" formatCode="0">
                  <c:v>-70.818181818181813</c:v>
                </c:pt>
                <c:pt idx="64" formatCode="0">
                  <c:v>-73.515151515151516</c:v>
                </c:pt>
                <c:pt idx="65" formatCode="0">
                  <c:v>-70.393939393939391</c:v>
                </c:pt>
                <c:pt idx="66" formatCode="0">
                  <c:v>-64.439393939393938</c:v>
                </c:pt>
                <c:pt idx="67" formatCode="0">
                  <c:v>-61.696969696969695</c:v>
                </c:pt>
                <c:pt idx="68" formatCode="0">
                  <c:v>-62.848484848484851</c:v>
                </c:pt>
                <c:pt idx="69" formatCode="0">
                  <c:v>-65.36363636363636</c:v>
                </c:pt>
                <c:pt idx="70" formatCode="0">
                  <c:v>-69.34848484848483</c:v>
                </c:pt>
                <c:pt idx="71" formatCode="0">
                  <c:v>-71.106060606060609</c:v>
                </c:pt>
                <c:pt idx="72" formatCode="0">
                  <c:v>-68.166666666666671</c:v>
                </c:pt>
                <c:pt idx="73" formatCode="0">
                  <c:v>-64.86363636363636</c:v>
                </c:pt>
                <c:pt idx="74" formatCode="0">
                  <c:v>-63.151515151515149</c:v>
                </c:pt>
                <c:pt idx="75" formatCode="0">
                  <c:v>-65.62121212121211</c:v>
                </c:pt>
                <c:pt idx="76" formatCode="0">
                  <c:v>-67.606060606060609</c:v>
                </c:pt>
                <c:pt idx="77" formatCode="0">
                  <c:v>-71.060606060606062</c:v>
                </c:pt>
                <c:pt idx="78" formatCode="0">
                  <c:v>-72.136363636363626</c:v>
                </c:pt>
                <c:pt idx="79" formatCode="0">
                  <c:v>-68.060606060606048</c:v>
                </c:pt>
                <c:pt idx="80" formatCode="0">
                  <c:v>-63.196969696969695</c:v>
                </c:pt>
                <c:pt idx="81" formatCode="0">
                  <c:v>-59.5</c:v>
                </c:pt>
                <c:pt idx="82" formatCode="0">
                  <c:v>-59.636363636363633</c:v>
                </c:pt>
                <c:pt idx="83" formatCode="0">
                  <c:v>-64</c:v>
                </c:pt>
                <c:pt idx="84" formatCode="0">
                  <c:v>-69</c:v>
                </c:pt>
                <c:pt idx="85" formatCode="0">
                  <c:v>-72.727272727272734</c:v>
                </c:pt>
                <c:pt idx="86" formatCode="0">
                  <c:v>-67.348484848484858</c:v>
                </c:pt>
                <c:pt idx="87" formatCode="0">
                  <c:v>-61.621212121212125</c:v>
                </c:pt>
                <c:pt idx="88" formatCode="0">
                  <c:v>-58.030303030303031</c:v>
                </c:pt>
                <c:pt idx="89" formatCode="0">
                  <c:v>-59.909090909090907</c:v>
                </c:pt>
                <c:pt idx="90" formatCode="0">
                  <c:v>-62.54545454545454</c:v>
                </c:pt>
                <c:pt idx="91" formatCode="0">
                  <c:v>-66.348484848484844</c:v>
                </c:pt>
                <c:pt idx="92" formatCode="0">
                  <c:v>-69.34848484848483</c:v>
                </c:pt>
                <c:pt idx="93" formatCode="0">
                  <c:v>-66.166666666666657</c:v>
                </c:pt>
                <c:pt idx="94" formatCode="0">
                  <c:v>-62.530303030303024</c:v>
                </c:pt>
                <c:pt idx="95" formatCode="0">
                  <c:v>-59.015151515151508</c:v>
                </c:pt>
                <c:pt idx="96" formatCode="0">
                  <c:v>-60.560606060606062</c:v>
                </c:pt>
                <c:pt idx="97" formatCode="0">
                  <c:v>-61.863636363636367</c:v>
                </c:pt>
                <c:pt idx="98" formatCode="0">
                  <c:v>-64.772727272727266</c:v>
                </c:pt>
                <c:pt idx="99" formatCode="0">
                  <c:v>-67.63636363636364</c:v>
                </c:pt>
                <c:pt idx="100" formatCode="0">
                  <c:v>-68.090909090909093</c:v>
                </c:pt>
                <c:pt idx="101" formatCode="0">
                  <c:v>-63.424242424242415</c:v>
                </c:pt>
                <c:pt idx="102" formatCode="0">
                  <c:v>-59.893939393939398</c:v>
                </c:pt>
                <c:pt idx="103" formatCode="0">
                  <c:v>-57.409090909090907</c:v>
                </c:pt>
                <c:pt idx="104" formatCode="0">
                  <c:v>-58.95454545454546</c:v>
                </c:pt>
                <c:pt idx="105" formatCode="0">
                  <c:v>-61.833333333333336</c:v>
                </c:pt>
                <c:pt idx="106" formatCode="0">
                  <c:v>-64.560606060606062</c:v>
                </c:pt>
                <c:pt idx="107" formatCode="0">
                  <c:v>-61.772727272727273</c:v>
                </c:pt>
                <c:pt idx="108" formatCode="0">
                  <c:v>-57.969696969696969</c:v>
                </c:pt>
                <c:pt idx="109" formatCode="0">
                  <c:v>-56.469696969696969</c:v>
                </c:pt>
                <c:pt idx="110" formatCode="0">
                  <c:v>-58.439393939393938</c:v>
                </c:pt>
                <c:pt idx="111" formatCode="0">
                  <c:v>-59.893939393939384</c:v>
                </c:pt>
                <c:pt idx="112" formatCode="0">
                  <c:v>-61.909090909090907</c:v>
                </c:pt>
                <c:pt idx="113" formatCode="0">
                  <c:v>-64.090909090909093</c:v>
                </c:pt>
                <c:pt idx="114" formatCode="0">
                  <c:v>-61.318181818181813</c:v>
                </c:pt>
                <c:pt idx="115" formatCode="0">
                  <c:v>-56.878787878787875</c:v>
                </c:pt>
                <c:pt idx="116" formatCode="0">
                  <c:v>-54.54545454545454</c:v>
                </c:pt>
                <c:pt idx="117" formatCode="0">
                  <c:v>-56.136363636363633</c:v>
                </c:pt>
                <c:pt idx="118" formatCode="0">
                  <c:v>-57.469696969696969</c:v>
                </c:pt>
                <c:pt idx="119" formatCode="0">
                  <c:v>-58.969696969696969</c:v>
                </c:pt>
                <c:pt idx="120" formatCode="0">
                  <c:v>-60.712121212121211</c:v>
                </c:pt>
                <c:pt idx="121" formatCode="0">
                  <c:v>-57.348484848484851</c:v>
                </c:pt>
                <c:pt idx="122" formatCode="0">
                  <c:v>-53.909090909090914</c:v>
                </c:pt>
                <c:pt idx="123" formatCode="0">
                  <c:v>-51.151515151515149</c:v>
                </c:pt>
                <c:pt idx="124" formatCode="0">
                  <c:v>-54.68181818181818</c:v>
                </c:pt>
                <c:pt idx="125" formatCode="0">
                  <c:v>-56.151515151515156</c:v>
                </c:pt>
                <c:pt idx="126" formatCode="0">
                  <c:v>-57.863636363636367</c:v>
                </c:pt>
                <c:pt idx="127" formatCode="0">
                  <c:v>-58.681818181818187</c:v>
                </c:pt>
                <c:pt idx="128" formatCode="0">
                  <c:v>-53.5</c:v>
                </c:pt>
                <c:pt idx="129" formatCode="0">
                  <c:v>-48.909090909090907</c:v>
                </c:pt>
                <c:pt idx="130" formatCode="0">
                  <c:v>-44.242424242424242</c:v>
                </c:pt>
                <c:pt idx="131" formatCode="0">
                  <c:v>-46.5</c:v>
                </c:pt>
                <c:pt idx="132" formatCode="0">
                  <c:v>-48</c:v>
                </c:pt>
                <c:pt idx="133" formatCode="0">
                  <c:v>-50.939393939393938</c:v>
                </c:pt>
                <c:pt idx="134" formatCode="0">
                  <c:v>-53.712121212121211</c:v>
                </c:pt>
                <c:pt idx="135" formatCode="0">
                  <c:v>-50.636363636363633</c:v>
                </c:pt>
                <c:pt idx="136" formatCode="0">
                  <c:v>-46.196969696969695</c:v>
                </c:pt>
                <c:pt idx="137" formatCode="0">
                  <c:v>-42.212121212121218</c:v>
                </c:pt>
                <c:pt idx="138" formatCode="0">
                  <c:v>-43.287878787878789</c:v>
                </c:pt>
                <c:pt idx="139" formatCode="0">
                  <c:v>-46.090909090909093</c:v>
                </c:pt>
                <c:pt idx="140" formatCode="0">
                  <c:v>-49.727272727272727</c:v>
                </c:pt>
                <c:pt idx="141" formatCode="0">
                  <c:v>-52.439393939393938</c:v>
                </c:pt>
                <c:pt idx="142" formatCode="0">
                  <c:v>-46.121212121212125</c:v>
                </c:pt>
                <c:pt idx="143" formatCode="0">
                  <c:v>-41.18181818181818</c:v>
                </c:pt>
                <c:pt idx="144" formatCode="0">
                  <c:v>-38.227272727272727</c:v>
                </c:pt>
                <c:pt idx="145" formatCode="0">
                  <c:v>-41.378787878787875</c:v>
                </c:pt>
                <c:pt idx="146" formatCode="0">
                  <c:v>-42.303030303030305</c:v>
                </c:pt>
                <c:pt idx="147" formatCode="0">
                  <c:v>-43.363636363636367</c:v>
                </c:pt>
                <c:pt idx="148" formatCode="0">
                  <c:v>-42.772727272727273</c:v>
                </c:pt>
                <c:pt idx="149" formatCode="0">
                  <c:v>-39.212121212121211</c:v>
                </c:pt>
                <c:pt idx="150" formatCode="0">
                  <c:v>-34.409090909090914</c:v>
                </c:pt>
                <c:pt idx="151" formatCode="0">
                  <c:v>-31.454545454545453</c:v>
                </c:pt>
                <c:pt idx="152" formatCode="0">
                  <c:v>-30.469696969696969</c:v>
                </c:pt>
                <c:pt idx="153" formatCode="0">
                  <c:v>-30.22727272727273</c:v>
                </c:pt>
              </c:numCache>
            </c:numRef>
          </c:val>
          <c:smooth val="0"/>
          <c:extLst>
            <c:ext xmlns:c16="http://schemas.microsoft.com/office/drawing/2014/chart" uri="{C3380CC4-5D6E-409C-BE32-E72D297353CC}">
              <c16:uniqueId val="{00000001-BC55-4F12-B7F6-63E28CF81CA2}"/>
            </c:ext>
          </c:extLst>
        </c:ser>
        <c:ser>
          <c:idx val="1"/>
          <c:order val="1"/>
          <c:tx>
            <c:strRef>
              <c:f>'Google to 27 June'!$I$2</c:f>
              <c:strCache>
                <c:ptCount val="1"/>
                <c:pt idx="0">
                  <c:v>Grocery and pharmacy </c:v>
                </c:pt>
              </c:strCache>
            </c:strRef>
          </c:tx>
          <c:spPr>
            <a:ln w="28575" cap="rnd">
              <a:solidFill>
                <a:schemeClr val="accent2"/>
              </a:solidFill>
              <a:round/>
            </a:ln>
            <a:effectLst/>
          </c:spPr>
          <c:marker>
            <c:symbol val="none"/>
          </c:marker>
          <c:cat>
            <c:numRef>
              <c:f>'Google to 27 June'!$B$3545:$B$3698</c:f>
              <c:numCache>
                <c:formatCode>m/d/yyyy</c:formatCode>
                <c:ptCount val="154"/>
                <c:pt idx="0">
                  <c:v>43876</c:v>
                </c:pt>
                <c:pt idx="1">
                  <c:v>43877</c:v>
                </c:pt>
                <c:pt idx="2">
                  <c:v>43878</c:v>
                </c:pt>
                <c:pt idx="3">
                  <c:v>43879</c:v>
                </c:pt>
                <c:pt idx="4">
                  <c:v>43880</c:v>
                </c:pt>
                <c:pt idx="5">
                  <c:v>43881</c:v>
                </c:pt>
                <c:pt idx="6">
                  <c:v>43882</c:v>
                </c:pt>
                <c:pt idx="7">
                  <c:v>43883</c:v>
                </c:pt>
                <c:pt idx="8">
                  <c:v>43884</c:v>
                </c:pt>
                <c:pt idx="9">
                  <c:v>43885</c:v>
                </c:pt>
                <c:pt idx="10">
                  <c:v>43886</c:v>
                </c:pt>
                <c:pt idx="11">
                  <c:v>43887</c:v>
                </c:pt>
                <c:pt idx="12">
                  <c:v>43888</c:v>
                </c:pt>
                <c:pt idx="13">
                  <c:v>43889</c:v>
                </c:pt>
                <c:pt idx="14">
                  <c:v>43890</c:v>
                </c:pt>
                <c:pt idx="15">
                  <c:v>43891</c:v>
                </c:pt>
                <c:pt idx="16">
                  <c:v>43892</c:v>
                </c:pt>
                <c:pt idx="17">
                  <c:v>43893</c:v>
                </c:pt>
                <c:pt idx="18">
                  <c:v>43894</c:v>
                </c:pt>
                <c:pt idx="19">
                  <c:v>43895</c:v>
                </c:pt>
                <c:pt idx="20">
                  <c:v>43896</c:v>
                </c:pt>
                <c:pt idx="21">
                  <c:v>43897</c:v>
                </c:pt>
                <c:pt idx="22">
                  <c:v>43898</c:v>
                </c:pt>
                <c:pt idx="23">
                  <c:v>43899</c:v>
                </c:pt>
                <c:pt idx="24">
                  <c:v>43900</c:v>
                </c:pt>
                <c:pt idx="25">
                  <c:v>43901</c:v>
                </c:pt>
                <c:pt idx="26">
                  <c:v>43902</c:v>
                </c:pt>
                <c:pt idx="27">
                  <c:v>43903</c:v>
                </c:pt>
                <c:pt idx="28">
                  <c:v>43904</c:v>
                </c:pt>
                <c:pt idx="29">
                  <c:v>43905</c:v>
                </c:pt>
                <c:pt idx="30">
                  <c:v>43906</c:v>
                </c:pt>
                <c:pt idx="31">
                  <c:v>43907</c:v>
                </c:pt>
                <c:pt idx="32">
                  <c:v>43908</c:v>
                </c:pt>
                <c:pt idx="33">
                  <c:v>43909</c:v>
                </c:pt>
                <c:pt idx="34">
                  <c:v>43910</c:v>
                </c:pt>
                <c:pt idx="35">
                  <c:v>43911</c:v>
                </c:pt>
                <c:pt idx="36">
                  <c:v>43912</c:v>
                </c:pt>
                <c:pt idx="37">
                  <c:v>43913</c:v>
                </c:pt>
                <c:pt idx="38">
                  <c:v>43914</c:v>
                </c:pt>
                <c:pt idx="39">
                  <c:v>43915</c:v>
                </c:pt>
                <c:pt idx="40">
                  <c:v>43916</c:v>
                </c:pt>
                <c:pt idx="41">
                  <c:v>43917</c:v>
                </c:pt>
                <c:pt idx="42">
                  <c:v>43918</c:v>
                </c:pt>
                <c:pt idx="43">
                  <c:v>43919</c:v>
                </c:pt>
                <c:pt idx="44">
                  <c:v>43920</c:v>
                </c:pt>
                <c:pt idx="45">
                  <c:v>43921</c:v>
                </c:pt>
                <c:pt idx="46">
                  <c:v>43922</c:v>
                </c:pt>
                <c:pt idx="47">
                  <c:v>43923</c:v>
                </c:pt>
                <c:pt idx="48">
                  <c:v>43924</c:v>
                </c:pt>
                <c:pt idx="49">
                  <c:v>43925</c:v>
                </c:pt>
                <c:pt idx="50">
                  <c:v>43926</c:v>
                </c:pt>
                <c:pt idx="51">
                  <c:v>43927</c:v>
                </c:pt>
                <c:pt idx="52">
                  <c:v>43928</c:v>
                </c:pt>
                <c:pt idx="53">
                  <c:v>43929</c:v>
                </c:pt>
                <c:pt idx="54">
                  <c:v>43930</c:v>
                </c:pt>
                <c:pt idx="55">
                  <c:v>43931</c:v>
                </c:pt>
                <c:pt idx="56">
                  <c:v>43932</c:v>
                </c:pt>
                <c:pt idx="57">
                  <c:v>43933</c:v>
                </c:pt>
                <c:pt idx="58">
                  <c:v>43934</c:v>
                </c:pt>
                <c:pt idx="59">
                  <c:v>43935</c:v>
                </c:pt>
                <c:pt idx="60">
                  <c:v>43936</c:v>
                </c:pt>
                <c:pt idx="61">
                  <c:v>43937</c:v>
                </c:pt>
                <c:pt idx="62">
                  <c:v>43938</c:v>
                </c:pt>
                <c:pt idx="63">
                  <c:v>43939</c:v>
                </c:pt>
                <c:pt idx="64">
                  <c:v>43940</c:v>
                </c:pt>
                <c:pt idx="65">
                  <c:v>43941</c:v>
                </c:pt>
                <c:pt idx="66">
                  <c:v>43942</c:v>
                </c:pt>
                <c:pt idx="67">
                  <c:v>43943</c:v>
                </c:pt>
                <c:pt idx="68">
                  <c:v>43944</c:v>
                </c:pt>
                <c:pt idx="69">
                  <c:v>43945</c:v>
                </c:pt>
                <c:pt idx="70">
                  <c:v>43946</c:v>
                </c:pt>
                <c:pt idx="71">
                  <c:v>43947</c:v>
                </c:pt>
                <c:pt idx="72">
                  <c:v>43948</c:v>
                </c:pt>
                <c:pt idx="73">
                  <c:v>43949</c:v>
                </c:pt>
                <c:pt idx="74">
                  <c:v>43950</c:v>
                </c:pt>
                <c:pt idx="75">
                  <c:v>43951</c:v>
                </c:pt>
                <c:pt idx="76">
                  <c:v>43952</c:v>
                </c:pt>
                <c:pt idx="77">
                  <c:v>43953</c:v>
                </c:pt>
                <c:pt idx="78">
                  <c:v>43954</c:v>
                </c:pt>
                <c:pt idx="79">
                  <c:v>43955</c:v>
                </c:pt>
                <c:pt idx="80">
                  <c:v>43956</c:v>
                </c:pt>
                <c:pt idx="81">
                  <c:v>43957</c:v>
                </c:pt>
                <c:pt idx="82">
                  <c:v>43958</c:v>
                </c:pt>
                <c:pt idx="83">
                  <c:v>43959</c:v>
                </c:pt>
                <c:pt idx="84">
                  <c:v>43960</c:v>
                </c:pt>
                <c:pt idx="85">
                  <c:v>43961</c:v>
                </c:pt>
                <c:pt idx="86">
                  <c:v>43962</c:v>
                </c:pt>
                <c:pt idx="87">
                  <c:v>43963</c:v>
                </c:pt>
                <c:pt idx="88">
                  <c:v>43964</c:v>
                </c:pt>
                <c:pt idx="89">
                  <c:v>43965</c:v>
                </c:pt>
                <c:pt idx="90">
                  <c:v>43966</c:v>
                </c:pt>
                <c:pt idx="91">
                  <c:v>43967</c:v>
                </c:pt>
                <c:pt idx="92">
                  <c:v>43968</c:v>
                </c:pt>
                <c:pt idx="93">
                  <c:v>43969</c:v>
                </c:pt>
                <c:pt idx="94">
                  <c:v>43970</c:v>
                </c:pt>
                <c:pt idx="95">
                  <c:v>43971</c:v>
                </c:pt>
                <c:pt idx="96">
                  <c:v>43972</c:v>
                </c:pt>
                <c:pt idx="97">
                  <c:v>43973</c:v>
                </c:pt>
                <c:pt idx="98">
                  <c:v>43974</c:v>
                </c:pt>
                <c:pt idx="99">
                  <c:v>43975</c:v>
                </c:pt>
                <c:pt idx="100">
                  <c:v>43976</c:v>
                </c:pt>
                <c:pt idx="101">
                  <c:v>43977</c:v>
                </c:pt>
                <c:pt idx="102">
                  <c:v>43978</c:v>
                </c:pt>
                <c:pt idx="103">
                  <c:v>43979</c:v>
                </c:pt>
                <c:pt idx="104">
                  <c:v>43980</c:v>
                </c:pt>
                <c:pt idx="105">
                  <c:v>43981</c:v>
                </c:pt>
                <c:pt idx="106">
                  <c:v>43982</c:v>
                </c:pt>
                <c:pt idx="107">
                  <c:v>43983</c:v>
                </c:pt>
                <c:pt idx="108">
                  <c:v>43984</c:v>
                </c:pt>
                <c:pt idx="109">
                  <c:v>43985</c:v>
                </c:pt>
                <c:pt idx="110">
                  <c:v>43986</c:v>
                </c:pt>
                <c:pt idx="111">
                  <c:v>43987</c:v>
                </c:pt>
                <c:pt idx="112">
                  <c:v>43988</c:v>
                </c:pt>
                <c:pt idx="113">
                  <c:v>43989</c:v>
                </c:pt>
                <c:pt idx="114">
                  <c:v>43990</c:v>
                </c:pt>
                <c:pt idx="115">
                  <c:v>43991</c:v>
                </c:pt>
                <c:pt idx="116">
                  <c:v>43992</c:v>
                </c:pt>
                <c:pt idx="117">
                  <c:v>43993</c:v>
                </c:pt>
                <c:pt idx="118">
                  <c:v>43994</c:v>
                </c:pt>
                <c:pt idx="119">
                  <c:v>43995</c:v>
                </c:pt>
                <c:pt idx="120">
                  <c:v>43996</c:v>
                </c:pt>
                <c:pt idx="121">
                  <c:v>43997</c:v>
                </c:pt>
                <c:pt idx="122">
                  <c:v>43998</c:v>
                </c:pt>
                <c:pt idx="123">
                  <c:v>43999</c:v>
                </c:pt>
                <c:pt idx="124">
                  <c:v>44000</c:v>
                </c:pt>
                <c:pt idx="125">
                  <c:v>44001</c:v>
                </c:pt>
                <c:pt idx="126">
                  <c:v>44002</c:v>
                </c:pt>
                <c:pt idx="127">
                  <c:v>44003</c:v>
                </c:pt>
                <c:pt idx="128">
                  <c:v>44004</c:v>
                </c:pt>
                <c:pt idx="129">
                  <c:v>44005</c:v>
                </c:pt>
                <c:pt idx="130">
                  <c:v>44006</c:v>
                </c:pt>
                <c:pt idx="131">
                  <c:v>44007</c:v>
                </c:pt>
                <c:pt idx="132">
                  <c:v>44008</c:v>
                </c:pt>
                <c:pt idx="133">
                  <c:v>44009</c:v>
                </c:pt>
                <c:pt idx="134">
                  <c:v>44010</c:v>
                </c:pt>
                <c:pt idx="135">
                  <c:v>44011</c:v>
                </c:pt>
                <c:pt idx="136">
                  <c:v>44012</c:v>
                </c:pt>
                <c:pt idx="137">
                  <c:v>44013</c:v>
                </c:pt>
                <c:pt idx="138">
                  <c:v>44014</c:v>
                </c:pt>
                <c:pt idx="139">
                  <c:v>44015</c:v>
                </c:pt>
                <c:pt idx="140">
                  <c:v>44016</c:v>
                </c:pt>
                <c:pt idx="141">
                  <c:v>44017</c:v>
                </c:pt>
                <c:pt idx="142">
                  <c:v>44018</c:v>
                </c:pt>
                <c:pt idx="143">
                  <c:v>44019</c:v>
                </c:pt>
                <c:pt idx="144">
                  <c:v>44020</c:v>
                </c:pt>
                <c:pt idx="145">
                  <c:v>44021</c:v>
                </c:pt>
                <c:pt idx="146">
                  <c:v>44022</c:v>
                </c:pt>
                <c:pt idx="147">
                  <c:v>44023</c:v>
                </c:pt>
                <c:pt idx="148">
                  <c:v>44024</c:v>
                </c:pt>
                <c:pt idx="149">
                  <c:v>44025</c:v>
                </c:pt>
                <c:pt idx="150">
                  <c:v>44026</c:v>
                </c:pt>
                <c:pt idx="151">
                  <c:v>44027</c:v>
                </c:pt>
                <c:pt idx="152">
                  <c:v>44028</c:v>
                </c:pt>
                <c:pt idx="153">
                  <c:v>44029</c:v>
                </c:pt>
              </c:numCache>
            </c:numRef>
          </c:cat>
          <c:val>
            <c:numRef>
              <c:f>'Google to 27 June'!$I$3545:$I$3698</c:f>
              <c:numCache>
                <c:formatCode>General</c:formatCode>
                <c:ptCount val="154"/>
                <c:pt idx="2" formatCode="0">
                  <c:v>-1.7878787878787878</c:v>
                </c:pt>
                <c:pt idx="3" formatCode="0">
                  <c:v>1.3333333333333333</c:v>
                </c:pt>
                <c:pt idx="4" formatCode="0">
                  <c:v>2.6969696969696972</c:v>
                </c:pt>
                <c:pt idx="5" formatCode="0">
                  <c:v>2.1212121212121211</c:v>
                </c:pt>
                <c:pt idx="6" formatCode="0">
                  <c:v>1.9393939393939394</c:v>
                </c:pt>
                <c:pt idx="7" formatCode="0">
                  <c:v>1.803030303030303</c:v>
                </c:pt>
                <c:pt idx="8" formatCode="0">
                  <c:v>1.0151515151515154</c:v>
                </c:pt>
                <c:pt idx="9" formatCode="0">
                  <c:v>0.89393939393939392</c:v>
                </c:pt>
                <c:pt idx="10" formatCode="0">
                  <c:v>3.4545454545454546</c:v>
                </c:pt>
                <c:pt idx="11" formatCode="0">
                  <c:v>3.6666666666666661</c:v>
                </c:pt>
                <c:pt idx="12" formatCode="0">
                  <c:v>4.1060606060606055</c:v>
                </c:pt>
                <c:pt idx="13" formatCode="0">
                  <c:v>1.4242424242424241</c:v>
                </c:pt>
                <c:pt idx="14" formatCode="0">
                  <c:v>2.7121212121212124</c:v>
                </c:pt>
                <c:pt idx="15" formatCode="0">
                  <c:v>2.9545454545454546</c:v>
                </c:pt>
                <c:pt idx="16" formatCode="0">
                  <c:v>4.7424242424242422</c:v>
                </c:pt>
                <c:pt idx="17" formatCode="0">
                  <c:v>4.6212121212121211</c:v>
                </c:pt>
                <c:pt idx="18" formatCode="0">
                  <c:v>4.5606060606060614</c:v>
                </c:pt>
                <c:pt idx="19" formatCode="0">
                  <c:v>4.8787878787878789</c:v>
                </c:pt>
                <c:pt idx="20" formatCode="0">
                  <c:v>5.5909090909090908</c:v>
                </c:pt>
                <c:pt idx="21" formatCode="0">
                  <c:v>5.5303030303030303</c:v>
                </c:pt>
                <c:pt idx="22" formatCode="0">
                  <c:v>4.6060606060606064</c:v>
                </c:pt>
                <c:pt idx="23" formatCode="0">
                  <c:v>3.606060606060606</c:v>
                </c:pt>
                <c:pt idx="24" formatCode="0">
                  <c:v>4.2272727272727266</c:v>
                </c:pt>
                <c:pt idx="25" formatCode="0">
                  <c:v>4.8484848484848486</c:v>
                </c:pt>
                <c:pt idx="26" formatCode="0">
                  <c:v>7.8787878787878789</c:v>
                </c:pt>
                <c:pt idx="27" formatCode="0">
                  <c:v>10.424242424242424</c:v>
                </c:pt>
                <c:pt idx="28" formatCode="0">
                  <c:v>12.575757575757578</c:v>
                </c:pt>
                <c:pt idx="29" formatCode="0">
                  <c:v>11.909090909090908</c:v>
                </c:pt>
                <c:pt idx="30" formatCode="0">
                  <c:v>14.212121212121213</c:v>
                </c:pt>
                <c:pt idx="31" formatCode="0">
                  <c:v>16.863636363636363</c:v>
                </c:pt>
                <c:pt idx="32" formatCode="0">
                  <c:v>19.5</c:v>
                </c:pt>
                <c:pt idx="33" formatCode="0">
                  <c:v>19.787878787878785</c:v>
                </c:pt>
                <c:pt idx="34" formatCode="0">
                  <c:v>15.954545454545455</c:v>
                </c:pt>
                <c:pt idx="35" formatCode="0">
                  <c:v>12.803030303030303</c:v>
                </c:pt>
                <c:pt idx="36" formatCode="0">
                  <c:v>2.2121212121212128</c:v>
                </c:pt>
                <c:pt idx="37" formatCode="0">
                  <c:v>-3.393939393939394</c:v>
                </c:pt>
                <c:pt idx="38" formatCode="0">
                  <c:v>-15.15151515151515</c:v>
                </c:pt>
                <c:pt idx="39" formatCode="0">
                  <c:v>-21.242424242424246</c:v>
                </c:pt>
                <c:pt idx="40" formatCode="0">
                  <c:v>-28.863636363636363</c:v>
                </c:pt>
                <c:pt idx="41" formatCode="0">
                  <c:v>-30.818181818181817</c:v>
                </c:pt>
                <c:pt idx="42" formatCode="0">
                  <c:v>-34.530303030303031</c:v>
                </c:pt>
                <c:pt idx="43" formatCode="0">
                  <c:v>-39.575757575757578</c:v>
                </c:pt>
                <c:pt idx="44" formatCode="0">
                  <c:v>-40.424242424242422</c:v>
                </c:pt>
                <c:pt idx="45" formatCode="0">
                  <c:v>-37.303030303030305</c:v>
                </c:pt>
                <c:pt idx="46" formatCode="0">
                  <c:v>-33.151515151515149</c:v>
                </c:pt>
                <c:pt idx="47" formatCode="0">
                  <c:v>-32.575757575757571</c:v>
                </c:pt>
                <c:pt idx="48" formatCode="0">
                  <c:v>-32.575757575757578</c:v>
                </c:pt>
                <c:pt idx="49" formatCode="0">
                  <c:v>-33.651515151515149</c:v>
                </c:pt>
                <c:pt idx="50" formatCode="0">
                  <c:v>-36.954545454545446</c:v>
                </c:pt>
                <c:pt idx="51" formatCode="0">
                  <c:v>-37.378787878787875</c:v>
                </c:pt>
                <c:pt idx="52" formatCode="0">
                  <c:v>-34.863636363636367</c:v>
                </c:pt>
                <c:pt idx="53" formatCode="0">
                  <c:v>-30.136363636363637</c:v>
                </c:pt>
                <c:pt idx="54" formatCode="0">
                  <c:v>-25.257575757575754</c:v>
                </c:pt>
                <c:pt idx="55" formatCode="0">
                  <c:v>-27.484848484848484</c:v>
                </c:pt>
                <c:pt idx="56" formatCode="0">
                  <c:v>-28.060606060606062</c:v>
                </c:pt>
                <c:pt idx="57" formatCode="0">
                  <c:v>-45.075757575757585</c:v>
                </c:pt>
                <c:pt idx="58" formatCode="0">
                  <c:v>-47.272727272727273</c:v>
                </c:pt>
                <c:pt idx="59" formatCode="0">
                  <c:v>-45.181818181818187</c:v>
                </c:pt>
                <c:pt idx="60" formatCode="0">
                  <c:v>-31.439393939393938</c:v>
                </c:pt>
                <c:pt idx="61" formatCode="0">
                  <c:v>-26.136363636363637</c:v>
                </c:pt>
                <c:pt idx="62" formatCode="0">
                  <c:v>-28.787878787878785</c:v>
                </c:pt>
                <c:pt idx="63" formatCode="0">
                  <c:v>-31.757575757575761</c:v>
                </c:pt>
                <c:pt idx="64" formatCode="0">
                  <c:v>-36.287878787878789</c:v>
                </c:pt>
                <c:pt idx="65" formatCode="0">
                  <c:v>-35.515151515151516</c:v>
                </c:pt>
                <c:pt idx="66" formatCode="0">
                  <c:v>-32.651515151515149</c:v>
                </c:pt>
                <c:pt idx="67" formatCode="0">
                  <c:v>-28.606060606060606</c:v>
                </c:pt>
                <c:pt idx="68" formatCode="0">
                  <c:v>-27.5</c:v>
                </c:pt>
                <c:pt idx="69" formatCode="0">
                  <c:v>-27.348484848484848</c:v>
                </c:pt>
                <c:pt idx="70" formatCode="0">
                  <c:v>-28.136363636363637</c:v>
                </c:pt>
                <c:pt idx="71" formatCode="0">
                  <c:v>-31.90909090909091</c:v>
                </c:pt>
                <c:pt idx="72" formatCode="0">
                  <c:v>-32.636363636363633</c:v>
                </c:pt>
                <c:pt idx="73" formatCode="0">
                  <c:v>-33.015151515151516</c:v>
                </c:pt>
                <c:pt idx="74" formatCode="0">
                  <c:v>-30.666666666666668</c:v>
                </c:pt>
                <c:pt idx="75" formatCode="0">
                  <c:v>-29.969696969696969</c:v>
                </c:pt>
                <c:pt idx="76" formatCode="0">
                  <c:v>-28.348484848484848</c:v>
                </c:pt>
                <c:pt idx="77" formatCode="0">
                  <c:v>-28.075757575757578</c:v>
                </c:pt>
                <c:pt idx="78" formatCode="0">
                  <c:v>-31.484848484848488</c:v>
                </c:pt>
                <c:pt idx="79" formatCode="0">
                  <c:v>-31.363636363636363</c:v>
                </c:pt>
                <c:pt idx="80" formatCode="0">
                  <c:v>-30.181818181818183</c:v>
                </c:pt>
                <c:pt idx="81" formatCode="0">
                  <c:v>-24.878787878787879</c:v>
                </c:pt>
                <c:pt idx="82" formatCode="0">
                  <c:v>-20.121212121212121</c:v>
                </c:pt>
                <c:pt idx="83" formatCode="0">
                  <c:v>-22.075757575757574</c:v>
                </c:pt>
                <c:pt idx="84" formatCode="0">
                  <c:v>-24.212121212121215</c:v>
                </c:pt>
                <c:pt idx="85" formatCode="0">
                  <c:v>-31.77272727272727</c:v>
                </c:pt>
                <c:pt idx="86" formatCode="0">
                  <c:v>-28.924242424242422</c:v>
                </c:pt>
                <c:pt idx="87" formatCode="0">
                  <c:v>-26.636363636363637</c:v>
                </c:pt>
                <c:pt idx="88" formatCode="0">
                  <c:v>-22.606060606060606</c:v>
                </c:pt>
                <c:pt idx="89" formatCode="0">
                  <c:v>-21.333333333333332</c:v>
                </c:pt>
                <c:pt idx="90" formatCode="0">
                  <c:v>-21.590909090909093</c:v>
                </c:pt>
                <c:pt idx="91" formatCode="0">
                  <c:v>-22.045454545454547</c:v>
                </c:pt>
                <c:pt idx="92" formatCode="0">
                  <c:v>-25.378787878787879</c:v>
                </c:pt>
                <c:pt idx="93" formatCode="0">
                  <c:v>-25.333333333333332</c:v>
                </c:pt>
                <c:pt idx="94" formatCode="0">
                  <c:v>-23.590909090909093</c:v>
                </c:pt>
                <c:pt idx="95" formatCode="0">
                  <c:v>-19.5</c:v>
                </c:pt>
                <c:pt idx="96" formatCode="0">
                  <c:v>-17.530303030303031</c:v>
                </c:pt>
                <c:pt idx="97" formatCode="0">
                  <c:v>-17.212121212121215</c:v>
                </c:pt>
                <c:pt idx="98" formatCode="0">
                  <c:v>-19.045454545454547</c:v>
                </c:pt>
                <c:pt idx="99" formatCode="0">
                  <c:v>-22.015151515151516</c:v>
                </c:pt>
                <c:pt idx="100" formatCode="0">
                  <c:v>-25.787878787878785</c:v>
                </c:pt>
                <c:pt idx="101" formatCode="0">
                  <c:v>-22.621212121212121</c:v>
                </c:pt>
                <c:pt idx="102" formatCode="0">
                  <c:v>-19.303030303030301</c:v>
                </c:pt>
                <c:pt idx="103" formatCode="0">
                  <c:v>-13.378787878787881</c:v>
                </c:pt>
                <c:pt idx="104" formatCode="0">
                  <c:v>-13.303030303030303</c:v>
                </c:pt>
                <c:pt idx="105" formatCode="0">
                  <c:v>-13.5</c:v>
                </c:pt>
                <c:pt idx="106" formatCode="0">
                  <c:v>-15.954545454545453</c:v>
                </c:pt>
                <c:pt idx="107" formatCode="0">
                  <c:v>-15.863636363636365</c:v>
                </c:pt>
                <c:pt idx="108" formatCode="0">
                  <c:v>-15.681818181818182</c:v>
                </c:pt>
                <c:pt idx="109" formatCode="0">
                  <c:v>-16.136363636363637</c:v>
                </c:pt>
                <c:pt idx="110" formatCode="0">
                  <c:v>-17.136363636363637</c:v>
                </c:pt>
                <c:pt idx="111" formatCode="0">
                  <c:v>-17.757575757575754</c:v>
                </c:pt>
                <c:pt idx="112" formatCode="0">
                  <c:v>-17.727272727272727</c:v>
                </c:pt>
                <c:pt idx="113" formatCode="0">
                  <c:v>-20.136363636363637</c:v>
                </c:pt>
                <c:pt idx="114" formatCode="0">
                  <c:v>-20.272727272727273</c:v>
                </c:pt>
                <c:pt idx="115" formatCode="0">
                  <c:v>-18.969696969696969</c:v>
                </c:pt>
                <c:pt idx="116" formatCode="0">
                  <c:v>-17.242424242424239</c:v>
                </c:pt>
                <c:pt idx="117" formatCode="0">
                  <c:v>-16.833333333333332</c:v>
                </c:pt>
                <c:pt idx="118" formatCode="0">
                  <c:v>-17.136363636363637</c:v>
                </c:pt>
                <c:pt idx="119" formatCode="0">
                  <c:v>-16.606060606060606</c:v>
                </c:pt>
                <c:pt idx="120" formatCode="0">
                  <c:v>-18.287878787878785</c:v>
                </c:pt>
                <c:pt idx="121" formatCode="0">
                  <c:v>-17.287878787878785</c:v>
                </c:pt>
                <c:pt idx="122" formatCode="0">
                  <c:v>-16.5</c:v>
                </c:pt>
                <c:pt idx="123" formatCode="0">
                  <c:v>-14.363636363636365</c:v>
                </c:pt>
                <c:pt idx="124" formatCode="0">
                  <c:v>-15.818181818181818</c:v>
                </c:pt>
                <c:pt idx="125" formatCode="0">
                  <c:v>-15.560606060606061</c:v>
                </c:pt>
                <c:pt idx="126" formatCode="0">
                  <c:v>-13.469696969696969</c:v>
                </c:pt>
                <c:pt idx="127" formatCode="0">
                  <c:v>-13.106060606060607</c:v>
                </c:pt>
                <c:pt idx="128" formatCode="0">
                  <c:v>-14.363636363636365</c:v>
                </c:pt>
                <c:pt idx="129" formatCode="0">
                  <c:v>-15.242424242424242</c:v>
                </c:pt>
                <c:pt idx="130" formatCode="0">
                  <c:v>-12.34848484848485</c:v>
                </c:pt>
                <c:pt idx="131" formatCode="0">
                  <c:v>-9.0151515151515156</c:v>
                </c:pt>
                <c:pt idx="132" formatCode="0">
                  <c:v>-8.5606060606060606</c:v>
                </c:pt>
                <c:pt idx="133" formatCode="0">
                  <c:v>-10.318181818181818</c:v>
                </c:pt>
                <c:pt idx="134" formatCode="0">
                  <c:v>-14.545454545454547</c:v>
                </c:pt>
                <c:pt idx="135" formatCode="0">
                  <c:v>-16.287878787878785</c:v>
                </c:pt>
                <c:pt idx="136" formatCode="0">
                  <c:v>-15.030303030303031</c:v>
                </c:pt>
                <c:pt idx="137" formatCode="0">
                  <c:v>-12.333333333333334</c:v>
                </c:pt>
                <c:pt idx="138" formatCode="0">
                  <c:v>-10.590909090909092</c:v>
                </c:pt>
                <c:pt idx="139" formatCode="0">
                  <c:v>-11.878787878787877</c:v>
                </c:pt>
                <c:pt idx="140" formatCode="0">
                  <c:v>-12.560606060606062</c:v>
                </c:pt>
                <c:pt idx="141" formatCode="0">
                  <c:v>-15.075757575757578</c:v>
                </c:pt>
                <c:pt idx="142" formatCode="0">
                  <c:v>-13.196969696969697</c:v>
                </c:pt>
                <c:pt idx="143" formatCode="0">
                  <c:v>-12.409090909090908</c:v>
                </c:pt>
                <c:pt idx="144" formatCode="0">
                  <c:v>-10.833333333333334</c:v>
                </c:pt>
                <c:pt idx="145" formatCode="0">
                  <c:v>-10.65151515151515</c:v>
                </c:pt>
                <c:pt idx="146" formatCode="0">
                  <c:v>-9.2575757575757578</c:v>
                </c:pt>
                <c:pt idx="147" formatCode="0">
                  <c:v>-6.1363636363636367</c:v>
                </c:pt>
                <c:pt idx="148" formatCode="0">
                  <c:v>-4.8939393939393945</c:v>
                </c:pt>
                <c:pt idx="149" formatCode="0">
                  <c:v>-4.5909090909090908</c:v>
                </c:pt>
                <c:pt idx="150" formatCode="0">
                  <c:v>-4.6969696969696981</c:v>
                </c:pt>
                <c:pt idx="151" formatCode="0">
                  <c:v>-4.5454545454545459</c:v>
                </c:pt>
                <c:pt idx="152" formatCode="0">
                  <c:v>-2.8636363636363633</c:v>
                </c:pt>
                <c:pt idx="153" formatCode="0">
                  <c:v>-1.7878787878787878</c:v>
                </c:pt>
              </c:numCache>
            </c:numRef>
          </c:val>
          <c:smooth val="0"/>
          <c:extLst>
            <c:ext xmlns:c16="http://schemas.microsoft.com/office/drawing/2014/chart" uri="{C3380CC4-5D6E-409C-BE32-E72D297353CC}">
              <c16:uniqueId val="{00000002-BC55-4F12-B7F6-63E28CF81CA2}"/>
            </c:ext>
          </c:extLst>
        </c:ser>
        <c:ser>
          <c:idx val="2"/>
          <c:order val="2"/>
          <c:tx>
            <c:strRef>
              <c:f>'Google to 27 June'!$J$2</c:f>
              <c:strCache>
                <c:ptCount val="1"/>
                <c:pt idx="0">
                  <c:v>Transit </c:v>
                </c:pt>
              </c:strCache>
            </c:strRef>
          </c:tx>
          <c:spPr>
            <a:ln w="28575" cap="rnd">
              <a:solidFill>
                <a:schemeClr val="accent3"/>
              </a:solidFill>
              <a:round/>
            </a:ln>
            <a:effectLst/>
          </c:spPr>
          <c:marker>
            <c:symbol val="none"/>
          </c:marker>
          <c:cat>
            <c:numRef>
              <c:f>'Google to 27 June'!$B$3545:$B$3698</c:f>
              <c:numCache>
                <c:formatCode>m/d/yyyy</c:formatCode>
                <c:ptCount val="154"/>
                <c:pt idx="0">
                  <c:v>43876</c:v>
                </c:pt>
                <c:pt idx="1">
                  <c:v>43877</c:v>
                </c:pt>
                <c:pt idx="2">
                  <c:v>43878</c:v>
                </c:pt>
                <c:pt idx="3">
                  <c:v>43879</c:v>
                </c:pt>
                <c:pt idx="4">
                  <c:v>43880</c:v>
                </c:pt>
                <c:pt idx="5">
                  <c:v>43881</c:v>
                </c:pt>
                <c:pt idx="6">
                  <c:v>43882</c:v>
                </c:pt>
                <c:pt idx="7">
                  <c:v>43883</c:v>
                </c:pt>
                <c:pt idx="8">
                  <c:v>43884</c:v>
                </c:pt>
                <c:pt idx="9">
                  <c:v>43885</c:v>
                </c:pt>
                <c:pt idx="10">
                  <c:v>43886</c:v>
                </c:pt>
                <c:pt idx="11">
                  <c:v>43887</c:v>
                </c:pt>
                <c:pt idx="12">
                  <c:v>43888</c:v>
                </c:pt>
                <c:pt idx="13">
                  <c:v>43889</c:v>
                </c:pt>
                <c:pt idx="14">
                  <c:v>43890</c:v>
                </c:pt>
                <c:pt idx="15">
                  <c:v>43891</c:v>
                </c:pt>
                <c:pt idx="16">
                  <c:v>43892</c:v>
                </c:pt>
                <c:pt idx="17">
                  <c:v>43893</c:v>
                </c:pt>
                <c:pt idx="18">
                  <c:v>43894</c:v>
                </c:pt>
                <c:pt idx="19">
                  <c:v>43895</c:v>
                </c:pt>
                <c:pt idx="20">
                  <c:v>43896</c:v>
                </c:pt>
                <c:pt idx="21">
                  <c:v>43897</c:v>
                </c:pt>
                <c:pt idx="22">
                  <c:v>43898</c:v>
                </c:pt>
                <c:pt idx="23">
                  <c:v>43899</c:v>
                </c:pt>
                <c:pt idx="24">
                  <c:v>43900</c:v>
                </c:pt>
                <c:pt idx="25">
                  <c:v>43901</c:v>
                </c:pt>
                <c:pt idx="26">
                  <c:v>43902</c:v>
                </c:pt>
                <c:pt idx="27">
                  <c:v>43903</c:v>
                </c:pt>
                <c:pt idx="28">
                  <c:v>43904</c:v>
                </c:pt>
                <c:pt idx="29">
                  <c:v>43905</c:v>
                </c:pt>
                <c:pt idx="30">
                  <c:v>43906</c:v>
                </c:pt>
                <c:pt idx="31">
                  <c:v>43907</c:v>
                </c:pt>
                <c:pt idx="32">
                  <c:v>43908</c:v>
                </c:pt>
                <c:pt idx="33">
                  <c:v>43909</c:v>
                </c:pt>
                <c:pt idx="34">
                  <c:v>43910</c:v>
                </c:pt>
                <c:pt idx="35">
                  <c:v>43911</c:v>
                </c:pt>
                <c:pt idx="36">
                  <c:v>43912</c:v>
                </c:pt>
                <c:pt idx="37">
                  <c:v>43913</c:v>
                </c:pt>
                <c:pt idx="38">
                  <c:v>43914</c:v>
                </c:pt>
                <c:pt idx="39">
                  <c:v>43915</c:v>
                </c:pt>
                <c:pt idx="40">
                  <c:v>43916</c:v>
                </c:pt>
                <c:pt idx="41">
                  <c:v>43917</c:v>
                </c:pt>
                <c:pt idx="42">
                  <c:v>43918</c:v>
                </c:pt>
                <c:pt idx="43">
                  <c:v>43919</c:v>
                </c:pt>
                <c:pt idx="44">
                  <c:v>43920</c:v>
                </c:pt>
                <c:pt idx="45">
                  <c:v>43921</c:v>
                </c:pt>
                <c:pt idx="46">
                  <c:v>43922</c:v>
                </c:pt>
                <c:pt idx="47">
                  <c:v>43923</c:v>
                </c:pt>
                <c:pt idx="48">
                  <c:v>43924</c:v>
                </c:pt>
                <c:pt idx="49">
                  <c:v>43925</c:v>
                </c:pt>
                <c:pt idx="50">
                  <c:v>43926</c:v>
                </c:pt>
                <c:pt idx="51">
                  <c:v>43927</c:v>
                </c:pt>
                <c:pt idx="52">
                  <c:v>43928</c:v>
                </c:pt>
                <c:pt idx="53">
                  <c:v>43929</c:v>
                </c:pt>
                <c:pt idx="54">
                  <c:v>43930</c:v>
                </c:pt>
                <c:pt idx="55">
                  <c:v>43931</c:v>
                </c:pt>
                <c:pt idx="56">
                  <c:v>43932</c:v>
                </c:pt>
                <c:pt idx="57">
                  <c:v>43933</c:v>
                </c:pt>
                <c:pt idx="58">
                  <c:v>43934</c:v>
                </c:pt>
                <c:pt idx="59">
                  <c:v>43935</c:v>
                </c:pt>
                <c:pt idx="60">
                  <c:v>43936</c:v>
                </c:pt>
                <c:pt idx="61">
                  <c:v>43937</c:v>
                </c:pt>
                <c:pt idx="62">
                  <c:v>43938</c:v>
                </c:pt>
                <c:pt idx="63">
                  <c:v>43939</c:v>
                </c:pt>
                <c:pt idx="64">
                  <c:v>43940</c:v>
                </c:pt>
                <c:pt idx="65">
                  <c:v>43941</c:v>
                </c:pt>
                <c:pt idx="66">
                  <c:v>43942</c:v>
                </c:pt>
                <c:pt idx="67">
                  <c:v>43943</c:v>
                </c:pt>
                <c:pt idx="68">
                  <c:v>43944</c:v>
                </c:pt>
                <c:pt idx="69">
                  <c:v>43945</c:v>
                </c:pt>
                <c:pt idx="70">
                  <c:v>43946</c:v>
                </c:pt>
                <c:pt idx="71">
                  <c:v>43947</c:v>
                </c:pt>
                <c:pt idx="72">
                  <c:v>43948</c:v>
                </c:pt>
                <c:pt idx="73">
                  <c:v>43949</c:v>
                </c:pt>
                <c:pt idx="74">
                  <c:v>43950</c:v>
                </c:pt>
                <c:pt idx="75">
                  <c:v>43951</c:v>
                </c:pt>
                <c:pt idx="76">
                  <c:v>43952</c:v>
                </c:pt>
                <c:pt idx="77">
                  <c:v>43953</c:v>
                </c:pt>
                <c:pt idx="78">
                  <c:v>43954</c:v>
                </c:pt>
                <c:pt idx="79">
                  <c:v>43955</c:v>
                </c:pt>
                <c:pt idx="80">
                  <c:v>43956</c:v>
                </c:pt>
                <c:pt idx="81">
                  <c:v>43957</c:v>
                </c:pt>
                <c:pt idx="82">
                  <c:v>43958</c:v>
                </c:pt>
                <c:pt idx="83">
                  <c:v>43959</c:v>
                </c:pt>
                <c:pt idx="84">
                  <c:v>43960</c:v>
                </c:pt>
                <c:pt idx="85">
                  <c:v>43961</c:v>
                </c:pt>
                <c:pt idx="86">
                  <c:v>43962</c:v>
                </c:pt>
                <c:pt idx="87">
                  <c:v>43963</c:v>
                </c:pt>
                <c:pt idx="88">
                  <c:v>43964</c:v>
                </c:pt>
                <c:pt idx="89">
                  <c:v>43965</c:v>
                </c:pt>
                <c:pt idx="90">
                  <c:v>43966</c:v>
                </c:pt>
                <c:pt idx="91">
                  <c:v>43967</c:v>
                </c:pt>
                <c:pt idx="92">
                  <c:v>43968</c:v>
                </c:pt>
                <c:pt idx="93">
                  <c:v>43969</c:v>
                </c:pt>
                <c:pt idx="94">
                  <c:v>43970</c:v>
                </c:pt>
                <c:pt idx="95">
                  <c:v>43971</c:v>
                </c:pt>
                <c:pt idx="96">
                  <c:v>43972</c:v>
                </c:pt>
                <c:pt idx="97">
                  <c:v>43973</c:v>
                </c:pt>
                <c:pt idx="98">
                  <c:v>43974</c:v>
                </c:pt>
                <c:pt idx="99">
                  <c:v>43975</c:v>
                </c:pt>
                <c:pt idx="100">
                  <c:v>43976</c:v>
                </c:pt>
                <c:pt idx="101">
                  <c:v>43977</c:v>
                </c:pt>
                <c:pt idx="102">
                  <c:v>43978</c:v>
                </c:pt>
                <c:pt idx="103">
                  <c:v>43979</c:v>
                </c:pt>
                <c:pt idx="104">
                  <c:v>43980</c:v>
                </c:pt>
                <c:pt idx="105">
                  <c:v>43981</c:v>
                </c:pt>
                <c:pt idx="106">
                  <c:v>43982</c:v>
                </c:pt>
                <c:pt idx="107">
                  <c:v>43983</c:v>
                </c:pt>
                <c:pt idx="108">
                  <c:v>43984</c:v>
                </c:pt>
                <c:pt idx="109">
                  <c:v>43985</c:v>
                </c:pt>
                <c:pt idx="110">
                  <c:v>43986</c:v>
                </c:pt>
                <c:pt idx="111">
                  <c:v>43987</c:v>
                </c:pt>
                <c:pt idx="112">
                  <c:v>43988</c:v>
                </c:pt>
                <c:pt idx="113">
                  <c:v>43989</c:v>
                </c:pt>
                <c:pt idx="114">
                  <c:v>43990</c:v>
                </c:pt>
                <c:pt idx="115">
                  <c:v>43991</c:v>
                </c:pt>
                <c:pt idx="116">
                  <c:v>43992</c:v>
                </c:pt>
                <c:pt idx="117">
                  <c:v>43993</c:v>
                </c:pt>
                <c:pt idx="118">
                  <c:v>43994</c:v>
                </c:pt>
                <c:pt idx="119">
                  <c:v>43995</c:v>
                </c:pt>
                <c:pt idx="120">
                  <c:v>43996</c:v>
                </c:pt>
                <c:pt idx="121">
                  <c:v>43997</c:v>
                </c:pt>
                <c:pt idx="122">
                  <c:v>43998</c:v>
                </c:pt>
                <c:pt idx="123">
                  <c:v>43999</c:v>
                </c:pt>
                <c:pt idx="124">
                  <c:v>44000</c:v>
                </c:pt>
                <c:pt idx="125">
                  <c:v>44001</c:v>
                </c:pt>
                <c:pt idx="126">
                  <c:v>44002</c:v>
                </c:pt>
                <c:pt idx="127">
                  <c:v>44003</c:v>
                </c:pt>
                <c:pt idx="128">
                  <c:v>44004</c:v>
                </c:pt>
                <c:pt idx="129">
                  <c:v>44005</c:v>
                </c:pt>
                <c:pt idx="130">
                  <c:v>44006</c:v>
                </c:pt>
                <c:pt idx="131">
                  <c:v>44007</c:v>
                </c:pt>
                <c:pt idx="132">
                  <c:v>44008</c:v>
                </c:pt>
                <c:pt idx="133">
                  <c:v>44009</c:v>
                </c:pt>
                <c:pt idx="134">
                  <c:v>44010</c:v>
                </c:pt>
                <c:pt idx="135">
                  <c:v>44011</c:v>
                </c:pt>
                <c:pt idx="136">
                  <c:v>44012</c:v>
                </c:pt>
                <c:pt idx="137">
                  <c:v>44013</c:v>
                </c:pt>
                <c:pt idx="138">
                  <c:v>44014</c:v>
                </c:pt>
                <c:pt idx="139">
                  <c:v>44015</c:v>
                </c:pt>
                <c:pt idx="140">
                  <c:v>44016</c:v>
                </c:pt>
                <c:pt idx="141">
                  <c:v>44017</c:v>
                </c:pt>
                <c:pt idx="142">
                  <c:v>44018</c:v>
                </c:pt>
                <c:pt idx="143">
                  <c:v>44019</c:v>
                </c:pt>
                <c:pt idx="144">
                  <c:v>44020</c:v>
                </c:pt>
                <c:pt idx="145">
                  <c:v>44021</c:v>
                </c:pt>
                <c:pt idx="146">
                  <c:v>44022</c:v>
                </c:pt>
                <c:pt idx="147">
                  <c:v>44023</c:v>
                </c:pt>
                <c:pt idx="148">
                  <c:v>44024</c:v>
                </c:pt>
                <c:pt idx="149">
                  <c:v>44025</c:v>
                </c:pt>
                <c:pt idx="150">
                  <c:v>44026</c:v>
                </c:pt>
                <c:pt idx="151">
                  <c:v>44027</c:v>
                </c:pt>
                <c:pt idx="152">
                  <c:v>44028</c:v>
                </c:pt>
                <c:pt idx="153">
                  <c:v>44029</c:v>
                </c:pt>
              </c:numCache>
            </c:numRef>
          </c:cat>
          <c:val>
            <c:numRef>
              <c:f>'Google to 27 June'!$J$3545:$J$3698</c:f>
              <c:numCache>
                <c:formatCode>General</c:formatCode>
                <c:ptCount val="154"/>
                <c:pt idx="2" formatCode="0">
                  <c:v>-9.1212121212121211</c:v>
                </c:pt>
                <c:pt idx="3" formatCode="0">
                  <c:v>-4.2575757575757578</c:v>
                </c:pt>
                <c:pt idx="4" formatCode="0">
                  <c:v>-4.1969696969696972</c:v>
                </c:pt>
                <c:pt idx="5" formatCode="0">
                  <c:v>-5.7727272727272734</c:v>
                </c:pt>
                <c:pt idx="6" formatCode="0">
                  <c:v>-5.3939393939393945</c:v>
                </c:pt>
                <c:pt idx="7" formatCode="0">
                  <c:v>-2.6515151515151518</c:v>
                </c:pt>
                <c:pt idx="8" formatCode="0">
                  <c:v>0.59090909090909083</c:v>
                </c:pt>
                <c:pt idx="9" formatCode="0">
                  <c:v>-9.0909090909090981E-2</c:v>
                </c:pt>
                <c:pt idx="10" formatCode="0">
                  <c:v>-0.62121212121212122</c:v>
                </c:pt>
                <c:pt idx="11" formatCode="0">
                  <c:v>-2.1818181818181817</c:v>
                </c:pt>
                <c:pt idx="12" formatCode="0">
                  <c:v>-0.12121212121212126</c:v>
                </c:pt>
                <c:pt idx="13" formatCode="0">
                  <c:v>-1.0757575757575759</c:v>
                </c:pt>
                <c:pt idx="14" formatCode="0">
                  <c:v>-3.3181818181818183</c:v>
                </c:pt>
                <c:pt idx="15" formatCode="0">
                  <c:v>-3.0454545454545454</c:v>
                </c:pt>
                <c:pt idx="16" formatCode="0">
                  <c:v>-0.93939393939393934</c:v>
                </c:pt>
                <c:pt idx="17" formatCode="0">
                  <c:v>2.8484848484848482</c:v>
                </c:pt>
                <c:pt idx="18" formatCode="0">
                  <c:v>1.1666666666666665</c:v>
                </c:pt>
                <c:pt idx="19" formatCode="0">
                  <c:v>0.8787878787878789</c:v>
                </c:pt>
                <c:pt idx="20" formatCode="0">
                  <c:v>1.0909090909090911</c:v>
                </c:pt>
                <c:pt idx="21" formatCode="0">
                  <c:v>1.7727272727272727</c:v>
                </c:pt>
                <c:pt idx="22" formatCode="0">
                  <c:v>2.4090909090909092</c:v>
                </c:pt>
                <c:pt idx="23" formatCode="0">
                  <c:v>0.45454545454545459</c:v>
                </c:pt>
                <c:pt idx="24" formatCode="0">
                  <c:v>0.15151515151515152</c:v>
                </c:pt>
                <c:pt idx="25" formatCode="0">
                  <c:v>-1.8787878787878789</c:v>
                </c:pt>
                <c:pt idx="26" formatCode="0">
                  <c:v>-2.4393939393939394</c:v>
                </c:pt>
                <c:pt idx="27" formatCode="0">
                  <c:v>-1.9848484848484846</c:v>
                </c:pt>
                <c:pt idx="28" formatCode="0">
                  <c:v>-3.8939393939393931</c:v>
                </c:pt>
                <c:pt idx="29" formatCode="0">
                  <c:v>-3.9696969696969693</c:v>
                </c:pt>
                <c:pt idx="30" formatCode="0">
                  <c:v>-5.7878787878787881</c:v>
                </c:pt>
                <c:pt idx="31" formatCode="0">
                  <c:v>-8.9090909090909083</c:v>
                </c:pt>
                <c:pt idx="32" formatCode="0">
                  <c:v>-16.196969696969699</c:v>
                </c:pt>
                <c:pt idx="33" formatCode="0">
                  <c:v>-22.77272727272727</c:v>
                </c:pt>
                <c:pt idx="34" formatCode="0">
                  <c:v>-24.893939393939394</c:v>
                </c:pt>
                <c:pt idx="35" formatCode="0">
                  <c:v>-25.060606060606059</c:v>
                </c:pt>
                <c:pt idx="36" formatCode="0">
                  <c:v>-21.484848484848484</c:v>
                </c:pt>
                <c:pt idx="37" formatCode="0">
                  <c:v>-25.77272727272727</c:v>
                </c:pt>
                <c:pt idx="38" formatCode="0">
                  <c:v>-34.272727272727273</c:v>
                </c:pt>
                <c:pt idx="39" formatCode="0">
                  <c:v>-48.212121212121211</c:v>
                </c:pt>
                <c:pt idx="40" formatCode="0">
                  <c:v>-55.030303030303031</c:v>
                </c:pt>
                <c:pt idx="41" formatCode="0">
                  <c:v>-57.409090909090914</c:v>
                </c:pt>
                <c:pt idx="42" formatCode="0">
                  <c:v>-60.772727272727273</c:v>
                </c:pt>
                <c:pt idx="43" formatCode="0">
                  <c:v>-61.54545454545454</c:v>
                </c:pt>
                <c:pt idx="44" formatCode="0">
                  <c:v>-62.303030303030305</c:v>
                </c:pt>
                <c:pt idx="45" formatCode="0">
                  <c:v>-59.848484848484844</c:v>
                </c:pt>
                <c:pt idx="46" formatCode="0">
                  <c:v>-60.787878787878789</c:v>
                </c:pt>
                <c:pt idx="47" formatCode="0">
                  <c:v>-61</c:v>
                </c:pt>
                <c:pt idx="48" formatCode="0">
                  <c:v>-61.090909090909093</c:v>
                </c:pt>
                <c:pt idx="49" formatCode="0">
                  <c:v>-60.81818181818182</c:v>
                </c:pt>
                <c:pt idx="50" formatCode="0">
                  <c:v>-58.287878787878789</c:v>
                </c:pt>
                <c:pt idx="51" formatCode="0">
                  <c:v>-58.272727272727273</c:v>
                </c:pt>
                <c:pt idx="52" formatCode="0">
                  <c:v>-55.757575757575751</c:v>
                </c:pt>
                <c:pt idx="53" formatCode="0">
                  <c:v>-56.227272727272727</c:v>
                </c:pt>
                <c:pt idx="54" formatCode="0">
                  <c:v>-54.090909090909086</c:v>
                </c:pt>
                <c:pt idx="55" formatCode="0">
                  <c:v>-56.727272727272727</c:v>
                </c:pt>
                <c:pt idx="56" formatCode="0">
                  <c:v>-57.212121212121211</c:v>
                </c:pt>
                <c:pt idx="57" formatCode="0">
                  <c:v>-57.515151515151523</c:v>
                </c:pt>
                <c:pt idx="58" formatCode="0">
                  <c:v>-58.95454545454546</c:v>
                </c:pt>
                <c:pt idx="59" formatCode="0">
                  <c:v>-57.666666666666664</c:v>
                </c:pt>
                <c:pt idx="60" formatCode="0">
                  <c:v>-57.742424242424242</c:v>
                </c:pt>
                <c:pt idx="61" formatCode="0">
                  <c:v>-53.287878787878789</c:v>
                </c:pt>
                <c:pt idx="62" formatCode="0">
                  <c:v>-55.621212121212125</c:v>
                </c:pt>
                <c:pt idx="63" formatCode="0">
                  <c:v>-58.484848484848492</c:v>
                </c:pt>
                <c:pt idx="64" formatCode="0">
                  <c:v>-56.621212121212125</c:v>
                </c:pt>
                <c:pt idx="65" formatCode="0">
                  <c:v>-53.606060606060602</c:v>
                </c:pt>
                <c:pt idx="66" formatCode="0">
                  <c:v>-49.121212121212125</c:v>
                </c:pt>
                <c:pt idx="67" formatCode="0">
                  <c:v>-50.303030303030305</c:v>
                </c:pt>
                <c:pt idx="68" formatCode="0">
                  <c:v>-49.772727272727273</c:v>
                </c:pt>
                <c:pt idx="69" formatCode="0">
                  <c:v>-50.121212121212125</c:v>
                </c:pt>
                <c:pt idx="70" formatCode="0">
                  <c:v>-50.075757575757571</c:v>
                </c:pt>
                <c:pt idx="71" formatCode="0">
                  <c:v>-48.560606060606062</c:v>
                </c:pt>
                <c:pt idx="72" formatCode="0">
                  <c:v>-48.787878787878789</c:v>
                </c:pt>
                <c:pt idx="73" formatCode="0">
                  <c:v>-51.621212121212125</c:v>
                </c:pt>
                <c:pt idx="74" formatCode="0">
                  <c:v>-54.969696969696969</c:v>
                </c:pt>
                <c:pt idx="75" formatCode="0">
                  <c:v>-56.560606060606062</c:v>
                </c:pt>
                <c:pt idx="76" formatCode="0">
                  <c:v>-53.757575757575758</c:v>
                </c:pt>
                <c:pt idx="77" formatCode="0">
                  <c:v>-51.621212121212125</c:v>
                </c:pt>
                <c:pt idx="78" formatCode="0">
                  <c:v>-48.651515151515149</c:v>
                </c:pt>
                <c:pt idx="79" formatCode="0">
                  <c:v>-46.939393939393938</c:v>
                </c:pt>
                <c:pt idx="80" formatCode="0">
                  <c:v>-46.212121212121211</c:v>
                </c:pt>
                <c:pt idx="81" formatCode="0">
                  <c:v>-45.242424242424242</c:v>
                </c:pt>
                <c:pt idx="82" formatCode="0">
                  <c:v>-44.439393939393938</c:v>
                </c:pt>
                <c:pt idx="83" formatCode="0">
                  <c:v>-47.166666666666664</c:v>
                </c:pt>
                <c:pt idx="84" formatCode="0">
                  <c:v>-49.151515151515149</c:v>
                </c:pt>
                <c:pt idx="85" formatCode="0">
                  <c:v>-50.757575757575758</c:v>
                </c:pt>
                <c:pt idx="86" formatCode="0">
                  <c:v>-47.878787878787875</c:v>
                </c:pt>
                <c:pt idx="87" formatCode="0">
                  <c:v>-45.54545454545454</c:v>
                </c:pt>
                <c:pt idx="88" formatCode="0">
                  <c:v>-44.681818181818187</c:v>
                </c:pt>
                <c:pt idx="89" formatCode="0">
                  <c:v>-43.166666666666664</c:v>
                </c:pt>
                <c:pt idx="90" formatCode="0">
                  <c:v>-43.560606060606062</c:v>
                </c:pt>
                <c:pt idx="91" formatCode="0">
                  <c:v>-43.242424242424249</c:v>
                </c:pt>
                <c:pt idx="92" formatCode="0">
                  <c:v>-41.757575757575758</c:v>
                </c:pt>
                <c:pt idx="93" formatCode="0">
                  <c:v>-41.303030303030305</c:v>
                </c:pt>
                <c:pt idx="94" formatCode="0">
                  <c:v>-39.712121212121218</c:v>
                </c:pt>
                <c:pt idx="95" formatCode="0">
                  <c:v>-40.45454545454546</c:v>
                </c:pt>
                <c:pt idx="96" formatCode="0">
                  <c:v>-39.757575757575758</c:v>
                </c:pt>
                <c:pt idx="97" formatCode="0">
                  <c:v>-41.590909090909093</c:v>
                </c:pt>
                <c:pt idx="98" formatCode="0">
                  <c:v>-45.030303030303031</c:v>
                </c:pt>
                <c:pt idx="99" formatCode="0">
                  <c:v>-42.333333333333336</c:v>
                </c:pt>
                <c:pt idx="100" formatCode="0">
                  <c:v>-42.772727272727273</c:v>
                </c:pt>
                <c:pt idx="101" formatCode="0">
                  <c:v>-38.666666666666664</c:v>
                </c:pt>
                <c:pt idx="102" formatCode="0">
                  <c:v>-40.454545454545453</c:v>
                </c:pt>
                <c:pt idx="103" formatCode="0">
                  <c:v>-37.015151515151523</c:v>
                </c:pt>
                <c:pt idx="104" formatCode="0">
                  <c:v>-36.560606060606055</c:v>
                </c:pt>
                <c:pt idx="105" formatCode="0">
                  <c:v>-36.257575757575758</c:v>
                </c:pt>
                <c:pt idx="106" formatCode="0">
                  <c:v>-33.151515151515149</c:v>
                </c:pt>
                <c:pt idx="107" formatCode="0">
                  <c:v>-30.909090909090907</c:v>
                </c:pt>
                <c:pt idx="108" formatCode="0">
                  <c:v>-29.303030303030301</c:v>
                </c:pt>
                <c:pt idx="109" formatCode="0">
                  <c:v>-35.424242424242429</c:v>
                </c:pt>
                <c:pt idx="110" formatCode="0">
                  <c:v>-37.939393939393938</c:v>
                </c:pt>
                <c:pt idx="111" formatCode="0">
                  <c:v>-41.515151515151516</c:v>
                </c:pt>
                <c:pt idx="112" formatCode="0">
                  <c:v>-43.303030303030305</c:v>
                </c:pt>
                <c:pt idx="113" formatCode="0">
                  <c:v>-41.090909090909086</c:v>
                </c:pt>
                <c:pt idx="114" formatCode="0">
                  <c:v>-39.742424242424242</c:v>
                </c:pt>
                <c:pt idx="115" formatCode="0">
                  <c:v>-35.136363636363633</c:v>
                </c:pt>
                <c:pt idx="116" formatCode="0">
                  <c:v>-40.333333333333336</c:v>
                </c:pt>
                <c:pt idx="117" formatCode="0">
                  <c:v>-43</c:v>
                </c:pt>
                <c:pt idx="118" formatCode="0">
                  <c:v>-45.54545454545454</c:v>
                </c:pt>
                <c:pt idx="119" formatCode="0">
                  <c:v>-43.590909090909093</c:v>
                </c:pt>
                <c:pt idx="120" formatCode="0">
                  <c:v>-39.590909090909093</c:v>
                </c:pt>
                <c:pt idx="121" formatCode="0">
                  <c:v>-37.136363636363633</c:v>
                </c:pt>
                <c:pt idx="122" formatCode="0">
                  <c:v>-37.499999999999993</c:v>
                </c:pt>
                <c:pt idx="123" formatCode="0">
                  <c:v>-39.939393939393938</c:v>
                </c:pt>
                <c:pt idx="124" formatCode="0">
                  <c:v>-44.712121212121211</c:v>
                </c:pt>
                <c:pt idx="125" formatCode="0">
                  <c:v>-45.5</c:v>
                </c:pt>
                <c:pt idx="126" formatCode="0">
                  <c:v>-42.515151515151523</c:v>
                </c:pt>
                <c:pt idx="127" formatCode="0">
                  <c:v>-34.484848484848484</c:v>
                </c:pt>
                <c:pt idx="128" formatCode="0">
                  <c:v>-32.136363636363633</c:v>
                </c:pt>
                <c:pt idx="129" formatCode="0">
                  <c:v>-31.969696969696969</c:v>
                </c:pt>
                <c:pt idx="130" formatCode="0">
                  <c:v>-33.848484848484851</c:v>
                </c:pt>
                <c:pt idx="131" formatCode="0">
                  <c:v>-32.651515151515156</c:v>
                </c:pt>
                <c:pt idx="132" formatCode="0">
                  <c:v>-33.757575757575758</c:v>
                </c:pt>
                <c:pt idx="133" formatCode="0">
                  <c:v>-37.106060606060609</c:v>
                </c:pt>
                <c:pt idx="134" formatCode="0">
                  <c:v>-38.439393939393938</c:v>
                </c:pt>
                <c:pt idx="135" formatCode="0">
                  <c:v>-38.727272727272727</c:v>
                </c:pt>
                <c:pt idx="136" formatCode="0">
                  <c:v>-35.606060606060602</c:v>
                </c:pt>
                <c:pt idx="137" formatCode="0">
                  <c:v>-35.272727272727273</c:v>
                </c:pt>
                <c:pt idx="138" formatCode="0">
                  <c:v>-34.31818181818182</c:v>
                </c:pt>
                <c:pt idx="139" formatCode="0">
                  <c:v>-37.151515151515156</c:v>
                </c:pt>
                <c:pt idx="140" formatCode="0">
                  <c:v>-39.151515151515156</c:v>
                </c:pt>
                <c:pt idx="141" formatCode="0">
                  <c:v>-38.075757575757571</c:v>
                </c:pt>
                <c:pt idx="142" formatCode="0">
                  <c:v>-33.106060606060602</c:v>
                </c:pt>
                <c:pt idx="143" formatCode="0">
                  <c:v>-30.560606060606062</c:v>
                </c:pt>
                <c:pt idx="144" formatCode="0">
                  <c:v>-32.590909090909093</c:v>
                </c:pt>
                <c:pt idx="145" formatCode="0">
                  <c:v>-34.560606060606062</c:v>
                </c:pt>
                <c:pt idx="146" formatCode="0">
                  <c:v>-31.893939393939391</c:v>
                </c:pt>
                <c:pt idx="147" formatCode="0">
                  <c:v>-25.015151515151516</c:v>
                </c:pt>
                <c:pt idx="148" formatCode="0">
                  <c:v>-16.212121212121215</c:v>
                </c:pt>
                <c:pt idx="149" formatCode="0">
                  <c:v>-16.878787878787879</c:v>
                </c:pt>
                <c:pt idx="150" formatCode="0">
                  <c:v>-19.242424242424246</c:v>
                </c:pt>
                <c:pt idx="151" formatCode="0">
                  <c:v>-27.303030303030301</c:v>
                </c:pt>
                <c:pt idx="152" formatCode="0">
                  <c:v>-25.863636363636363</c:v>
                </c:pt>
                <c:pt idx="153" formatCode="0">
                  <c:v>-24.545454545454543</c:v>
                </c:pt>
              </c:numCache>
            </c:numRef>
          </c:val>
          <c:smooth val="0"/>
          <c:extLst>
            <c:ext xmlns:c16="http://schemas.microsoft.com/office/drawing/2014/chart" uri="{C3380CC4-5D6E-409C-BE32-E72D297353CC}">
              <c16:uniqueId val="{00000003-BC55-4F12-B7F6-63E28CF81CA2}"/>
            </c:ext>
          </c:extLst>
        </c:ser>
        <c:ser>
          <c:idx val="3"/>
          <c:order val="3"/>
          <c:tx>
            <c:strRef>
              <c:f>'Google to 27 June'!$K$2</c:f>
              <c:strCache>
                <c:ptCount val="1"/>
                <c:pt idx="0">
                  <c:v>Workplaces </c:v>
                </c:pt>
              </c:strCache>
            </c:strRef>
          </c:tx>
          <c:spPr>
            <a:ln w="28575" cap="rnd">
              <a:solidFill>
                <a:schemeClr val="accent4"/>
              </a:solidFill>
              <a:round/>
            </a:ln>
            <a:effectLst/>
          </c:spPr>
          <c:marker>
            <c:symbol val="none"/>
          </c:marker>
          <c:cat>
            <c:numRef>
              <c:f>'Google to 27 June'!$B$3545:$B$3698</c:f>
              <c:numCache>
                <c:formatCode>m/d/yyyy</c:formatCode>
                <c:ptCount val="154"/>
                <c:pt idx="0">
                  <c:v>43876</c:v>
                </c:pt>
                <c:pt idx="1">
                  <c:v>43877</c:v>
                </c:pt>
                <c:pt idx="2">
                  <c:v>43878</c:v>
                </c:pt>
                <c:pt idx="3">
                  <c:v>43879</c:v>
                </c:pt>
                <c:pt idx="4">
                  <c:v>43880</c:v>
                </c:pt>
                <c:pt idx="5">
                  <c:v>43881</c:v>
                </c:pt>
                <c:pt idx="6">
                  <c:v>43882</c:v>
                </c:pt>
                <c:pt idx="7">
                  <c:v>43883</c:v>
                </c:pt>
                <c:pt idx="8">
                  <c:v>43884</c:v>
                </c:pt>
                <c:pt idx="9">
                  <c:v>43885</c:v>
                </c:pt>
                <c:pt idx="10">
                  <c:v>43886</c:v>
                </c:pt>
                <c:pt idx="11">
                  <c:v>43887</c:v>
                </c:pt>
                <c:pt idx="12">
                  <c:v>43888</c:v>
                </c:pt>
                <c:pt idx="13">
                  <c:v>43889</c:v>
                </c:pt>
                <c:pt idx="14">
                  <c:v>43890</c:v>
                </c:pt>
                <c:pt idx="15">
                  <c:v>43891</c:v>
                </c:pt>
                <c:pt idx="16">
                  <c:v>43892</c:v>
                </c:pt>
                <c:pt idx="17">
                  <c:v>43893</c:v>
                </c:pt>
                <c:pt idx="18">
                  <c:v>43894</c:v>
                </c:pt>
                <c:pt idx="19">
                  <c:v>43895</c:v>
                </c:pt>
                <c:pt idx="20">
                  <c:v>43896</c:v>
                </c:pt>
                <c:pt idx="21">
                  <c:v>43897</c:v>
                </c:pt>
                <c:pt idx="22">
                  <c:v>43898</c:v>
                </c:pt>
                <c:pt idx="23">
                  <c:v>43899</c:v>
                </c:pt>
                <c:pt idx="24">
                  <c:v>43900</c:v>
                </c:pt>
                <c:pt idx="25">
                  <c:v>43901</c:v>
                </c:pt>
                <c:pt idx="26">
                  <c:v>43902</c:v>
                </c:pt>
                <c:pt idx="27">
                  <c:v>43903</c:v>
                </c:pt>
                <c:pt idx="28">
                  <c:v>43904</c:v>
                </c:pt>
                <c:pt idx="29">
                  <c:v>43905</c:v>
                </c:pt>
                <c:pt idx="30">
                  <c:v>43906</c:v>
                </c:pt>
                <c:pt idx="31">
                  <c:v>43907</c:v>
                </c:pt>
                <c:pt idx="32">
                  <c:v>43908</c:v>
                </c:pt>
                <c:pt idx="33">
                  <c:v>43909</c:v>
                </c:pt>
                <c:pt idx="34">
                  <c:v>43910</c:v>
                </c:pt>
                <c:pt idx="35">
                  <c:v>43911</c:v>
                </c:pt>
                <c:pt idx="36">
                  <c:v>43912</c:v>
                </c:pt>
                <c:pt idx="37">
                  <c:v>43913</c:v>
                </c:pt>
                <c:pt idx="38">
                  <c:v>43914</c:v>
                </c:pt>
                <c:pt idx="39">
                  <c:v>43915</c:v>
                </c:pt>
                <c:pt idx="40">
                  <c:v>43916</c:v>
                </c:pt>
                <c:pt idx="41">
                  <c:v>43917</c:v>
                </c:pt>
                <c:pt idx="42">
                  <c:v>43918</c:v>
                </c:pt>
                <c:pt idx="43">
                  <c:v>43919</c:v>
                </c:pt>
                <c:pt idx="44">
                  <c:v>43920</c:v>
                </c:pt>
                <c:pt idx="45">
                  <c:v>43921</c:v>
                </c:pt>
                <c:pt idx="46">
                  <c:v>43922</c:v>
                </c:pt>
                <c:pt idx="47">
                  <c:v>43923</c:v>
                </c:pt>
                <c:pt idx="48">
                  <c:v>43924</c:v>
                </c:pt>
                <c:pt idx="49">
                  <c:v>43925</c:v>
                </c:pt>
                <c:pt idx="50">
                  <c:v>43926</c:v>
                </c:pt>
                <c:pt idx="51">
                  <c:v>43927</c:v>
                </c:pt>
                <c:pt idx="52">
                  <c:v>43928</c:v>
                </c:pt>
                <c:pt idx="53">
                  <c:v>43929</c:v>
                </c:pt>
                <c:pt idx="54">
                  <c:v>43930</c:v>
                </c:pt>
                <c:pt idx="55">
                  <c:v>43931</c:v>
                </c:pt>
                <c:pt idx="56">
                  <c:v>43932</c:v>
                </c:pt>
                <c:pt idx="57">
                  <c:v>43933</c:v>
                </c:pt>
                <c:pt idx="58">
                  <c:v>43934</c:v>
                </c:pt>
                <c:pt idx="59">
                  <c:v>43935</c:v>
                </c:pt>
                <c:pt idx="60">
                  <c:v>43936</c:v>
                </c:pt>
                <c:pt idx="61">
                  <c:v>43937</c:v>
                </c:pt>
                <c:pt idx="62">
                  <c:v>43938</c:v>
                </c:pt>
                <c:pt idx="63">
                  <c:v>43939</c:v>
                </c:pt>
                <c:pt idx="64">
                  <c:v>43940</c:v>
                </c:pt>
                <c:pt idx="65">
                  <c:v>43941</c:v>
                </c:pt>
                <c:pt idx="66">
                  <c:v>43942</c:v>
                </c:pt>
                <c:pt idx="67">
                  <c:v>43943</c:v>
                </c:pt>
                <c:pt idx="68">
                  <c:v>43944</c:v>
                </c:pt>
                <c:pt idx="69">
                  <c:v>43945</c:v>
                </c:pt>
                <c:pt idx="70">
                  <c:v>43946</c:v>
                </c:pt>
                <c:pt idx="71">
                  <c:v>43947</c:v>
                </c:pt>
                <c:pt idx="72">
                  <c:v>43948</c:v>
                </c:pt>
                <c:pt idx="73">
                  <c:v>43949</c:v>
                </c:pt>
                <c:pt idx="74">
                  <c:v>43950</c:v>
                </c:pt>
                <c:pt idx="75">
                  <c:v>43951</c:v>
                </c:pt>
                <c:pt idx="76">
                  <c:v>43952</c:v>
                </c:pt>
                <c:pt idx="77">
                  <c:v>43953</c:v>
                </c:pt>
                <c:pt idx="78">
                  <c:v>43954</c:v>
                </c:pt>
                <c:pt idx="79">
                  <c:v>43955</c:v>
                </c:pt>
                <c:pt idx="80">
                  <c:v>43956</c:v>
                </c:pt>
                <c:pt idx="81">
                  <c:v>43957</c:v>
                </c:pt>
                <c:pt idx="82">
                  <c:v>43958</c:v>
                </c:pt>
                <c:pt idx="83">
                  <c:v>43959</c:v>
                </c:pt>
                <c:pt idx="84">
                  <c:v>43960</c:v>
                </c:pt>
                <c:pt idx="85">
                  <c:v>43961</c:v>
                </c:pt>
                <c:pt idx="86">
                  <c:v>43962</c:v>
                </c:pt>
                <c:pt idx="87">
                  <c:v>43963</c:v>
                </c:pt>
                <c:pt idx="88">
                  <c:v>43964</c:v>
                </c:pt>
                <c:pt idx="89">
                  <c:v>43965</c:v>
                </c:pt>
                <c:pt idx="90">
                  <c:v>43966</c:v>
                </c:pt>
                <c:pt idx="91">
                  <c:v>43967</c:v>
                </c:pt>
                <c:pt idx="92">
                  <c:v>43968</c:v>
                </c:pt>
                <c:pt idx="93">
                  <c:v>43969</c:v>
                </c:pt>
                <c:pt idx="94">
                  <c:v>43970</c:v>
                </c:pt>
                <c:pt idx="95">
                  <c:v>43971</c:v>
                </c:pt>
                <c:pt idx="96">
                  <c:v>43972</c:v>
                </c:pt>
                <c:pt idx="97">
                  <c:v>43973</c:v>
                </c:pt>
                <c:pt idx="98">
                  <c:v>43974</c:v>
                </c:pt>
                <c:pt idx="99">
                  <c:v>43975</c:v>
                </c:pt>
                <c:pt idx="100">
                  <c:v>43976</c:v>
                </c:pt>
                <c:pt idx="101">
                  <c:v>43977</c:v>
                </c:pt>
                <c:pt idx="102">
                  <c:v>43978</c:v>
                </c:pt>
                <c:pt idx="103">
                  <c:v>43979</c:v>
                </c:pt>
                <c:pt idx="104">
                  <c:v>43980</c:v>
                </c:pt>
                <c:pt idx="105">
                  <c:v>43981</c:v>
                </c:pt>
                <c:pt idx="106">
                  <c:v>43982</c:v>
                </c:pt>
                <c:pt idx="107">
                  <c:v>43983</c:v>
                </c:pt>
                <c:pt idx="108">
                  <c:v>43984</c:v>
                </c:pt>
                <c:pt idx="109">
                  <c:v>43985</c:v>
                </c:pt>
                <c:pt idx="110">
                  <c:v>43986</c:v>
                </c:pt>
                <c:pt idx="111">
                  <c:v>43987</c:v>
                </c:pt>
                <c:pt idx="112">
                  <c:v>43988</c:v>
                </c:pt>
                <c:pt idx="113">
                  <c:v>43989</c:v>
                </c:pt>
                <c:pt idx="114">
                  <c:v>43990</c:v>
                </c:pt>
                <c:pt idx="115">
                  <c:v>43991</c:v>
                </c:pt>
                <c:pt idx="116">
                  <c:v>43992</c:v>
                </c:pt>
                <c:pt idx="117">
                  <c:v>43993</c:v>
                </c:pt>
                <c:pt idx="118">
                  <c:v>43994</c:v>
                </c:pt>
                <c:pt idx="119">
                  <c:v>43995</c:v>
                </c:pt>
                <c:pt idx="120">
                  <c:v>43996</c:v>
                </c:pt>
                <c:pt idx="121">
                  <c:v>43997</c:v>
                </c:pt>
                <c:pt idx="122">
                  <c:v>43998</c:v>
                </c:pt>
                <c:pt idx="123">
                  <c:v>43999</c:v>
                </c:pt>
                <c:pt idx="124">
                  <c:v>44000</c:v>
                </c:pt>
                <c:pt idx="125">
                  <c:v>44001</c:v>
                </c:pt>
                <c:pt idx="126">
                  <c:v>44002</c:v>
                </c:pt>
                <c:pt idx="127">
                  <c:v>44003</c:v>
                </c:pt>
                <c:pt idx="128">
                  <c:v>44004</c:v>
                </c:pt>
                <c:pt idx="129">
                  <c:v>44005</c:v>
                </c:pt>
                <c:pt idx="130">
                  <c:v>44006</c:v>
                </c:pt>
                <c:pt idx="131">
                  <c:v>44007</c:v>
                </c:pt>
                <c:pt idx="132">
                  <c:v>44008</c:v>
                </c:pt>
                <c:pt idx="133">
                  <c:v>44009</c:v>
                </c:pt>
                <c:pt idx="134">
                  <c:v>44010</c:v>
                </c:pt>
                <c:pt idx="135">
                  <c:v>44011</c:v>
                </c:pt>
                <c:pt idx="136">
                  <c:v>44012</c:v>
                </c:pt>
                <c:pt idx="137">
                  <c:v>44013</c:v>
                </c:pt>
                <c:pt idx="138">
                  <c:v>44014</c:v>
                </c:pt>
                <c:pt idx="139">
                  <c:v>44015</c:v>
                </c:pt>
                <c:pt idx="140">
                  <c:v>44016</c:v>
                </c:pt>
                <c:pt idx="141">
                  <c:v>44017</c:v>
                </c:pt>
                <c:pt idx="142">
                  <c:v>44018</c:v>
                </c:pt>
                <c:pt idx="143">
                  <c:v>44019</c:v>
                </c:pt>
                <c:pt idx="144">
                  <c:v>44020</c:v>
                </c:pt>
                <c:pt idx="145">
                  <c:v>44021</c:v>
                </c:pt>
                <c:pt idx="146">
                  <c:v>44022</c:v>
                </c:pt>
                <c:pt idx="147">
                  <c:v>44023</c:v>
                </c:pt>
                <c:pt idx="148">
                  <c:v>44024</c:v>
                </c:pt>
                <c:pt idx="149">
                  <c:v>44025</c:v>
                </c:pt>
                <c:pt idx="150">
                  <c:v>44026</c:v>
                </c:pt>
                <c:pt idx="151">
                  <c:v>44027</c:v>
                </c:pt>
                <c:pt idx="152">
                  <c:v>44028</c:v>
                </c:pt>
                <c:pt idx="153">
                  <c:v>44029</c:v>
                </c:pt>
              </c:numCache>
            </c:numRef>
          </c:cat>
          <c:val>
            <c:numRef>
              <c:f>'Google to 27 June'!$K$3545:$K$3698</c:f>
              <c:numCache>
                <c:formatCode>General</c:formatCode>
                <c:ptCount val="154"/>
                <c:pt idx="2" formatCode="0">
                  <c:v>-8.454545454545455</c:v>
                </c:pt>
                <c:pt idx="3" formatCode="0">
                  <c:v>-12.106060606060607</c:v>
                </c:pt>
                <c:pt idx="4" formatCode="0">
                  <c:v>-16.303030303030301</c:v>
                </c:pt>
                <c:pt idx="5" formatCode="0">
                  <c:v>-16.318181818181817</c:v>
                </c:pt>
                <c:pt idx="6" formatCode="0">
                  <c:v>-16.77272727272727</c:v>
                </c:pt>
                <c:pt idx="7" formatCode="0">
                  <c:v>-11.439393939393938</c:v>
                </c:pt>
                <c:pt idx="8" formatCode="0">
                  <c:v>-6.1060606060606055</c:v>
                </c:pt>
                <c:pt idx="9" formatCode="0">
                  <c:v>-1.1818181818181819</c:v>
                </c:pt>
                <c:pt idx="10" formatCode="0">
                  <c:v>-0.56060606060606066</c:v>
                </c:pt>
                <c:pt idx="11" formatCode="0">
                  <c:v>-0.22727272727272729</c:v>
                </c:pt>
                <c:pt idx="12" formatCode="0">
                  <c:v>0.68181818181818177</c:v>
                </c:pt>
                <c:pt idx="13" formatCode="0">
                  <c:v>-0.15151515151515157</c:v>
                </c:pt>
                <c:pt idx="14" formatCode="0">
                  <c:v>0.27272727272727265</c:v>
                </c:pt>
                <c:pt idx="15" formatCode="0">
                  <c:v>0.9242424242424242</c:v>
                </c:pt>
                <c:pt idx="16" formatCode="0">
                  <c:v>1.5303030303030303</c:v>
                </c:pt>
                <c:pt idx="17" formatCode="0">
                  <c:v>1.6818181818181817</c:v>
                </c:pt>
                <c:pt idx="18" formatCode="0">
                  <c:v>0.92424242424242431</c:v>
                </c:pt>
                <c:pt idx="19" formatCode="0">
                  <c:v>1.1363636363636365</c:v>
                </c:pt>
                <c:pt idx="20" formatCode="0">
                  <c:v>0.80303030303030309</c:v>
                </c:pt>
                <c:pt idx="21" formatCode="0">
                  <c:v>1.3636363636363635</c:v>
                </c:pt>
                <c:pt idx="22" formatCode="0">
                  <c:v>1.3484848484848484</c:v>
                </c:pt>
                <c:pt idx="23" formatCode="0">
                  <c:v>1.0757575757575759</c:v>
                </c:pt>
                <c:pt idx="24" formatCode="0">
                  <c:v>0.62121212121212122</c:v>
                </c:pt>
                <c:pt idx="25" formatCode="0">
                  <c:v>0.1818181818181818</c:v>
                </c:pt>
                <c:pt idx="26" formatCode="0">
                  <c:v>0.12121212121212122</c:v>
                </c:pt>
                <c:pt idx="27" formatCode="0">
                  <c:v>-0.93939393939393945</c:v>
                </c:pt>
                <c:pt idx="28" formatCode="0">
                  <c:v>-1.5606060606060606</c:v>
                </c:pt>
                <c:pt idx="29" formatCode="0">
                  <c:v>-2.3333333333333335</c:v>
                </c:pt>
                <c:pt idx="30" formatCode="0">
                  <c:v>-3.3030303030303032</c:v>
                </c:pt>
                <c:pt idx="31" formatCode="0">
                  <c:v>-6.1212121212121211</c:v>
                </c:pt>
                <c:pt idx="32" formatCode="0">
                  <c:v>-11.303030303030303</c:v>
                </c:pt>
                <c:pt idx="33" formatCode="0">
                  <c:v>-16.848484848484848</c:v>
                </c:pt>
                <c:pt idx="34" formatCode="0">
                  <c:v>-21.545454545454547</c:v>
                </c:pt>
                <c:pt idx="35" formatCode="0">
                  <c:v>-22.984848484848484</c:v>
                </c:pt>
                <c:pt idx="36" formatCode="0">
                  <c:v>-24.196969696969699</c:v>
                </c:pt>
                <c:pt idx="37" formatCode="0">
                  <c:v>-29.530303030303031</c:v>
                </c:pt>
                <c:pt idx="38" formatCode="0">
                  <c:v>-39.727272727272727</c:v>
                </c:pt>
                <c:pt idx="39" formatCode="0">
                  <c:v>-51</c:v>
                </c:pt>
                <c:pt idx="40" formatCode="0">
                  <c:v>-57.969696969696969</c:v>
                </c:pt>
                <c:pt idx="41" formatCode="0">
                  <c:v>-60.969696969696976</c:v>
                </c:pt>
                <c:pt idx="42" formatCode="0">
                  <c:v>-59.106060606060602</c:v>
                </c:pt>
                <c:pt idx="43" formatCode="0">
                  <c:v>-55.742424242424242</c:v>
                </c:pt>
                <c:pt idx="44" formatCode="0">
                  <c:v>-56.560606060606062</c:v>
                </c:pt>
                <c:pt idx="45" formatCode="0">
                  <c:v>-60.166666666666664</c:v>
                </c:pt>
                <c:pt idx="46" formatCode="0">
                  <c:v>-64.787878787878796</c:v>
                </c:pt>
                <c:pt idx="47" formatCode="0">
                  <c:v>-64.984848484848484</c:v>
                </c:pt>
                <c:pt idx="48" formatCode="0">
                  <c:v>-64.727272727272734</c:v>
                </c:pt>
                <c:pt idx="49" formatCode="0">
                  <c:v>-60.742424242424249</c:v>
                </c:pt>
                <c:pt idx="50" formatCode="0">
                  <c:v>-55.696969696969688</c:v>
                </c:pt>
                <c:pt idx="51" formatCode="0">
                  <c:v>-55.924242424242415</c:v>
                </c:pt>
                <c:pt idx="52" formatCode="0">
                  <c:v>-59.848484848484851</c:v>
                </c:pt>
                <c:pt idx="53" formatCode="0">
                  <c:v>-64.909090909090921</c:v>
                </c:pt>
                <c:pt idx="54" formatCode="0">
                  <c:v>-65.030303030303031</c:v>
                </c:pt>
                <c:pt idx="55" formatCode="0">
                  <c:v>-69.136363636363626</c:v>
                </c:pt>
                <c:pt idx="56" formatCode="0">
                  <c:v>-65.196969696969688</c:v>
                </c:pt>
                <c:pt idx="57" formatCode="0">
                  <c:v>-62</c:v>
                </c:pt>
                <c:pt idx="58" formatCode="0">
                  <c:v>-63.257575757575751</c:v>
                </c:pt>
                <c:pt idx="59" formatCode="0">
                  <c:v>-67.075757575757564</c:v>
                </c:pt>
                <c:pt idx="60" formatCode="0">
                  <c:v>-70.060606060606062</c:v>
                </c:pt>
                <c:pt idx="61" formatCode="0">
                  <c:v>-64.515151515151516</c:v>
                </c:pt>
                <c:pt idx="62" formatCode="0">
                  <c:v>-64.318181818181813</c:v>
                </c:pt>
                <c:pt idx="63" formatCode="0">
                  <c:v>-59.681818181818187</c:v>
                </c:pt>
                <c:pt idx="64" formatCode="0">
                  <c:v>-53.196969696969695</c:v>
                </c:pt>
                <c:pt idx="65" formatCode="0">
                  <c:v>-52.333333333333336</c:v>
                </c:pt>
                <c:pt idx="66" formatCode="0">
                  <c:v>-56.030303030303031</c:v>
                </c:pt>
                <c:pt idx="67" formatCode="0">
                  <c:v>-61.560606060606062</c:v>
                </c:pt>
                <c:pt idx="68" formatCode="0">
                  <c:v>-61.575757575757571</c:v>
                </c:pt>
                <c:pt idx="69" formatCode="0">
                  <c:v>-61.31818181818182</c:v>
                </c:pt>
                <c:pt idx="70" formatCode="0">
                  <c:v>-56.318181818181813</c:v>
                </c:pt>
                <c:pt idx="71" formatCode="0">
                  <c:v>-50.272727272727273</c:v>
                </c:pt>
                <c:pt idx="72" formatCode="0">
                  <c:v>-50.04545454545454</c:v>
                </c:pt>
                <c:pt idx="73" formatCode="0">
                  <c:v>-55.166666666666664</c:v>
                </c:pt>
                <c:pt idx="74" formatCode="0">
                  <c:v>-61</c:v>
                </c:pt>
                <c:pt idx="75" formatCode="0">
                  <c:v>-61.439393939393938</c:v>
                </c:pt>
                <c:pt idx="76" formatCode="0">
                  <c:v>-60.666666666666664</c:v>
                </c:pt>
                <c:pt idx="77" formatCode="0">
                  <c:v>-55.196969696969695</c:v>
                </c:pt>
                <c:pt idx="78" formatCode="0">
                  <c:v>-48.924242424242429</c:v>
                </c:pt>
                <c:pt idx="79" formatCode="0">
                  <c:v>-48.636363636363633</c:v>
                </c:pt>
                <c:pt idx="80" formatCode="0">
                  <c:v>-53.424242424242415</c:v>
                </c:pt>
                <c:pt idx="81" formatCode="0">
                  <c:v>-58.666666666666664</c:v>
                </c:pt>
                <c:pt idx="82" formatCode="0">
                  <c:v>-58.772727272727273</c:v>
                </c:pt>
                <c:pt idx="83" formatCode="0">
                  <c:v>-63.969696969696976</c:v>
                </c:pt>
                <c:pt idx="84" formatCode="0">
                  <c:v>-59.590909090909093</c:v>
                </c:pt>
                <c:pt idx="85" formatCode="0">
                  <c:v>-53.378787878787875</c:v>
                </c:pt>
                <c:pt idx="86" formatCode="0">
                  <c:v>-47.848484848484851</c:v>
                </c:pt>
                <c:pt idx="87" formatCode="0">
                  <c:v>-51.68181818181818</c:v>
                </c:pt>
                <c:pt idx="88" formatCode="0">
                  <c:v>-57.166666666666664</c:v>
                </c:pt>
                <c:pt idx="89" formatCode="0">
                  <c:v>-56.727272727272727</c:v>
                </c:pt>
                <c:pt idx="90" formatCode="0">
                  <c:v>-56.393939393939398</c:v>
                </c:pt>
                <c:pt idx="91" formatCode="0">
                  <c:v>-50.848484848484844</c:v>
                </c:pt>
                <c:pt idx="92" formatCode="0">
                  <c:v>-43.803030303030305</c:v>
                </c:pt>
                <c:pt idx="93" formatCode="0">
                  <c:v>-43.575757575757571</c:v>
                </c:pt>
                <c:pt idx="94" formatCode="0">
                  <c:v>-48.484848484848477</c:v>
                </c:pt>
                <c:pt idx="95" formatCode="0">
                  <c:v>-55</c:v>
                </c:pt>
                <c:pt idx="96" formatCode="0">
                  <c:v>-55.166666666666664</c:v>
                </c:pt>
                <c:pt idx="97" formatCode="0">
                  <c:v>-55.196969696969695</c:v>
                </c:pt>
                <c:pt idx="98" formatCode="0">
                  <c:v>-50.075757575757571</c:v>
                </c:pt>
                <c:pt idx="99" formatCode="0">
                  <c:v>-42.575757575757571</c:v>
                </c:pt>
                <c:pt idx="100" formatCode="0">
                  <c:v>-49.530303030303031</c:v>
                </c:pt>
                <c:pt idx="101" formatCode="0">
                  <c:v>-54.409090909090907</c:v>
                </c:pt>
                <c:pt idx="102" formatCode="0">
                  <c:v>-61.424242424242415</c:v>
                </c:pt>
                <c:pt idx="103" formatCode="0">
                  <c:v>-54.106060606060602</c:v>
                </c:pt>
                <c:pt idx="104" formatCode="0">
                  <c:v>-53.560606060606062</c:v>
                </c:pt>
                <c:pt idx="105" formatCode="0">
                  <c:v>-45.530303030303024</c:v>
                </c:pt>
                <c:pt idx="106" formatCode="0">
                  <c:v>-35.757575757575758</c:v>
                </c:pt>
                <c:pt idx="107" formatCode="0">
                  <c:v>-34.81818181818182</c:v>
                </c:pt>
                <c:pt idx="108" formatCode="0">
                  <c:v>-41.530303030303031</c:v>
                </c:pt>
                <c:pt idx="109" formatCode="0">
                  <c:v>-50.696969696969695</c:v>
                </c:pt>
                <c:pt idx="110" formatCode="0">
                  <c:v>-50.984848484848477</c:v>
                </c:pt>
                <c:pt idx="111" formatCode="0">
                  <c:v>-50.742424242424242</c:v>
                </c:pt>
                <c:pt idx="112" formatCode="0">
                  <c:v>-44.166666666666664</c:v>
                </c:pt>
                <c:pt idx="113" formatCode="0">
                  <c:v>-34.696969696969695</c:v>
                </c:pt>
                <c:pt idx="114" formatCode="0">
                  <c:v>-34.227272727272727</c:v>
                </c:pt>
                <c:pt idx="115" formatCode="0">
                  <c:v>-39.439393939393938</c:v>
                </c:pt>
                <c:pt idx="116" formatCode="0">
                  <c:v>-48.378787878787875</c:v>
                </c:pt>
                <c:pt idx="117" formatCode="0">
                  <c:v>-48.893939393939398</c:v>
                </c:pt>
                <c:pt idx="118" formatCode="0">
                  <c:v>-48.757575757575751</c:v>
                </c:pt>
                <c:pt idx="119" formatCode="0">
                  <c:v>-40.318181818181813</c:v>
                </c:pt>
                <c:pt idx="120" formatCode="0">
                  <c:v>-30.121212121212121</c:v>
                </c:pt>
                <c:pt idx="121" formatCode="0">
                  <c:v>-29.787878787878785</c:v>
                </c:pt>
                <c:pt idx="122" formatCode="0">
                  <c:v>-37.666666666666664</c:v>
                </c:pt>
                <c:pt idx="123" formatCode="0">
                  <c:v>-47.196969696969695</c:v>
                </c:pt>
                <c:pt idx="124" formatCode="0">
                  <c:v>-48.303030303030305</c:v>
                </c:pt>
                <c:pt idx="125" formatCode="0">
                  <c:v>-48.196969696969695</c:v>
                </c:pt>
                <c:pt idx="126" formatCode="0">
                  <c:v>-39.030303030303031</c:v>
                </c:pt>
                <c:pt idx="127" formatCode="0">
                  <c:v>-26.424242424242422</c:v>
                </c:pt>
                <c:pt idx="128" formatCode="0">
                  <c:v>-26.590909090909093</c:v>
                </c:pt>
                <c:pt idx="129" formatCode="0">
                  <c:v>-35.590909090909086</c:v>
                </c:pt>
                <c:pt idx="130" formatCode="0">
                  <c:v>-47.030303030303024</c:v>
                </c:pt>
                <c:pt idx="131" formatCode="0">
                  <c:v>-46.878787878787875</c:v>
                </c:pt>
                <c:pt idx="132" formatCode="0">
                  <c:v>-46.515151515151508</c:v>
                </c:pt>
                <c:pt idx="133" formatCode="0">
                  <c:v>-38.969696969696969</c:v>
                </c:pt>
                <c:pt idx="134" formatCode="0">
                  <c:v>-29.59090909090909</c:v>
                </c:pt>
                <c:pt idx="135" formatCode="0">
                  <c:v>-29.257575757575754</c:v>
                </c:pt>
                <c:pt idx="136" formatCode="0">
                  <c:v>-36.136363636363633</c:v>
                </c:pt>
                <c:pt idx="137" formatCode="0">
                  <c:v>-44.54545454545454</c:v>
                </c:pt>
                <c:pt idx="138" formatCode="0">
                  <c:v>-44.378787878787875</c:v>
                </c:pt>
                <c:pt idx="139" formatCode="0">
                  <c:v>-44.151515151515156</c:v>
                </c:pt>
                <c:pt idx="140" formatCode="0">
                  <c:v>-36.227272727272727</c:v>
                </c:pt>
                <c:pt idx="141" formatCode="0">
                  <c:v>-26.469696969696972</c:v>
                </c:pt>
                <c:pt idx="142" formatCode="0">
                  <c:v>-26.348484848484848</c:v>
                </c:pt>
                <c:pt idx="143" formatCode="0">
                  <c:v>-34.424242424242429</c:v>
                </c:pt>
                <c:pt idx="144" formatCode="0">
                  <c:v>-43.939393939393938</c:v>
                </c:pt>
                <c:pt idx="145" formatCode="0">
                  <c:v>-43.984848484848477</c:v>
                </c:pt>
                <c:pt idx="146" formatCode="0">
                  <c:v>-42.68181818181818</c:v>
                </c:pt>
                <c:pt idx="147" formatCode="0">
                  <c:v>-33.121212121212125</c:v>
                </c:pt>
                <c:pt idx="148" formatCode="0">
                  <c:v>-22.515151515151516</c:v>
                </c:pt>
                <c:pt idx="149" formatCode="0">
                  <c:v>-23.333333333333332</c:v>
                </c:pt>
                <c:pt idx="150" formatCode="0">
                  <c:v>-32.515151515151516</c:v>
                </c:pt>
                <c:pt idx="151" formatCode="0">
                  <c:v>-42.484848484848477</c:v>
                </c:pt>
                <c:pt idx="152" formatCode="0">
                  <c:v>-41.848484848484851</c:v>
                </c:pt>
                <c:pt idx="153" formatCode="0">
                  <c:v>-40.651515151515149</c:v>
                </c:pt>
              </c:numCache>
            </c:numRef>
          </c:val>
          <c:smooth val="0"/>
          <c:extLst>
            <c:ext xmlns:c16="http://schemas.microsoft.com/office/drawing/2014/chart" uri="{C3380CC4-5D6E-409C-BE32-E72D297353CC}">
              <c16:uniqueId val="{00000004-BC55-4F12-B7F6-63E28CF81CA2}"/>
            </c:ext>
          </c:extLst>
        </c:ser>
        <c:dLbls>
          <c:showLegendKey val="0"/>
          <c:showVal val="0"/>
          <c:showCatName val="0"/>
          <c:showSerName val="0"/>
          <c:showPercent val="0"/>
          <c:showBubbleSize val="0"/>
        </c:dLbls>
        <c:marker val="1"/>
        <c:smooth val="0"/>
        <c:axId val="449696048"/>
        <c:axId val="449689160"/>
      </c:lineChart>
      <c:dateAx>
        <c:axId val="449696048"/>
        <c:scaling>
          <c:orientation val="minMax"/>
        </c:scaling>
        <c:delete val="0"/>
        <c:axPos val="b"/>
        <c:numFmt formatCode="m/d/yyyy" sourceLinked="1"/>
        <c:majorTickMark val="out"/>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crossAx val="449689160"/>
        <c:crosses val="autoZero"/>
        <c:auto val="1"/>
        <c:lblOffset val="100"/>
        <c:baseTimeUnit val="days"/>
      </c:dateAx>
      <c:valAx>
        <c:axId val="449689160"/>
        <c:scaling>
          <c:orientation val="minMax"/>
        </c:scaling>
        <c:delete val="0"/>
        <c:axPos val="l"/>
        <c:majorGridlines>
          <c:spPr>
            <a:ln w="9525">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US" sz="800"/>
                  <a:t>% change from baseline</a:t>
                </a:r>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crossAx val="449696048"/>
        <c:crosses val="autoZero"/>
        <c:crossBetween val="between"/>
      </c:valAx>
      <c:valAx>
        <c:axId val="500006176"/>
        <c:scaling>
          <c:orientation val="minMax"/>
          <c:max val="100"/>
        </c:scaling>
        <c:delete val="0"/>
        <c:axPos val="r"/>
        <c:numFmt formatCode="General" sourceLinked="1"/>
        <c:majorTickMark val="out"/>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0006504"/>
        <c:crosses val="max"/>
        <c:crossBetween val="between"/>
      </c:valAx>
      <c:dateAx>
        <c:axId val="500006504"/>
        <c:scaling>
          <c:orientation val="minMax"/>
        </c:scaling>
        <c:delete val="1"/>
        <c:axPos val="b"/>
        <c:numFmt formatCode="m/d/yyyy" sourceLinked="1"/>
        <c:majorTickMark val="out"/>
        <c:minorTickMark val="none"/>
        <c:tickLblPos val="nextTo"/>
        <c:crossAx val="500006176"/>
        <c:crosses val="autoZero"/>
        <c:auto val="1"/>
        <c:lblOffset val="100"/>
        <c:baseTimeUnit val="days"/>
      </c:dateAx>
      <c:spPr>
        <a:noFill/>
        <a:ln>
          <a:noFill/>
        </a:ln>
        <a:effectLst/>
      </c:spPr>
    </c:plotArea>
    <c:legend>
      <c:legendPos val="b"/>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FE6E98-02CE-485F-9D67-AF626E99F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1004</Words>
  <Characters>5729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6720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Jones (Public Health Wales - No. 2 Capital Quarter)</dc:creator>
  <cp:lastModifiedBy>Michael O'Connor (Public Health Wales - No. 2 Capital Quarter)</cp:lastModifiedBy>
  <cp:revision>2</cp:revision>
  <dcterms:created xsi:type="dcterms:W3CDTF">2020-10-15T16:49:00Z</dcterms:created>
  <dcterms:modified xsi:type="dcterms:W3CDTF">2020-10-15T16:49:00Z</dcterms:modified>
</cp:coreProperties>
</file>