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935A4" w14:textId="7EA84228" w:rsidR="009F740E" w:rsidRPr="00C83343" w:rsidRDefault="009F740E" w:rsidP="00824FB3">
      <w:pPr>
        <w:pStyle w:val="Barheadings"/>
      </w:pPr>
      <w:r>
        <w:rPr>
          <w:noProof/>
          <w:lang w:eastAsia="en-GB"/>
        </w:rPr>
        <mc:AlternateContent>
          <mc:Choice Requires="wps">
            <w:drawing>
              <wp:anchor distT="0" distB="0" distL="114300" distR="114300" simplePos="0" relativeHeight="251658240" behindDoc="0" locked="0" layoutInCell="1" allowOverlap="1" wp14:anchorId="4324ED03" wp14:editId="5246DD58">
                <wp:simplePos x="0" y="0"/>
                <wp:positionH relativeFrom="margin">
                  <wp:posOffset>5679440</wp:posOffset>
                </wp:positionH>
                <wp:positionV relativeFrom="margin">
                  <wp:posOffset>-1791970</wp:posOffset>
                </wp:positionV>
                <wp:extent cx="1133475" cy="481330"/>
                <wp:effectExtent l="0" t="0" r="0" b="1270"/>
                <wp:wrapSquare wrapText="bothSides"/>
                <wp:docPr id="10" name="Text Box 10"/>
                <wp:cNvGraphicFramePr/>
                <a:graphic xmlns:a="http://schemas.openxmlformats.org/drawingml/2006/main">
                  <a:graphicData uri="http://schemas.microsoft.com/office/word/2010/wordprocessingShape">
                    <wps:wsp>
                      <wps:cNvSpPr txBox="1"/>
                      <wps:spPr>
                        <a:xfrm>
                          <a:off x="0" y="0"/>
                          <a:ext cx="1133475" cy="481330"/>
                        </a:xfrm>
                        <a:prstGeom prst="rect">
                          <a:avLst/>
                        </a:prstGeom>
                        <a:gradFill flip="none" rotWithShape="1">
                          <a:gsLst>
                            <a:gs pos="2000">
                              <a:srgbClr val="2F4D75"/>
                            </a:gs>
                            <a:gs pos="99000">
                              <a:srgbClr val="2EB6BE"/>
                            </a:gs>
                          </a:gsLst>
                          <a:lin ang="18900000" scaled="1"/>
                          <a:tileRect/>
                        </a:gradFill>
                        <a:ln w="6350">
                          <a:noFill/>
                        </a:ln>
                      </wps:spPr>
                      <wps:txbx>
                        <w:txbxContent>
                          <w:p w14:paraId="764D7C02" w14:textId="77777777" w:rsidR="007773F8" w:rsidRPr="006002FE" w:rsidRDefault="007773F8" w:rsidP="007773F8">
                            <w:pPr>
                              <w:jc w:val="center"/>
                              <w:rPr>
                                <w:rFonts w:ascii="Verdana" w:hAnsi="Verdana"/>
                                <w:b/>
                                <w:color w:val="FFFFFF" w:themeColor="background1"/>
                                <w:sz w:val="24"/>
                                <w:szCs w:val="24"/>
                              </w:rPr>
                            </w:pPr>
                            <w:proofErr w:type="spellStart"/>
                            <w:r>
                              <w:rPr>
                                <w:rFonts w:ascii="Verdana" w:hAnsi="Verdana"/>
                                <w:b/>
                                <w:color w:val="FFFFFF" w:themeColor="background1"/>
                                <w:sz w:val="24"/>
                                <w:szCs w:val="24"/>
                              </w:rPr>
                              <w:t>Astudiaeth</w:t>
                            </w:r>
                            <w:proofErr w:type="spellEnd"/>
                            <w:r>
                              <w:rPr>
                                <w:rFonts w:ascii="Verdana" w:hAnsi="Verdana"/>
                                <w:b/>
                                <w:color w:val="FFFFFF" w:themeColor="background1"/>
                                <w:sz w:val="24"/>
                                <w:szCs w:val="24"/>
                              </w:rPr>
                              <w:t xml:space="preserve"> </w:t>
                            </w:r>
                            <w:proofErr w:type="spellStart"/>
                            <w:r>
                              <w:rPr>
                                <w:rFonts w:ascii="Verdana" w:hAnsi="Verdana"/>
                                <w:b/>
                                <w:color w:val="FFFFFF" w:themeColor="background1"/>
                                <w:sz w:val="24"/>
                                <w:szCs w:val="24"/>
                              </w:rPr>
                              <w:t>achos</w:t>
                            </w:r>
                            <w:proofErr w:type="spellEnd"/>
                          </w:p>
                          <w:p w14:paraId="159B5ABB" w14:textId="77777777" w:rsidR="007773F8" w:rsidRDefault="007773F8" w:rsidP="007773F8"/>
                          <w:p w14:paraId="03F4711C" w14:textId="77777777" w:rsidR="007773F8" w:rsidRDefault="007773F8" w:rsidP="007773F8"/>
                          <w:p w14:paraId="383296E4" w14:textId="77777777" w:rsidR="009F740E" w:rsidRDefault="009F7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4ED03" id="_x0000_t202" coordsize="21600,21600" o:spt="202" path="m,l,21600r21600,l21600,xe">
                <v:stroke joinstyle="miter"/>
                <v:path gradientshapeok="t" o:connecttype="rect"/>
              </v:shapetype>
              <v:shape id="Text Box 10" o:spid="_x0000_s1026" type="#_x0000_t202" style="position:absolute;margin-left:447.2pt;margin-top:-141.1pt;width:89.25pt;height:3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gpjAIAACMFAAAOAAAAZHJzL2Uyb0RvYy54bWysVMlu2zAQvRfoPxC8N7IdZxMiB87iokCQ&#10;BE2KnGmKsghQJEvSltKvzyMlJUaaU9ELNeS82d7M6PyiaxTZCeel0QWdHkwoEZqbUupNQX89rb6d&#10;UuID0yVTRouCvghPLxZfv5y3NhczUxtVCkfgRPu8tQWtQ7B5lnlei4b5A2OFhrIyrmEBV7fJSsda&#10;eG9UNptMjrPWuNI6w4X3eL3ulXSR/FeV4OG+qrwIRBUUuYV0unSu45ktzlm+cczWkg9psH/IomFS&#10;I+ibq2sWGNk6+ZerRnJnvKnCATdNZqpKcpFqQDXTyYdqHmtmRaoF5Hj7RpP/f2753e7BEVmid6BH&#10;swY9ehJdIJemI3gCP631OWCPFsDQ4R3Y8d3jMZbdVa6JXxREoIerlzd2ozcejaaHh/OTI0o4dPNT&#10;3JL77N3aOh++C9OQKBTUoXuJVLa79QGZADpCBq7LlVSKVEpidDQGjBJnwrMMdaIuJpqAHva9QKwB&#10;e5icSdJ4t1lfKUd2DPMxW82vkV8faOP3Dc7OPre4uTy+vNmzQIabMZiSmrC4BtPTaI2IxHOmROQ6&#10;mrA8SCV+osghomOpnKhRmrQFPT486tPUJtbZw5QGEbEnPfdRCt26gzKKa1O+oE9gIXXBW76SIPOW&#10;+fDAHEYbWWBdwz2OShkEMYNESW3cn8/eIx4TBy0lLValoP73ljmQrX5osHk2nc/hNqTL/Ohkhovb&#10;16z3NXrbXBmwPQUdlicx4oMaxcqZ5hlbvYxRoWKaI3ZBwyhehX6B8VfgYrlMIGyTZeFWP1o+dj2O&#10;ylP3zJwd5ilgEu/MuFQs/zBWPTayr81yG0wlU2PeWR14xyamURz+GnHV9+8J9f5vW7wCAAD//wMA&#10;UEsDBBQABgAIAAAAIQCoZeOE5AAAAA4BAAAPAAAAZHJzL2Rvd25yZXYueG1sTI9NT4QwEIbvJv6H&#10;Zky87bY2ZAWkbIwfQbMm6mo8d2EEAp0i7e6iv95y0uPMPHnnebP1ZHp2wNG1lhRcLAUwpNJWLdUK&#10;3t/uFzEw5zVVureECr7RwTo/Pcl0WtkjveJh62sWQsilWkHj/ZBy7soGjXZLOyCF26cdjfZhHGte&#10;jfoYwk3PpRArbnRL4UOjB7xpsOy2e6OgK37il+nj8Zbzr02XPBdPdw+FU+r8bLq+AuZx8n8wzPpB&#10;HfLgtLN7qhzrFcRJFAVUwULGUgKbEXEpE2C7eSdWEfA84/9r5L8AAAD//wMAUEsBAi0AFAAGAAgA&#10;AAAhALaDOJL+AAAA4QEAABMAAAAAAAAAAAAAAAAAAAAAAFtDb250ZW50X1R5cGVzXS54bWxQSwEC&#10;LQAUAAYACAAAACEAOP0h/9YAAACUAQAACwAAAAAAAAAAAAAAAAAvAQAAX3JlbHMvLnJlbHNQSwEC&#10;LQAUAAYACAAAACEABSDYKYwCAAAjBQAADgAAAAAAAAAAAAAAAAAuAgAAZHJzL2Uyb0RvYy54bWxQ&#10;SwECLQAUAAYACAAAACEAqGXjhOQAAAAOAQAADwAAAAAAAAAAAAAAAADmBAAAZHJzL2Rvd25yZXYu&#10;eG1sUEsFBgAAAAAEAAQA8wAAAPcFAAAAAA==&#10;" fillcolor="#2f4d75" stroked="f" strokeweight=".5pt">
                <v:fill color2="#2eb6be" rotate="t" angle="135" colors="0 #2f4d75;1311f #2f4d75" focus="100%" type="gradient"/>
                <v:textbox>
                  <w:txbxContent>
                    <w:p w14:paraId="764D7C02" w14:textId="77777777" w:rsidR="007773F8" w:rsidRPr="006002FE" w:rsidRDefault="007773F8" w:rsidP="007773F8">
                      <w:pPr>
                        <w:jc w:val="center"/>
                        <w:rPr>
                          <w:rFonts w:ascii="Verdana" w:hAnsi="Verdana"/>
                          <w:b/>
                          <w:color w:val="FFFFFF" w:themeColor="background1"/>
                          <w:sz w:val="24"/>
                          <w:szCs w:val="24"/>
                        </w:rPr>
                      </w:pPr>
                      <w:proofErr w:type="spellStart"/>
                      <w:r>
                        <w:rPr>
                          <w:rFonts w:ascii="Verdana" w:hAnsi="Verdana"/>
                          <w:b/>
                          <w:color w:val="FFFFFF" w:themeColor="background1"/>
                          <w:sz w:val="24"/>
                          <w:szCs w:val="24"/>
                        </w:rPr>
                        <w:t>Astudiaeth</w:t>
                      </w:r>
                      <w:proofErr w:type="spellEnd"/>
                      <w:r>
                        <w:rPr>
                          <w:rFonts w:ascii="Verdana" w:hAnsi="Verdana"/>
                          <w:b/>
                          <w:color w:val="FFFFFF" w:themeColor="background1"/>
                          <w:sz w:val="24"/>
                          <w:szCs w:val="24"/>
                        </w:rPr>
                        <w:t xml:space="preserve"> </w:t>
                      </w:r>
                      <w:proofErr w:type="spellStart"/>
                      <w:r>
                        <w:rPr>
                          <w:rFonts w:ascii="Verdana" w:hAnsi="Verdana"/>
                          <w:b/>
                          <w:color w:val="FFFFFF" w:themeColor="background1"/>
                          <w:sz w:val="24"/>
                          <w:szCs w:val="24"/>
                        </w:rPr>
                        <w:t>achos</w:t>
                      </w:r>
                      <w:proofErr w:type="spellEnd"/>
                    </w:p>
                    <w:p w14:paraId="159B5ABB" w14:textId="77777777" w:rsidR="007773F8" w:rsidRDefault="007773F8" w:rsidP="007773F8"/>
                    <w:p w14:paraId="03F4711C" w14:textId="77777777" w:rsidR="007773F8" w:rsidRDefault="007773F8" w:rsidP="007773F8"/>
                    <w:p w14:paraId="383296E4" w14:textId="77777777" w:rsidR="009F740E" w:rsidRDefault="009F740E"/>
                  </w:txbxContent>
                </v:textbox>
                <w10:wrap type="square" anchorx="margin" anchory="margin"/>
              </v:shape>
            </w:pict>
          </mc:Fallback>
        </mc:AlternateContent>
      </w:r>
      <w:r w:rsidR="00ED3504">
        <w:t xml:space="preserve">Beth </w:t>
      </w:r>
      <w:proofErr w:type="spellStart"/>
      <w:r w:rsidR="00ED3504">
        <w:t>mae’r</w:t>
      </w:r>
      <w:proofErr w:type="spellEnd"/>
      <w:r w:rsidR="00ED3504">
        <w:t xml:space="preserve"> </w:t>
      </w:r>
      <w:proofErr w:type="spellStart"/>
      <w:r w:rsidR="00ED3504">
        <w:t>astudiaeth</w:t>
      </w:r>
      <w:proofErr w:type="spellEnd"/>
      <w:r w:rsidR="00ED3504">
        <w:t xml:space="preserve"> hon </w:t>
      </w:r>
      <w:proofErr w:type="spellStart"/>
      <w:r w:rsidR="00ED3504">
        <w:t>ei</w:t>
      </w:r>
      <w:proofErr w:type="spellEnd"/>
      <w:r w:rsidR="00ED3504">
        <w:t xml:space="preserve"> </w:t>
      </w:r>
      <w:proofErr w:type="spellStart"/>
      <w:r w:rsidR="00ED3504">
        <w:t>ddisgrifio</w:t>
      </w:r>
      <w:proofErr w:type="spellEnd"/>
      <w:r w:rsidRPr="00C83343">
        <w:t>?</w:t>
      </w:r>
    </w:p>
    <w:p w14:paraId="027F9F8A" w14:textId="293A9142" w:rsidR="009F740E" w:rsidRPr="0026784E" w:rsidRDefault="00ED3504" w:rsidP="00ED3504">
      <w:r w:rsidRPr="00A01A86">
        <w:rPr>
          <w:rFonts w:ascii="Verdana" w:hAnsi="Verdana"/>
          <w:lang w:val="cy-GB"/>
        </w:rPr>
        <w:t xml:space="preserve">Pwrpas yr astudiaeth achos hon yw disgrifio enghraifft o ymarfer sy’n cydnabod ac yn </w:t>
      </w:r>
      <w:r>
        <w:rPr>
          <w:rFonts w:ascii="Verdana" w:hAnsi="Verdana"/>
          <w:lang w:val="cy-GB"/>
        </w:rPr>
        <w:t xml:space="preserve">rhoi gwerth cyfartal i </w:t>
      </w:r>
      <w:r w:rsidRPr="00A01A86">
        <w:rPr>
          <w:rFonts w:ascii="Verdana" w:hAnsi="Verdana"/>
          <w:lang w:val="cy-GB"/>
        </w:rPr>
        <w:t>wahanol fathau o wybodaeth fel sail i</w:t>
      </w:r>
      <w:r>
        <w:rPr>
          <w:rFonts w:ascii="Verdana" w:hAnsi="Verdana"/>
          <w:lang w:val="cy-GB"/>
        </w:rPr>
        <w:t>’r broses o</w:t>
      </w:r>
      <w:r w:rsidRPr="00A01A86">
        <w:rPr>
          <w:rFonts w:ascii="Verdana" w:hAnsi="Verdana"/>
          <w:lang w:val="cy-GB"/>
        </w:rPr>
        <w:t xml:space="preserve"> wneud penderfyniadau. Yma rydym yn edrych sut y gellir defnyddio</w:t>
      </w:r>
      <w:r>
        <w:rPr>
          <w:rFonts w:ascii="Verdana" w:hAnsi="Verdana"/>
          <w:lang w:val="cy-GB"/>
        </w:rPr>
        <w:t xml:space="preserve"> Asesiadau o’r </w:t>
      </w:r>
      <w:r w:rsidRPr="00A01A86">
        <w:rPr>
          <w:rFonts w:ascii="Verdana" w:hAnsi="Verdana"/>
          <w:lang w:val="cy-GB"/>
        </w:rPr>
        <w:t>Effaith ar Iechyd i hwyluso</w:t>
      </w:r>
      <w:r>
        <w:rPr>
          <w:rFonts w:ascii="Verdana" w:hAnsi="Verdana"/>
          <w:lang w:val="cy-GB"/>
        </w:rPr>
        <w:t xml:space="preserve"> c</w:t>
      </w:r>
      <w:r w:rsidRPr="00A01A86">
        <w:rPr>
          <w:rFonts w:ascii="Verdana" w:hAnsi="Verdana"/>
          <w:lang w:val="cy-GB"/>
        </w:rPr>
        <w:t xml:space="preserve">ydnabod a defnyddio gwybodaeth </w:t>
      </w:r>
      <w:r>
        <w:rPr>
          <w:rFonts w:ascii="Verdana" w:hAnsi="Verdana"/>
          <w:lang w:val="cy-GB"/>
        </w:rPr>
        <w:t>gan</w:t>
      </w:r>
      <w:r w:rsidRPr="00A01A86">
        <w:rPr>
          <w:rFonts w:ascii="Verdana" w:hAnsi="Verdana"/>
          <w:lang w:val="cy-GB"/>
        </w:rPr>
        <w:t xml:space="preserve"> gymunedau </w:t>
      </w:r>
      <w:r>
        <w:rPr>
          <w:rFonts w:ascii="Verdana" w:hAnsi="Verdana"/>
          <w:lang w:val="cy-GB"/>
        </w:rPr>
        <w:t xml:space="preserve">yn yr un modd ag y defnyddir </w:t>
      </w:r>
      <w:r w:rsidRPr="00A01A86">
        <w:rPr>
          <w:rFonts w:ascii="Verdana" w:hAnsi="Verdana"/>
          <w:lang w:val="cy-GB"/>
        </w:rPr>
        <w:t>gwybodaeth o ffynonellau eraill.</w:t>
      </w:r>
    </w:p>
    <w:p w14:paraId="509EAF62" w14:textId="0C251725" w:rsidR="00966EF6" w:rsidRPr="006E0585" w:rsidRDefault="00ED3504" w:rsidP="0026784E">
      <w:pPr>
        <w:pStyle w:val="Barheadings"/>
      </w:pPr>
      <w:proofErr w:type="spellStart"/>
      <w:r>
        <w:t>Cefndir</w:t>
      </w:r>
      <w:proofErr w:type="spellEnd"/>
      <w:r>
        <w:t xml:space="preserve"> – </w:t>
      </w:r>
      <w:proofErr w:type="spellStart"/>
      <w:r>
        <w:t>gair</w:t>
      </w:r>
      <w:proofErr w:type="spellEnd"/>
      <w:r>
        <w:t xml:space="preserve"> am </w:t>
      </w:r>
      <w:proofErr w:type="spellStart"/>
      <w:r>
        <w:t>Asesu’r</w:t>
      </w:r>
      <w:proofErr w:type="spellEnd"/>
      <w:r>
        <w:t xml:space="preserve"> </w:t>
      </w:r>
      <w:proofErr w:type="spellStart"/>
      <w:r>
        <w:t>Effaith</w:t>
      </w:r>
      <w:proofErr w:type="spellEnd"/>
      <w:r>
        <w:t xml:space="preserve"> </w:t>
      </w:r>
      <w:proofErr w:type="spellStart"/>
      <w:r>
        <w:t>ar</w:t>
      </w:r>
      <w:proofErr w:type="spellEnd"/>
      <w:r>
        <w:t xml:space="preserve"> </w:t>
      </w:r>
      <w:proofErr w:type="spellStart"/>
      <w:r>
        <w:t>Iechyd</w:t>
      </w:r>
      <w:proofErr w:type="spellEnd"/>
    </w:p>
    <w:p w14:paraId="4A60F688" w14:textId="77777777" w:rsidR="00ED3504" w:rsidRPr="00A01A86" w:rsidRDefault="00ED3504" w:rsidP="00ED3504">
      <w:pPr>
        <w:rPr>
          <w:rFonts w:ascii="Verdana" w:hAnsi="Verdana" w:cs="Arial"/>
          <w:color w:val="0A0A0A"/>
          <w:lang w:val="cy-GB"/>
        </w:rPr>
      </w:pPr>
      <w:r w:rsidRPr="00A01A86">
        <w:rPr>
          <w:rFonts w:ascii="Verdana" w:hAnsi="Verdana" w:cs="Arial"/>
          <w:color w:val="0A0A0A"/>
          <w:lang w:val="cy-GB"/>
        </w:rPr>
        <w:t xml:space="preserve">Diffinnir Asesu’r Effaith ar Iechyd fel ‘...proses lle mae tystiolaeth (o wahanol fathau), diddordebau, gwerthoedd ac ystyron yn cael eu cynnwys mewn deialog rhwng rhanddeiliaid perthnasol (gwleidyddion, gweithwyr proffesiynol a dinasyddion) er mwyn deall a rhagfynegi mewn ffordd </w:t>
      </w:r>
      <w:r>
        <w:rPr>
          <w:rFonts w:ascii="Verdana" w:hAnsi="Verdana" w:cs="Arial"/>
          <w:color w:val="0A0A0A"/>
          <w:lang w:val="cy-GB"/>
        </w:rPr>
        <w:t>sy’n dangos</w:t>
      </w:r>
      <w:r w:rsidRPr="00A01A86">
        <w:rPr>
          <w:rFonts w:ascii="Verdana" w:hAnsi="Verdana" w:cs="Arial"/>
          <w:color w:val="0A0A0A"/>
          <w:lang w:val="cy-GB"/>
        </w:rPr>
        <w:t xml:space="preserve"> dychymyg effeithiau newid ar iechyd ac anghydraddoldeb iechyd mewn poblogaeth benodol’. (Elliott et al. 2010) </w:t>
      </w:r>
    </w:p>
    <w:p w14:paraId="37BA7082" w14:textId="3B6AC399" w:rsidR="003A3343" w:rsidRPr="0026784E" w:rsidRDefault="00ED3504" w:rsidP="00ED3504">
      <w:r w:rsidRPr="00A01A86">
        <w:rPr>
          <w:rFonts w:ascii="Verdana" w:hAnsi="Verdana" w:cs="Arial"/>
          <w:color w:val="0A0A0A"/>
          <w:lang w:val="cy-GB"/>
        </w:rPr>
        <w:t>Mae Asesu’r Effaith ar Iechyd yn fframwaith ymarferol sy’n caniatáu asesiad systematig a gwrthrychol o dystiolaeth amrywiol a gwahanol fathau o wybodaeth, gan gynnwys gwybodaeth gyd-destunol cymunedau, i helpu i wneud penderfyniadau. Gellir ei ddefnyddio ar lefel leol ac ar lefel genedlaethol. Mae Llywodraeth Cymru wedi dangos ymrwymiad i ddatblygu’r defnydd o Ases</w:t>
      </w:r>
      <w:r>
        <w:rPr>
          <w:rFonts w:ascii="Verdana" w:hAnsi="Verdana" w:cs="Arial"/>
          <w:color w:val="0A0A0A"/>
          <w:lang w:val="cy-GB"/>
        </w:rPr>
        <w:t>iadau o’r</w:t>
      </w:r>
      <w:r w:rsidRPr="00A01A86">
        <w:rPr>
          <w:rFonts w:ascii="Verdana" w:hAnsi="Verdana" w:cs="Arial"/>
          <w:color w:val="0A0A0A"/>
          <w:lang w:val="cy-GB"/>
        </w:rPr>
        <w:t xml:space="preserve"> Effaith ar Iechyd yng Nghymru fel rhan o strategaethau i wella iechyd a lleihau anghydraddoldeb, drwy gyflwyno Ases</w:t>
      </w:r>
      <w:r>
        <w:rPr>
          <w:rFonts w:ascii="Verdana" w:hAnsi="Verdana" w:cs="Arial"/>
          <w:color w:val="0A0A0A"/>
          <w:lang w:val="cy-GB"/>
        </w:rPr>
        <w:t>iadau o</w:t>
      </w:r>
      <w:r w:rsidRPr="00A01A86">
        <w:rPr>
          <w:rFonts w:ascii="Verdana" w:hAnsi="Verdana" w:cs="Arial"/>
          <w:color w:val="0A0A0A"/>
          <w:lang w:val="cy-GB"/>
        </w:rPr>
        <w:t xml:space="preserve">’r Effaith ar Iechyd yn statudol yn Neddf Iechyd y Cyhoedd (Cymru) 2017.  </w:t>
      </w:r>
    </w:p>
    <w:p w14:paraId="54CABE28" w14:textId="4A8DE2AD" w:rsidR="00966EF6" w:rsidRPr="002B1491" w:rsidRDefault="00ED3504" w:rsidP="003A3343">
      <w:pPr>
        <w:pStyle w:val="Barheadings"/>
        <w:rPr>
          <w:sz w:val="23"/>
          <w:szCs w:val="23"/>
        </w:rPr>
      </w:pPr>
      <w:proofErr w:type="spellStart"/>
      <w:r w:rsidRPr="002B1491">
        <w:rPr>
          <w:sz w:val="23"/>
          <w:szCs w:val="23"/>
        </w:rPr>
        <w:t>Sut</w:t>
      </w:r>
      <w:proofErr w:type="spellEnd"/>
      <w:r w:rsidRPr="002B1491">
        <w:rPr>
          <w:sz w:val="23"/>
          <w:szCs w:val="23"/>
        </w:rPr>
        <w:t xml:space="preserve"> </w:t>
      </w:r>
      <w:proofErr w:type="spellStart"/>
      <w:r w:rsidRPr="002B1491">
        <w:rPr>
          <w:sz w:val="23"/>
          <w:szCs w:val="23"/>
        </w:rPr>
        <w:t>mae’r</w:t>
      </w:r>
      <w:proofErr w:type="spellEnd"/>
      <w:r w:rsidRPr="002B1491">
        <w:rPr>
          <w:sz w:val="23"/>
          <w:szCs w:val="23"/>
        </w:rPr>
        <w:t xml:space="preserve"> dull </w:t>
      </w:r>
      <w:proofErr w:type="spellStart"/>
      <w:r w:rsidRPr="002B1491">
        <w:rPr>
          <w:sz w:val="23"/>
          <w:szCs w:val="23"/>
        </w:rPr>
        <w:t>gweithredu</w:t>
      </w:r>
      <w:proofErr w:type="spellEnd"/>
      <w:r w:rsidRPr="002B1491">
        <w:rPr>
          <w:sz w:val="23"/>
          <w:szCs w:val="23"/>
        </w:rPr>
        <w:t xml:space="preserve"> </w:t>
      </w:r>
      <w:proofErr w:type="spellStart"/>
      <w:r w:rsidRPr="002B1491">
        <w:rPr>
          <w:sz w:val="23"/>
          <w:szCs w:val="23"/>
        </w:rPr>
        <w:t>sy’n</w:t>
      </w:r>
      <w:proofErr w:type="spellEnd"/>
      <w:r w:rsidRPr="002B1491">
        <w:rPr>
          <w:sz w:val="23"/>
          <w:szCs w:val="23"/>
        </w:rPr>
        <w:t xml:space="preserve"> </w:t>
      </w:r>
      <w:proofErr w:type="spellStart"/>
      <w:r w:rsidRPr="002B1491">
        <w:rPr>
          <w:sz w:val="23"/>
          <w:szCs w:val="23"/>
        </w:rPr>
        <w:t>seiliedig</w:t>
      </w:r>
      <w:proofErr w:type="spellEnd"/>
      <w:r w:rsidRPr="002B1491">
        <w:rPr>
          <w:sz w:val="23"/>
          <w:szCs w:val="23"/>
        </w:rPr>
        <w:t xml:space="preserve"> </w:t>
      </w:r>
      <w:proofErr w:type="spellStart"/>
      <w:r w:rsidRPr="002B1491">
        <w:rPr>
          <w:sz w:val="23"/>
          <w:szCs w:val="23"/>
        </w:rPr>
        <w:t>ar</w:t>
      </w:r>
      <w:proofErr w:type="spellEnd"/>
      <w:r w:rsidRPr="002B1491">
        <w:rPr>
          <w:sz w:val="23"/>
          <w:szCs w:val="23"/>
        </w:rPr>
        <w:t xml:space="preserve"> </w:t>
      </w:r>
      <w:proofErr w:type="spellStart"/>
      <w:r w:rsidRPr="002B1491">
        <w:rPr>
          <w:sz w:val="23"/>
          <w:szCs w:val="23"/>
        </w:rPr>
        <w:t>Asesiadau</w:t>
      </w:r>
      <w:proofErr w:type="spellEnd"/>
      <w:r w:rsidRPr="002B1491">
        <w:rPr>
          <w:sz w:val="23"/>
          <w:szCs w:val="23"/>
        </w:rPr>
        <w:t xml:space="preserve"> </w:t>
      </w:r>
      <w:proofErr w:type="spellStart"/>
      <w:r w:rsidRPr="002B1491">
        <w:rPr>
          <w:sz w:val="23"/>
          <w:szCs w:val="23"/>
        </w:rPr>
        <w:t>o’r</w:t>
      </w:r>
      <w:proofErr w:type="spellEnd"/>
      <w:r w:rsidRPr="002B1491">
        <w:rPr>
          <w:sz w:val="23"/>
          <w:szCs w:val="23"/>
        </w:rPr>
        <w:t xml:space="preserve"> </w:t>
      </w:r>
      <w:proofErr w:type="spellStart"/>
      <w:r w:rsidRPr="002B1491">
        <w:rPr>
          <w:sz w:val="23"/>
          <w:szCs w:val="23"/>
        </w:rPr>
        <w:t>Effaith</w:t>
      </w:r>
      <w:proofErr w:type="spellEnd"/>
      <w:r w:rsidRPr="002B1491">
        <w:rPr>
          <w:sz w:val="23"/>
          <w:szCs w:val="23"/>
        </w:rPr>
        <w:t xml:space="preserve"> </w:t>
      </w:r>
      <w:proofErr w:type="spellStart"/>
      <w:r w:rsidRPr="002B1491">
        <w:rPr>
          <w:sz w:val="23"/>
          <w:szCs w:val="23"/>
        </w:rPr>
        <w:t>ar</w:t>
      </w:r>
      <w:proofErr w:type="spellEnd"/>
      <w:r w:rsidRPr="002B1491">
        <w:rPr>
          <w:sz w:val="23"/>
          <w:szCs w:val="23"/>
        </w:rPr>
        <w:t xml:space="preserve"> </w:t>
      </w:r>
      <w:proofErr w:type="spellStart"/>
      <w:r w:rsidRPr="002B1491">
        <w:rPr>
          <w:sz w:val="23"/>
          <w:szCs w:val="23"/>
        </w:rPr>
        <w:t>Iechyd</w:t>
      </w:r>
      <w:proofErr w:type="spellEnd"/>
      <w:r w:rsidRPr="002B1491">
        <w:rPr>
          <w:sz w:val="23"/>
          <w:szCs w:val="23"/>
        </w:rPr>
        <w:t xml:space="preserve"> </w:t>
      </w:r>
      <w:proofErr w:type="spellStart"/>
      <w:r w:rsidRPr="002B1491">
        <w:rPr>
          <w:sz w:val="23"/>
          <w:szCs w:val="23"/>
        </w:rPr>
        <w:t>yn</w:t>
      </w:r>
      <w:proofErr w:type="spellEnd"/>
      <w:r w:rsidRPr="002B1491">
        <w:rPr>
          <w:sz w:val="23"/>
          <w:szCs w:val="23"/>
        </w:rPr>
        <w:t xml:space="preserve"> </w:t>
      </w:r>
      <w:proofErr w:type="spellStart"/>
      <w:r w:rsidRPr="002B1491">
        <w:rPr>
          <w:sz w:val="23"/>
          <w:szCs w:val="23"/>
        </w:rPr>
        <w:t>hwyluso</w:t>
      </w:r>
      <w:proofErr w:type="spellEnd"/>
      <w:r w:rsidRPr="002B1491">
        <w:rPr>
          <w:sz w:val="23"/>
          <w:szCs w:val="23"/>
        </w:rPr>
        <w:t xml:space="preserve"> </w:t>
      </w:r>
      <w:proofErr w:type="spellStart"/>
      <w:r w:rsidRPr="002B1491">
        <w:rPr>
          <w:sz w:val="23"/>
          <w:szCs w:val="23"/>
        </w:rPr>
        <w:t>cydnabod</w:t>
      </w:r>
      <w:proofErr w:type="spellEnd"/>
      <w:r w:rsidRPr="002B1491">
        <w:rPr>
          <w:sz w:val="23"/>
          <w:szCs w:val="23"/>
        </w:rPr>
        <w:t xml:space="preserve">, </w:t>
      </w:r>
      <w:proofErr w:type="spellStart"/>
      <w:r w:rsidRPr="002B1491">
        <w:rPr>
          <w:sz w:val="23"/>
          <w:szCs w:val="23"/>
        </w:rPr>
        <w:t>gwerthfawrogi</w:t>
      </w:r>
      <w:proofErr w:type="spellEnd"/>
      <w:r w:rsidRPr="002B1491">
        <w:rPr>
          <w:sz w:val="23"/>
          <w:szCs w:val="23"/>
        </w:rPr>
        <w:t xml:space="preserve"> a </w:t>
      </w:r>
      <w:proofErr w:type="spellStart"/>
      <w:r w:rsidRPr="002B1491">
        <w:rPr>
          <w:sz w:val="23"/>
          <w:szCs w:val="23"/>
        </w:rPr>
        <w:t>defnyddio</w:t>
      </w:r>
      <w:proofErr w:type="spellEnd"/>
      <w:r w:rsidRPr="002B1491">
        <w:rPr>
          <w:sz w:val="23"/>
          <w:szCs w:val="23"/>
        </w:rPr>
        <w:t xml:space="preserve"> </w:t>
      </w:r>
      <w:proofErr w:type="spellStart"/>
      <w:r w:rsidRPr="002B1491">
        <w:rPr>
          <w:sz w:val="23"/>
          <w:szCs w:val="23"/>
        </w:rPr>
        <w:t>gwybodaeth</w:t>
      </w:r>
      <w:proofErr w:type="spellEnd"/>
      <w:r w:rsidRPr="002B1491">
        <w:rPr>
          <w:sz w:val="23"/>
          <w:szCs w:val="23"/>
        </w:rPr>
        <w:t xml:space="preserve"> </w:t>
      </w:r>
      <w:proofErr w:type="spellStart"/>
      <w:r w:rsidRPr="002B1491">
        <w:rPr>
          <w:sz w:val="23"/>
          <w:szCs w:val="23"/>
        </w:rPr>
        <w:t>leyg</w:t>
      </w:r>
      <w:proofErr w:type="spellEnd"/>
      <w:r w:rsidRPr="002B1491">
        <w:rPr>
          <w:sz w:val="23"/>
          <w:szCs w:val="23"/>
        </w:rPr>
        <w:t xml:space="preserve"> </w:t>
      </w:r>
      <w:proofErr w:type="spellStart"/>
      <w:r w:rsidRPr="002B1491">
        <w:rPr>
          <w:sz w:val="23"/>
          <w:szCs w:val="23"/>
        </w:rPr>
        <w:t>gan</w:t>
      </w:r>
      <w:proofErr w:type="spellEnd"/>
      <w:r w:rsidRPr="002B1491">
        <w:rPr>
          <w:sz w:val="23"/>
          <w:szCs w:val="23"/>
        </w:rPr>
        <w:t xml:space="preserve"> </w:t>
      </w:r>
      <w:proofErr w:type="spellStart"/>
      <w:r w:rsidRPr="002B1491">
        <w:rPr>
          <w:sz w:val="23"/>
          <w:szCs w:val="23"/>
        </w:rPr>
        <w:t>gymunedau</w:t>
      </w:r>
      <w:proofErr w:type="spellEnd"/>
      <w:r w:rsidRPr="002B1491">
        <w:rPr>
          <w:sz w:val="23"/>
          <w:szCs w:val="23"/>
        </w:rPr>
        <w:t xml:space="preserve">, </w:t>
      </w:r>
      <w:proofErr w:type="spellStart"/>
      <w:r w:rsidRPr="002B1491">
        <w:rPr>
          <w:sz w:val="23"/>
          <w:szCs w:val="23"/>
        </w:rPr>
        <w:t>gan</w:t>
      </w:r>
      <w:proofErr w:type="spellEnd"/>
      <w:r w:rsidRPr="002B1491">
        <w:rPr>
          <w:sz w:val="23"/>
          <w:szCs w:val="23"/>
        </w:rPr>
        <w:t xml:space="preserve"> </w:t>
      </w:r>
      <w:proofErr w:type="spellStart"/>
      <w:r w:rsidRPr="002B1491">
        <w:rPr>
          <w:sz w:val="23"/>
          <w:szCs w:val="23"/>
        </w:rPr>
        <w:t>ystried</w:t>
      </w:r>
      <w:proofErr w:type="spellEnd"/>
      <w:r w:rsidRPr="002B1491">
        <w:rPr>
          <w:sz w:val="23"/>
          <w:szCs w:val="23"/>
        </w:rPr>
        <w:t xml:space="preserve"> </w:t>
      </w:r>
      <w:proofErr w:type="spellStart"/>
      <w:r w:rsidRPr="002B1491">
        <w:rPr>
          <w:sz w:val="23"/>
          <w:szCs w:val="23"/>
        </w:rPr>
        <w:t>gwybodaeth</w:t>
      </w:r>
      <w:proofErr w:type="spellEnd"/>
      <w:r w:rsidRPr="002B1491">
        <w:rPr>
          <w:sz w:val="23"/>
          <w:szCs w:val="23"/>
        </w:rPr>
        <w:t xml:space="preserve"> </w:t>
      </w:r>
      <w:proofErr w:type="spellStart"/>
      <w:r w:rsidRPr="002B1491">
        <w:rPr>
          <w:sz w:val="23"/>
          <w:szCs w:val="23"/>
        </w:rPr>
        <w:t>o’r</w:t>
      </w:r>
      <w:proofErr w:type="spellEnd"/>
      <w:r w:rsidRPr="002B1491">
        <w:rPr>
          <w:sz w:val="23"/>
          <w:szCs w:val="23"/>
        </w:rPr>
        <w:t xml:space="preserve"> </w:t>
      </w:r>
      <w:proofErr w:type="spellStart"/>
      <w:r w:rsidRPr="002B1491">
        <w:rPr>
          <w:sz w:val="23"/>
          <w:szCs w:val="23"/>
        </w:rPr>
        <w:t>fath</w:t>
      </w:r>
      <w:proofErr w:type="spellEnd"/>
      <w:r w:rsidRPr="002B1491">
        <w:rPr>
          <w:sz w:val="23"/>
          <w:szCs w:val="23"/>
        </w:rPr>
        <w:t xml:space="preserve"> </w:t>
      </w:r>
      <w:proofErr w:type="spellStart"/>
      <w:r w:rsidRPr="002B1491">
        <w:rPr>
          <w:sz w:val="23"/>
          <w:szCs w:val="23"/>
        </w:rPr>
        <w:t>yn</w:t>
      </w:r>
      <w:proofErr w:type="spellEnd"/>
      <w:r w:rsidRPr="002B1491">
        <w:rPr>
          <w:sz w:val="23"/>
          <w:szCs w:val="23"/>
        </w:rPr>
        <w:t xml:space="preserve"> </w:t>
      </w:r>
      <w:proofErr w:type="spellStart"/>
      <w:r w:rsidRPr="002B1491">
        <w:rPr>
          <w:sz w:val="23"/>
          <w:szCs w:val="23"/>
        </w:rPr>
        <w:t>gyfartal</w:t>
      </w:r>
      <w:proofErr w:type="spellEnd"/>
      <w:r w:rsidRPr="002B1491">
        <w:rPr>
          <w:sz w:val="23"/>
          <w:szCs w:val="23"/>
        </w:rPr>
        <w:t xml:space="preserve"> â </w:t>
      </w:r>
      <w:proofErr w:type="spellStart"/>
      <w:r w:rsidRPr="002B1491">
        <w:rPr>
          <w:sz w:val="23"/>
          <w:szCs w:val="23"/>
        </w:rPr>
        <w:t>gwybodaeth</w:t>
      </w:r>
      <w:proofErr w:type="spellEnd"/>
      <w:r w:rsidRPr="002B1491">
        <w:rPr>
          <w:sz w:val="23"/>
          <w:szCs w:val="23"/>
        </w:rPr>
        <w:t xml:space="preserve"> o </w:t>
      </w:r>
      <w:proofErr w:type="spellStart"/>
      <w:r w:rsidRPr="002B1491">
        <w:rPr>
          <w:sz w:val="23"/>
          <w:szCs w:val="23"/>
        </w:rPr>
        <w:t>ffynonellau</w:t>
      </w:r>
      <w:proofErr w:type="spellEnd"/>
      <w:r w:rsidRPr="002B1491">
        <w:rPr>
          <w:sz w:val="23"/>
          <w:szCs w:val="23"/>
        </w:rPr>
        <w:t xml:space="preserve"> </w:t>
      </w:r>
      <w:proofErr w:type="spellStart"/>
      <w:r w:rsidRPr="002B1491">
        <w:rPr>
          <w:sz w:val="23"/>
          <w:szCs w:val="23"/>
        </w:rPr>
        <w:t>eraill</w:t>
      </w:r>
      <w:proofErr w:type="spellEnd"/>
      <w:r w:rsidRPr="002B1491">
        <w:rPr>
          <w:sz w:val="23"/>
          <w:szCs w:val="23"/>
        </w:rPr>
        <w:t>?</w:t>
      </w:r>
    </w:p>
    <w:p w14:paraId="1E3B30DE" w14:textId="77777777" w:rsidR="00ED3504" w:rsidRPr="00ED3504" w:rsidRDefault="00ED3504" w:rsidP="00ED3504">
      <w:pPr>
        <w:pStyle w:val="Boldsubheadblue"/>
        <w:spacing w:after="0"/>
        <w:rPr>
          <w:u w:val="single"/>
          <w:lang w:val="cy-GB"/>
        </w:rPr>
      </w:pPr>
      <w:r w:rsidRPr="00ED3504">
        <w:rPr>
          <w:u w:val="single"/>
          <w:lang w:val="cy-GB"/>
        </w:rPr>
        <w:t>Mae’r fframwaith Asesiadau o’r Effaith ar Iechyd a’i egwyddorion sylfaenol yn cael effaith sylweddol ar y ffordd y defnyddir gwybodaeth.</w:t>
      </w:r>
    </w:p>
    <w:p w14:paraId="2DE0954E" w14:textId="77777777" w:rsidR="00ED3504" w:rsidRPr="00A01A86" w:rsidRDefault="00ED3504" w:rsidP="00ED3504">
      <w:pPr>
        <w:rPr>
          <w:rFonts w:ascii="Verdana" w:hAnsi="Verdana"/>
          <w:lang w:val="cy-GB"/>
        </w:rPr>
      </w:pPr>
      <w:r w:rsidRPr="00A01A86">
        <w:rPr>
          <w:rFonts w:ascii="Verdana" w:hAnsi="Verdana"/>
          <w:lang w:val="cy-GB"/>
        </w:rPr>
        <w:t xml:space="preserve">Mae cydnabod pwysigrwydd gwybodaeth </w:t>
      </w:r>
      <w:r>
        <w:rPr>
          <w:rFonts w:ascii="Verdana" w:hAnsi="Verdana"/>
          <w:lang w:val="cy-GB"/>
        </w:rPr>
        <w:t>gan</w:t>
      </w:r>
      <w:r w:rsidRPr="00A01A86">
        <w:rPr>
          <w:rFonts w:ascii="Verdana" w:hAnsi="Verdana"/>
          <w:lang w:val="cy-GB"/>
        </w:rPr>
        <w:t xml:space="preserve"> gymunedau ymhlyg yn y dull </w:t>
      </w:r>
      <w:r>
        <w:rPr>
          <w:rFonts w:ascii="Verdana" w:hAnsi="Verdana"/>
          <w:lang w:val="cy-GB"/>
        </w:rPr>
        <w:t>gweithredu sy’n seiliedig ar Asesiadau o</w:t>
      </w:r>
      <w:r w:rsidRPr="00A01A86">
        <w:rPr>
          <w:rFonts w:ascii="Verdana" w:hAnsi="Verdana"/>
          <w:lang w:val="cy-GB"/>
        </w:rPr>
        <w:t xml:space="preserve">’r Effaith ar Iechyd. Mae’r fethodoleg yn seiliedig ar werthfawrogi cyfranogiad, ymgysylltiad a </w:t>
      </w:r>
      <w:r>
        <w:rPr>
          <w:rFonts w:ascii="Verdana" w:hAnsi="Verdana"/>
          <w:lang w:val="cy-GB"/>
        </w:rPr>
        <w:t>rhan</w:t>
      </w:r>
      <w:r w:rsidRPr="00A01A86">
        <w:rPr>
          <w:rFonts w:ascii="Verdana" w:hAnsi="Verdana"/>
          <w:lang w:val="cy-GB"/>
        </w:rPr>
        <w:t xml:space="preserve"> cymunedau fel agwedd sylfaenol o’r cysyniad o Asesu’r Effaith ar Iechyd. Golyga hyn fod gan yr offeryn strwythur sy’n golygu y gellir </w:t>
      </w:r>
      <w:r>
        <w:rPr>
          <w:rFonts w:ascii="Verdana" w:hAnsi="Verdana"/>
          <w:lang w:val="cy-GB"/>
        </w:rPr>
        <w:t xml:space="preserve">gwneud pobl yn rhan o’r </w:t>
      </w:r>
      <w:r w:rsidRPr="00A01A86">
        <w:rPr>
          <w:rFonts w:ascii="Verdana" w:hAnsi="Verdana"/>
          <w:lang w:val="cy-GB"/>
        </w:rPr>
        <w:t xml:space="preserve">broses – drwy driongli tair ffynhonnell </w:t>
      </w:r>
      <w:r>
        <w:rPr>
          <w:rFonts w:ascii="Verdana" w:hAnsi="Verdana"/>
          <w:lang w:val="cy-GB"/>
        </w:rPr>
        <w:t>t</w:t>
      </w:r>
      <w:r w:rsidRPr="00A01A86">
        <w:rPr>
          <w:rFonts w:ascii="Verdana" w:hAnsi="Verdana"/>
          <w:lang w:val="cy-GB"/>
        </w:rPr>
        <w:t>ystiolaeth; data proffil poblogaeth, tystiolaeth academaidd, a gwybodaeth a phrofiad rhanddeiliaid. Mae eglurder ynglŷn â ffynonellau gwybodaeth yn bwysig, ac mae pob gwybodaeth yn cael ei chynnwys yn yr asesiad. Er bod dulliau pwysoli’n cael eu defnyddio yn y cam dadansoddi, mae Ases</w:t>
      </w:r>
      <w:r>
        <w:rPr>
          <w:rFonts w:ascii="Verdana" w:hAnsi="Verdana"/>
          <w:lang w:val="cy-GB"/>
        </w:rPr>
        <w:t>iadau o</w:t>
      </w:r>
      <w:r w:rsidRPr="00A01A86">
        <w:rPr>
          <w:rFonts w:ascii="Verdana" w:hAnsi="Verdana"/>
          <w:lang w:val="cy-GB"/>
        </w:rPr>
        <w:t>’r Effaith ar Iechyd yn cydnabod nad ceisio dod i farn gyffredin</w:t>
      </w:r>
      <w:r>
        <w:rPr>
          <w:rFonts w:ascii="Verdana" w:hAnsi="Verdana"/>
          <w:lang w:val="cy-GB"/>
        </w:rPr>
        <w:t xml:space="preserve"> yw’r nod</w:t>
      </w:r>
      <w:r w:rsidRPr="00A01A86">
        <w:rPr>
          <w:rFonts w:ascii="Verdana" w:hAnsi="Verdana"/>
          <w:lang w:val="cy-GB"/>
        </w:rPr>
        <w:t>. Yn hytrach, mae’</w:t>
      </w:r>
      <w:r>
        <w:rPr>
          <w:rFonts w:ascii="Verdana" w:hAnsi="Verdana"/>
          <w:lang w:val="cy-GB"/>
        </w:rPr>
        <w:t>r dull hwn y</w:t>
      </w:r>
      <w:r w:rsidRPr="00A01A86">
        <w:rPr>
          <w:rFonts w:ascii="Verdana" w:hAnsi="Verdana"/>
          <w:lang w:val="cy-GB"/>
        </w:rPr>
        <w:t xml:space="preserve">n adrodd ac yn rhoi sylw i’r holl ganfyddiadau, gan gydnabod effaith credoau a phrofiadau’r gymuned.  </w:t>
      </w:r>
    </w:p>
    <w:p w14:paraId="1BCC9107" w14:textId="08FC3F2F" w:rsidR="00ED3504" w:rsidRDefault="00ED3504" w:rsidP="00ED3504">
      <w:pPr>
        <w:rPr>
          <w:rFonts w:ascii="Verdana" w:hAnsi="Verdana"/>
          <w:lang w:val="cy-GB"/>
        </w:rPr>
      </w:pPr>
      <w:r w:rsidRPr="00A01A86">
        <w:rPr>
          <w:rFonts w:ascii="Verdana" w:hAnsi="Verdana"/>
          <w:lang w:val="cy-GB"/>
        </w:rPr>
        <w:t xml:space="preserve">Mae tryloywder yn </w:t>
      </w:r>
      <w:r>
        <w:rPr>
          <w:rFonts w:ascii="Verdana" w:hAnsi="Verdana"/>
          <w:lang w:val="cy-GB"/>
        </w:rPr>
        <w:t>un o brif werthoedd Asesiad o’r Effaith ar Iechyd</w:t>
      </w:r>
      <w:r w:rsidRPr="00A01A86">
        <w:rPr>
          <w:rFonts w:ascii="Verdana" w:hAnsi="Verdana"/>
          <w:lang w:val="cy-GB"/>
        </w:rPr>
        <w:t xml:space="preserve">, ac mae’n helpu i reoli disgwyliadau. Mae’r fframwaith yn disgwyl y bydd y rhai sy’n </w:t>
      </w:r>
      <w:r>
        <w:rPr>
          <w:rFonts w:ascii="Verdana" w:hAnsi="Verdana"/>
          <w:lang w:val="cy-GB"/>
        </w:rPr>
        <w:t>cymryd rhan</w:t>
      </w:r>
      <w:r w:rsidRPr="00A01A86">
        <w:rPr>
          <w:rFonts w:ascii="Verdana" w:hAnsi="Verdana"/>
          <w:lang w:val="cy-GB"/>
        </w:rPr>
        <w:t xml:space="preserve"> yn deall sut y bydd gwybodaeth yn cael ei rhannu a’i defnyddio</w:t>
      </w:r>
      <w:r>
        <w:rPr>
          <w:rFonts w:ascii="Verdana" w:hAnsi="Verdana"/>
          <w:lang w:val="cy-GB"/>
        </w:rPr>
        <w:t>. Dylent hefyd ddeall i ba raddau y gallant ddylanwadu ar y broses o wneud penderfyniadau</w:t>
      </w:r>
      <w:r w:rsidRPr="00A01A86">
        <w:rPr>
          <w:rFonts w:ascii="Verdana" w:hAnsi="Verdana"/>
          <w:lang w:val="cy-GB"/>
        </w:rPr>
        <w:t xml:space="preserve">. </w:t>
      </w:r>
    </w:p>
    <w:p w14:paraId="3AA50122" w14:textId="77777777" w:rsidR="00ED3504" w:rsidRPr="00ED3504" w:rsidRDefault="00ED3504" w:rsidP="00ED3504">
      <w:pPr>
        <w:spacing w:after="0"/>
        <w:rPr>
          <w:rFonts w:ascii="Verdana" w:hAnsi="Verdana"/>
          <w:b/>
          <w:color w:val="2F4D75"/>
          <w:u w:val="single"/>
          <w:lang w:val="cy-GB"/>
        </w:rPr>
      </w:pPr>
      <w:r w:rsidRPr="00ED3504">
        <w:rPr>
          <w:rFonts w:ascii="Verdana" w:hAnsi="Verdana"/>
          <w:b/>
          <w:color w:val="2F4D75"/>
          <w:u w:val="single"/>
          <w:lang w:val="cy-GB"/>
        </w:rPr>
        <w:lastRenderedPageBreak/>
        <w:t xml:space="preserve">Mae’r dulliau amrywiol sydd wedi’u teilwra i gipio gwybodaeth yn hwyluso gwerth a defnydd cyfartal.  </w:t>
      </w:r>
    </w:p>
    <w:p w14:paraId="5F7F7E86" w14:textId="77777777" w:rsidR="00ED3504" w:rsidRPr="00A01A86" w:rsidRDefault="00ED3504" w:rsidP="00ED3504">
      <w:pPr>
        <w:rPr>
          <w:rFonts w:ascii="Verdana" w:hAnsi="Verdana"/>
          <w:lang w:val="cy-GB"/>
        </w:rPr>
      </w:pPr>
      <w:r w:rsidRPr="00A01A86">
        <w:rPr>
          <w:rFonts w:ascii="Verdana" w:hAnsi="Verdana"/>
          <w:lang w:val="cy-GB"/>
        </w:rPr>
        <w:t xml:space="preserve">Mae’r dulliau penodol a ddefnyddir i gipio gwybodaeth gymunedol yn cael eu cynllunio mewn cyd-destun, ac yn cael eu dewis gan y tîm o bobl sy’n cyflawni’r Asesiad o’r Effaith ar Iechyd, ar sail </w:t>
      </w:r>
      <w:r>
        <w:rPr>
          <w:rFonts w:ascii="Verdana" w:hAnsi="Verdana"/>
          <w:lang w:val="cy-GB"/>
        </w:rPr>
        <w:t xml:space="preserve">dirnadaeth y </w:t>
      </w:r>
      <w:r w:rsidRPr="00A01A86">
        <w:rPr>
          <w:rFonts w:ascii="Verdana" w:hAnsi="Verdana"/>
          <w:lang w:val="cy-GB"/>
        </w:rPr>
        <w:t>gymuned</w:t>
      </w:r>
      <w:r>
        <w:rPr>
          <w:rFonts w:ascii="Verdana" w:hAnsi="Verdana"/>
          <w:lang w:val="cy-GB"/>
        </w:rPr>
        <w:t xml:space="preserve"> </w:t>
      </w:r>
      <w:r w:rsidRPr="00A01A86">
        <w:rPr>
          <w:rFonts w:ascii="Verdana" w:hAnsi="Verdana"/>
          <w:lang w:val="cy-GB"/>
        </w:rPr>
        <w:t>a barn ynglŷn â beth fydd yn gweithio orau i’r holl randdeiliaid. Mae teilwra dulliau cipio gwybodaeth ar gyfer gwahanol gymunedau yn help i gasglu gwybodaeth o safon</w:t>
      </w:r>
      <w:r>
        <w:rPr>
          <w:rFonts w:ascii="Verdana" w:hAnsi="Verdana"/>
          <w:lang w:val="cy-GB"/>
        </w:rPr>
        <w:t>. Mae hyn yn</w:t>
      </w:r>
      <w:r w:rsidRPr="00A01A86">
        <w:rPr>
          <w:rFonts w:ascii="Verdana" w:hAnsi="Verdana"/>
          <w:lang w:val="cy-GB"/>
        </w:rPr>
        <w:t xml:space="preserve"> golygu profiad cadarnhaol i’r rhai sy’n cymryd rhan ac </w:t>
      </w:r>
      <w:r>
        <w:rPr>
          <w:rFonts w:ascii="Verdana" w:hAnsi="Verdana"/>
          <w:lang w:val="cy-GB"/>
        </w:rPr>
        <w:t xml:space="preserve">mae </w:t>
      </w:r>
      <w:r w:rsidRPr="00A01A86">
        <w:rPr>
          <w:rFonts w:ascii="Verdana" w:hAnsi="Verdana"/>
          <w:lang w:val="cy-GB"/>
        </w:rPr>
        <w:t xml:space="preserve">o fudd i’r rhai sy’n defnyddio’r wybodaeth. </w:t>
      </w:r>
    </w:p>
    <w:p w14:paraId="3925BD5C" w14:textId="3E74F338" w:rsidR="00ED3504" w:rsidRPr="00A01A86" w:rsidRDefault="00ED3504" w:rsidP="00ED3504">
      <w:pPr>
        <w:rPr>
          <w:rFonts w:ascii="Verdana" w:hAnsi="Verdana"/>
          <w:lang w:val="cy-GB"/>
        </w:rPr>
      </w:pPr>
      <w:r w:rsidRPr="00A01A86">
        <w:rPr>
          <w:rFonts w:ascii="Verdana" w:hAnsi="Verdana"/>
          <w:lang w:val="cy-GB"/>
        </w:rPr>
        <w:t xml:space="preserve">Un o’r dulliau a ddefnyddir yn aml yw gweithdai lle mae rhanddeiliaid amrywiol, gan gynnwys aelodau o’r gymuned, yn dod at ei gilydd i drafod y materion sydd dan sylw. Mae’r gweithdai’n defnyddio fframwaith penderfynyddion iechyd ehangach ac yn gofyn i gyfranogwyr nodi canlyniadau cadarnhaol neu negyddol y cynnig dan sylw yn erbyn pob eitem ar y fframwaith, yn ogystal â meddwl am y grwpiau sydd â’r risg fwyaf. Mae’r cyfranogwyr hefyd yn nodi cyfleoedd i sicrhau’r canlyniadau iechyd a lles gorau i’r gymuned. </w:t>
      </w:r>
      <w:r w:rsidRPr="00ED3504">
        <w:rPr>
          <w:rFonts w:ascii="Verdana" w:hAnsi="Verdana"/>
          <w:i/>
          <w:color w:val="2EB6BE"/>
          <w:lang w:val="cy-GB"/>
        </w:rPr>
        <w:t>“Mae pawb yn arbenigwr yn yr ystafell. Mae profiad a gwybodaeth un person yr un mor ddilys â phrofiad a gwybodaeth rhywun arall”</w:t>
      </w:r>
      <w:r w:rsidRPr="00A01A86">
        <w:rPr>
          <w:rFonts w:ascii="Verdana" w:hAnsi="Verdana"/>
          <w:lang w:val="cy-GB"/>
        </w:rPr>
        <w:t xml:space="preserve"> (Un o’r rhai a gyfwelwyd). Rhennir trawsgrifiadau neu nodiadau gweithio â chyfranogwyr o gymunedau i wneud yn siŵr bod y wybodaeth wedi’i chipio’n deg.  </w:t>
      </w:r>
    </w:p>
    <w:p w14:paraId="6899BE37" w14:textId="77777777" w:rsidR="00ED3504" w:rsidRPr="00ED3504" w:rsidRDefault="00ED3504" w:rsidP="00ED3504">
      <w:pPr>
        <w:pStyle w:val="Boldsubheadblue"/>
        <w:spacing w:after="0"/>
        <w:rPr>
          <w:u w:val="single"/>
          <w:lang w:val="cy-GB"/>
        </w:rPr>
      </w:pPr>
      <w:r w:rsidRPr="00ED3504">
        <w:rPr>
          <w:u w:val="single"/>
          <w:lang w:val="cy-GB"/>
        </w:rPr>
        <w:t xml:space="preserve">Mae’r dull gweithredu’n rhoi pwyslais ar ffactorau allweddol sy’n galluogi defnydd effeithiol a chyfartal o wybodaeth gymunedol. </w:t>
      </w:r>
    </w:p>
    <w:p w14:paraId="24FE40A9" w14:textId="1E3B6541" w:rsidR="00ED3504" w:rsidRPr="00ED3504" w:rsidRDefault="00ED3504" w:rsidP="00ED3504">
      <w:pPr>
        <w:pStyle w:val="Bullets"/>
        <w:rPr>
          <w:lang w:val="cy-GB"/>
        </w:rPr>
      </w:pPr>
      <w:r w:rsidRPr="00ED3504">
        <w:rPr>
          <w:lang w:val="cy-GB"/>
        </w:rPr>
        <w:t xml:space="preserve">Mae rolau’n cael eu diffinio’n glir mewn fframwaith gwybodaeth a sgiliau Asesu’r Effaith ar Iechyd. Mae hyn yn gwerthfawrogi’r sgiliau arbennig sydd eu hangen er mwyn hwyluso gweithdai mewn ffordd gynhwysol. Mae’r dull gweithredu hwn hefyd yn golygu bod modd lledaenu’r sgiliau sydd eu hangen er mwyn gwneud Asesiad o’r Effaith ar Iechyd ar draws grŵp cyfan o bobl.  </w:t>
      </w:r>
    </w:p>
    <w:p w14:paraId="57CCFF62" w14:textId="41DDF4CB" w:rsidR="00ED3504" w:rsidRPr="00ED3504" w:rsidRDefault="00ED3504" w:rsidP="00ED3504">
      <w:pPr>
        <w:pStyle w:val="Bullets"/>
        <w:rPr>
          <w:lang w:val="cy-GB"/>
        </w:rPr>
      </w:pPr>
      <w:r w:rsidRPr="00ED3504">
        <w:rPr>
          <w:lang w:val="cy-GB"/>
        </w:rPr>
        <w:t xml:space="preserve">Darparu cyfleoedd i ddod â phobl o gymunedau proffesiynol a lleyg at ei gilydd, i gymryd rhan mewn deialog a rhannu safbwyntiau ar sail gyfartal. </w:t>
      </w:r>
    </w:p>
    <w:p w14:paraId="45DB79ED" w14:textId="77777777" w:rsidR="00ED3504" w:rsidRPr="00A01A86" w:rsidRDefault="00ED3504" w:rsidP="00ED3504">
      <w:pPr>
        <w:pStyle w:val="Bullets"/>
        <w:rPr>
          <w:lang w:val="cy-GB"/>
        </w:rPr>
      </w:pPr>
      <w:r w:rsidRPr="00A01A86">
        <w:rPr>
          <w:lang w:val="cy-GB"/>
        </w:rPr>
        <w:t xml:space="preserve">Nid yw’r pynciau y mae’r Asesiad o’r Effaith ar Iechyd yn ymdrin â hwy yn rhai damcaniaethol. Maen nhw bob amser yn berthnasol i’r bobl. Mae hyn yn golygu ymgysylltu â phobl ar bynciau sy’n bwysig iddyn nhw ac sy’n gyfredol yn eu bywydau. </w:t>
      </w:r>
    </w:p>
    <w:p w14:paraId="11C065D3" w14:textId="31CB93D1" w:rsidR="00ED3504" w:rsidRPr="00ED3504" w:rsidRDefault="00ED3504" w:rsidP="00ED3504">
      <w:pPr>
        <w:pStyle w:val="Bullets"/>
      </w:pPr>
      <w:r w:rsidRPr="00A01A86">
        <w:rPr>
          <w:lang w:val="cy-GB"/>
        </w:rPr>
        <w:t>Mae cydnabyddiaeth benodol i farn y gymuned ynghyd â’r cylchoedd cyfathrebu sy’n rhan o’r broses yn golygu bod pobl yn teimlo o ddifri bod rhywun yn gwrando arnyn nhw, ac yn gosod sylfaen ar gyfer datblygu dealltwriaeth gyffredin</w:t>
      </w:r>
    </w:p>
    <w:p w14:paraId="69F288A6" w14:textId="77777777" w:rsidR="00ED3504" w:rsidRPr="009F740E" w:rsidRDefault="00ED3504" w:rsidP="00ED3504">
      <w:pPr>
        <w:pStyle w:val="Bullets"/>
        <w:numPr>
          <w:ilvl w:val="0"/>
          <w:numId w:val="0"/>
        </w:numPr>
        <w:ind w:left="1069"/>
      </w:pPr>
    </w:p>
    <w:p w14:paraId="230C0481" w14:textId="32D1A385" w:rsidR="00ED3504" w:rsidRPr="00B4049F" w:rsidRDefault="00ED3504" w:rsidP="00ED3504">
      <w:pPr>
        <w:pStyle w:val="Bullets"/>
        <w:numPr>
          <w:ilvl w:val="0"/>
          <w:numId w:val="0"/>
        </w:numPr>
        <w:rPr>
          <w:u w:val="single"/>
        </w:rPr>
      </w:pPr>
      <w:proofErr w:type="spellStart"/>
      <w:r w:rsidRPr="00B4049F">
        <w:rPr>
          <w:b/>
          <w:color w:val="2F4D75"/>
          <w:u w:val="single"/>
        </w:rPr>
        <w:t>Mae’r</w:t>
      </w:r>
      <w:proofErr w:type="spellEnd"/>
      <w:r w:rsidRPr="00B4049F">
        <w:rPr>
          <w:b/>
          <w:color w:val="2F4D75"/>
          <w:u w:val="single"/>
        </w:rPr>
        <w:t xml:space="preserve"> dull </w:t>
      </w:r>
      <w:proofErr w:type="spellStart"/>
      <w:r w:rsidRPr="00B4049F">
        <w:rPr>
          <w:b/>
          <w:color w:val="2F4D75"/>
          <w:u w:val="single"/>
        </w:rPr>
        <w:t>Asesiad</w:t>
      </w:r>
      <w:proofErr w:type="spellEnd"/>
      <w:r w:rsidRPr="00B4049F">
        <w:rPr>
          <w:b/>
          <w:color w:val="2F4D75"/>
          <w:u w:val="single"/>
        </w:rPr>
        <w:t xml:space="preserve"> </w:t>
      </w:r>
      <w:proofErr w:type="spellStart"/>
      <w:r w:rsidRPr="00B4049F">
        <w:rPr>
          <w:b/>
          <w:color w:val="2F4D75"/>
          <w:u w:val="single"/>
        </w:rPr>
        <w:t>o’r</w:t>
      </w:r>
      <w:proofErr w:type="spellEnd"/>
      <w:r w:rsidRPr="00B4049F">
        <w:rPr>
          <w:b/>
          <w:color w:val="2F4D75"/>
          <w:u w:val="single"/>
        </w:rPr>
        <w:t xml:space="preserve"> </w:t>
      </w:r>
      <w:proofErr w:type="spellStart"/>
      <w:r w:rsidRPr="00B4049F">
        <w:rPr>
          <w:b/>
          <w:color w:val="2F4D75"/>
          <w:u w:val="single"/>
        </w:rPr>
        <w:t>Effaith</w:t>
      </w:r>
      <w:proofErr w:type="spellEnd"/>
      <w:r w:rsidRPr="00B4049F">
        <w:rPr>
          <w:b/>
          <w:color w:val="2F4D75"/>
          <w:u w:val="single"/>
        </w:rPr>
        <w:t xml:space="preserve"> </w:t>
      </w:r>
      <w:proofErr w:type="spellStart"/>
      <w:r w:rsidRPr="00B4049F">
        <w:rPr>
          <w:b/>
          <w:color w:val="2F4D75"/>
          <w:u w:val="single"/>
        </w:rPr>
        <w:t>ar</w:t>
      </w:r>
      <w:proofErr w:type="spellEnd"/>
      <w:r w:rsidRPr="00B4049F">
        <w:rPr>
          <w:b/>
          <w:color w:val="2F4D75"/>
          <w:u w:val="single"/>
        </w:rPr>
        <w:t xml:space="preserve"> </w:t>
      </w:r>
      <w:proofErr w:type="spellStart"/>
      <w:r w:rsidRPr="00B4049F">
        <w:rPr>
          <w:b/>
          <w:color w:val="2F4D75"/>
          <w:u w:val="single"/>
        </w:rPr>
        <w:t>Iechyd</w:t>
      </w:r>
      <w:proofErr w:type="spellEnd"/>
      <w:r w:rsidRPr="00B4049F">
        <w:rPr>
          <w:b/>
          <w:color w:val="2F4D75"/>
          <w:u w:val="single"/>
        </w:rPr>
        <w:t xml:space="preserve"> </w:t>
      </w:r>
      <w:proofErr w:type="spellStart"/>
      <w:r w:rsidRPr="00B4049F">
        <w:rPr>
          <w:b/>
          <w:color w:val="2F4D75"/>
          <w:u w:val="single"/>
        </w:rPr>
        <w:t>yn</w:t>
      </w:r>
      <w:proofErr w:type="spellEnd"/>
      <w:r w:rsidRPr="00B4049F">
        <w:rPr>
          <w:b/>
          <w:color w:val="2F4D75"/>
          <w:u w:val="single"/>
        </w:rPr>
        <w:t xml:space="preserve"> </w:t>
      </w:r>
      <w:proofErr w:type="spellStart"/>
      <w:r w:rsidRPr="00B4049F">
        <w:rPr>
          <w:b/>
          <w:color w:val="2F4D75"/>
          <w:u w:val="single"/>
        </w:rPr>
        <w:t>cydnabod</w:t>
      </w:r>
      <w:proofErr w:type="spellEnd"/>
      <w:r w:rsidRPr="00B4049F">
        <w:rPr>
          <w:b/>
          <w:color w:val="2F4D75"/>
          <w:u w:val="single"/>
        </w:rPr>
        <w:t xml:space="preserve"> y </w:t>
      </w:r>
      <w:proofErr w:type="spellStart"/>
      <w:r w:rsidRPr="00B4049F">
        <w:rPr>
          <w:b/>
          <w:color w:val="2F4D75"/>
          <w:u w:val="single"/>
        </w:rPr>
        <w:t>rhwystrau</w:t>
      </w:r>
      <w:proofErr w:type="spellEnd"/>
      <w:r w:rsidRPr="00B4049F">
        <w:rPr>
          <w:b/>
          <w:color w:val="2F4D75"/>
          <w:u w:val="single"/>
        </w:rPr>
        <w:t xml:space="preserve"> a </w:t>
      </w:r>
      <w:proofErr w:type="spellStart"/>
      <w:r w:rsidRPr="00B4049F">
        <w:rPr>
          <w:b/>
          <w:color w:val="2F4D75"/>
          <w:u w:val="single"/>
        </w:rPr>
        <w:t>wynebir</w:t>
      </w:r>
      <w:proofErr w:type="spellEnd"/>
      <w:r w:rsidRPr="00B4049F">
        <w:rPr>
          <w:b/>
          <w:color w:val="2F4D75"/>
          <w:u w:val="single"/>
        </w:rPr>
        <w:t xml:space="preserve"> ac </w:t>
      </w:r>
      <w:proofErr w:type="spellStart"/>
      <w:r w:rsidRPr="00B4049F">
        <w:rPr>
          <w:b/>
          <w:color w:val="2F4D75"/>
          <w:u w:val="single"/>
        </w:rPr>
        <w:t>yn</w:t>
      </w:r>
      <w:proofErr w:type="spellEnd"/>
      <w:r w:rsidRPr="00B4049F">
        <w:rPr>
          <w:b/>
          <w:color w:val="2F4D75"/>
          <w:u w:val="single"/>
        </w:rPr>
        <w:t xml:space="preserve"> </w:t>
      </w:r>
      <w:proofErr w:type="spellStart"/>
      <w:r w:rsidRPr="00B4049F">
        <w:rPr>
          <w:b/>
          <w:color w:val="2F4D75"/>
          <w:u w:val="single"/>
        </w:rPr>
        <w:t>chwilio</w:t>
      </w:r>
      <w:proofErr w:type="spellEnd"/>
      <w:r w:rsidRPr="00B4049F">
        <w:rPr>
          <w:b/>
          <w:color w:val="2F4D75"/>
          <w:u w:val="single"/>
        </w:rPr>
        <w:t xml:space="preserve"> am </w:t>
      </w:r>
      <w:proofErr w:type="spellStart"/>
      <w:r w:rsidRPr="00B4049F">
        <w:rPr>
          <w:b/>
          <w:color w:val="2F4D75"/>
          <w:u w:val="single"/>
        </w:rPr>
        <w:t>atebion</w:t>
      </w:r>
      <w:proofErr w:type="spellEnd"/>
      <w:r w:rsidRPr="00B4049F">
        <w:rPr>
          <w:b/>
          <w:color w:val="2F4D75"/>
          <w:u w:val="single"/>
        </w:rPr>
        <w:t xml:space="preserve"> </w:t>
      </w:r>
      <w:proofErr w:type="spellStart"/>
      <w:r w:rsidRPr="00B4049F">
        <w:rPr>
          <w:b/>
          <w:color w:val="2F4D75"/>
          <w:u w:val="single"/>
        </w:rPr>
        <w:t>er</w:t>
      </w:r>
      <w:proofErr w:type="spellEnd"/>
      <w:r w:rsidRPr="00B4049F">
        <w:rPr>
          <w:b/>
          <w:color w:val="2F4D75"/>
          <w:u w:val="single"/>
        </w:rPr>
        <w:t xml:space="preserve"> </w:t>
      </w:r>
      <w:proofErr w:type="spellStart"/>
      <w:r w:rsidRPr="00B4049F">
        <w:rPr>
          <w:b/>
          <w:color w:val="2F4D75"/>
          <w:u w:val="single"/>
        </w:rPr>
        <w:t>mwyn</w:t>
      </w:r>
      <w:proofErr w:type="spellEnd"/>
      <w:r w:rsidRPr="00B4049F">
        <w:rPr>
          <w:b/>
          <w:color w:val="2F4D75"/>
          <w:u w:val="single"/>
        </w:rPr>
        <w:t xml:space="preserve"> </w:t>
      </w:r>
      <w:proofErr w:type="spellStart"/>
      <w:r w:rsidRPr="00B4049F">
        <w:rPr>
          <w:b/>
          <w:color w:val="2F4D75"/>
          <w:u w:val="single"/>
        </w:rPr>
        <w:t>cydnabod</w:t>
      </w:r>
      <w:proofErr w:type="spellEnd"/>
      <w:r w:rsidRPr="00B4049F">
        <w:rPr>
          <w:b/>
          <w:color w:val="2F4D75"/>
          <w:u w:val="single"/>
        </w:rPr>
        <w:t xml:space="preserve">, </w:t>
      </w:r>
      <w:proofErr w:type="spellStart"/>
      <w:r w:rsidRPr="00B4049F">
        <w:rPr>
          <w:b/>
          <w:color w:val="2F4D75"/>
          <w:u w:val="single"/>
        </w:rPr>
        <w:t>gwerthfawrogi</w:t>
      </w:r>
      <w:proofErr w:type="spellEnd"/>
      <w:r w:rsidRPr="00B4049F">
        <w:rPr>
          <w:b/>
          <w:color w:val="2F4D75"/>
          <w:u w:val="single"/>
        </w:rPr>
        <w:t xml:space="preserve"> a </w:t>
      </w:r>
      <w:proofErr w:type="spellStart"/>
      <w:r w:rsidRPr="00B4049F">
        <w:rPr>
          <w:b/>
          <w:color w:val="2F4D75"/>
          <w:u w:val="single"/>
        </w:rPr>
        <w:t>defnyddio</w:t>
      </w:r>
      <w:proofErr w:type="spellEnd"/>
      <w:r w:rsidRPr="00B4049F">
        <w:rPr>
          <w:b/>
          <w:color w:val="2F4D75"/>
          <w:u w:val="single"/>
        </w:rPr>
        <w:t xml:space="preserve"> </w:t>
      </w:r>
      <w:proofErr w:type="spellStart"/>
      <w:r w:rsidRPr="00B4049F">
        <w:rPr>
          <w:b/>
          <w:color w:val="2F4D75"/>
          <w:u w:val="single"/>
        </w:rPr>
        <w:t>gwahanol</w:t>
      </w:r>
      <w:proofErr w:type="spellEnd"/>
      <w:r w:rsidRPr="00B4049F">
        <w:rPr>
          <w:b/>
          <w:color w:val="2F4D75"/>
          <w:u w:val="single"/>
        </w:rPr>
        <w:t xml:space="preserve"> </w:t>
      </w:r>
      <w:proofErr w:type="spellStart"/>
      <w:r w:rsidRPr="00B4049F">
        <w:rPr>
          <w:b/>
          <w:color w:val="2F4D75"/>
          <w:u w:val="single"/>
        </w:rPr>
        <w:t>fathau</w:t>
      </w:r>
      <w:proofErr w:type="spellEnd"/>
      <w:r w:rsidRPr="00B4049F">
        <w:rPr>
          <w:b/>
          <w:color w:val="2F4D75"/>
          <w:u w:val="single"/>
        </w:rPr>
        <w:t xml:space="preserve"> o </w:t>
      </w:r>
      <w:proofErr w:type="spellStart"/>
      <w:r w:rsidRPr="00B4049F">
        <w:rPr>
          <w:b/>
          <w:color w:val="2F4D75"/>
          <w:u w:val="single"/>
        </w:rPr>
        <w:t>wybodaeth</w:t>
      </w:r>
      <w:proofErr w:type="spellEnd"/>
      <w:r w:rsidRPr="00B4049F">
        <w:rPr>
          <w:b/>
          <w:color w:val="2F4D75"/>
          <w:u w:val="single"/>
        </w:rPr>
        <w:t xml:space="preserve"> </w:t>
      </w:r>
      <w:proofErr w:type="spellStart"/>
      <w:r w:rsidRPr="00B4049F">
        <w:rPr>
          <w:b/>
          <w:color w:val="2F4D75"/>
          <w:u w:val="single"/>
        </w:rPr>
        <w:t>ar</w:t>
      </w:r>
      <w:proofErr w:type="spellEnd"/>
      <w:r w:rsidRPr="00B4049F">
        <w:rPr>
          <w:b/>
          <w:color w:val="2F4D75"/>
          <w:u w:val="single"/>
        </w:rPr>
        <w:t xml:space="preserve"> y sail </w:t>
      </w:r>
      <w:proofErr w:type="spellStart"/>
      <w:r w:rsidRPr="00B4049F">
        <w:rPr>
          <w:b/>
          <w:color w:val="2F4D75"/>
          <w:u w:val="single"/>
        </w:rPr>
        <w:t>eu</w:t>
      </w:r>
      <w:proofErr w:type="spellEnd"/>
      <w:r w:rsidRPr="00B4049F">
        <w:rPr>
          <w:b/>
          <w:color w:val="2F4D75"/>
          <w:u w:val="single"/>
        </w:rPr>
        <w:t xml:space="preserve"> bod </w:t>
      </w:r>
      <w:proofErr w:type="spellStart"/>
      <w:r w:rsidRPr="00B4049F">
        <w:rPr>
          <w:b/>
          <w:color w:val="2F4D75"/>
          <w:u w:val="single"/>
        </w:rPr>
        <w:t>yn</w:t>
      </w:r>
      <w:proofErr w:type="spellEnd"/>
      <w:r w:rsidRPr="00B4049F">
        <w:rPr>
          <w:b/>
          <w:color w:val="2F4D75"/>
          <w:u w:val="single"/>
        </w:rPr>
        <w:t xml:space="preserve"> </w:t>
      </w:r>
      <w:proofErr w:type="spellStart"/>
      <w:r w:rsidRPr="00B4049F">
        <w:rPr>
          <w:b/>
          <w:color w:val="2F4D75"/>
          <w:u w:val="single"/>
        </w:rPr>
        <w:t>gyfartal</w:t>
      </w:r>
      <w:proofErr w:type="spellEnd"/>
      <w:r w:rsidR="00B4049F">
        <w:rPr>
          <w:b/>
          <w:color w:val="2F4D75"/>
          <w:u w:val="single"/>
        </w:rPr>
        <w:t>.</w:t>
      </w:r>
    </w:p>
    <w:p w14:paraId="3DD6A5F0" w14:textId="11C0AA3B" w:rsidR="00ED3504" w:rsidRPr="00ED3504" w:rsidRDefault="00ED3504" w:rsidP="00ED3504">
      <w:pPr>
        <w:pStyle w:val="Bullets"/>
      </w:pPr>
      <w:r w:rsidRPr="00ED3504">
        <w:rPr>
          <w:lang w:val="cy-GB"/>
        </w:rPr>
        <w:t xml:space="preserve">Mae llawer yn credu nad oes gwerth i wybodaeth sy’n cael ei darparu gan y gymuned. Mae rhai’n credu bod defnyddio gwybodaeth o’r fath yn diystyru gwerth Asesiadau o’r Effaith ar Iechyd. </w:t>
      </w:r>
    </w:p>
    <w:p w14:paraId="456631D6" w14:textId="77777777" w:rsidR="00ED3504" w:rsidRDefault="00ED3504" w:rsidP="00C14E64">
      <w:pPr>
        <w:pStyle w:val="ListParagraph"/>
        <w:spacing w:after="0"/>
        <w:ind w:left="1134"/>
        <w:rPr>
          <w:rFonts w:ascii="Verdana" w:hAnsi="Verdana"/>
          <w:lang w:val="cy-GB"/>
        </w:rPr>
      </w:pPr>
      <w:r w:rsidRPr="00A01A86">
        <w:rPr>
          <w:rFonts w:ascii="Verdana" w:hAnsi="Verdana"/>
          <w:lang w:val="cy-GB"/>
        </w:rPr>
        <w:t>Gall y diffyg gwerth sy’n cael ei briodoli i wybodaeth leyg, o</w:t>
      </w:r>
      <w:r>
        <w:rPr>
          <w:rFonts w:ascii="Verdana" w:hAnsi="Verdana"/>
          <w:lang w:val="cy-GB"/>
        </w:rPr>
        <w:t>’i</w:t>
      </w:r>
      <w:r w:rsidRPr="00A01A86">
        <w:rPr>
          <w:rFonts w:ascii="Verdana" w:hAnsi="Verdana"/>
          <w:lang w:val="cy-GB"/>
        </w:rPr>
        <w:t xml:space="preserve"> </w:t>
      </w:r>
      <w:r>
        <w:rPr>
          <w:rFonts w:ascii="Verdana" w:hAnsi="Verdana"/>
          <w:lang w:val="cy-GB"/>
        </w:rPr>
        <w:t>ch</w:t>
      </w:r>
      <w:r w:rsidRPr="00A01A86">
        <w:rPr>
          <w:rFonts w:ascii="Verdana" w:hAnsi="Verdana"/>
          <w:lang w:val="cy-GB"/>
        </w:rPr>
        <w:t xml:space="preserve">ymharu â thystiolaeth academaidd, fod yn her, yn enwedig pan mae gan gymunedau bryderon go iawn nad ydynt yn cael eu cadarnhau gan dystiolaeth wyddonol. Yn hytrach na diystyru barn </w:t>
      </w:r>
      <w:r w:rsidRPr="00A01A86">
        <w:rPr>
          <w:rFonts w:ascii="Verdana" w:hAnsi="Verdana"/>
          <w:lang w:val="cy-GB"/>
        </w:rPr>
        <w:lastRenderedPageBreak/>
        <w:t>cymunedau, mae</w:t>
      </w:r>
      <w:r>
        <w:rPr>
          <w:rFonts w:ascii="Verdana" w:hAnsi="Verdana"/>
          <w:lang w:val="cy-GB"/>
        </w:rPr>
        <w:t>’r</w:t>
      </w:r>
      <w:r w:rsidRPr="00A01A86">
        <w:rPr>
          <w:rFonts w:ascii="Verdana" w:hAnsi="Verdana"/>
          <w:lang w:val="cy-GB"/>
        </w:rPr>
        <w:t xml:space="preserve"> dull gweithredu</w:t>
      </w:r>
      <w:r>
        <w:rPr>
          <w:rFonts w:ascii="Verdana" w:hAnsi="Verdana"/>
          <w:lang w:val="cy-GB"/>
        </w:rPr>
        <w:t xml:space="preserve"> sy’n seiliedig ar </w:t>
      </w:r>
      <w:r w:rsidRPr="00A01A86">
        <w:rPr>
          <w:rFonts w:ascii="Verdana" w:hAnsi="Verdana"/>
          <w:lang w:val="cy-GB"/>
        </w:rPr>
        <w:t xml:space="preserve">Asesiad o’r Effaith ar Iechyd yn cydnabod effaith anorfod credoau’r gymuned fel canfyddiad perthnasol drwy ei hawl ei hun. Er nad yw llais y gymuned yn ddigon ynddo’i hun i bennu’r canlyniad, mae Asesiad o’r Effaith ar Iechyd yn darparu fframwaith lle mae cyngor proffesiynol a phrofiad y gymuned yn cael eu cydnabod a’u defnyddio wrth wneud penderfyniadau. Beth bynnag yw’r canlyniad, mae tryloywder y broses yn golygu bod pob parti’n gallu deall sut y mae penderfyniadau wedi cael eu gwneud a sut mae eu mewnbwn wedi cyfrannu tuag at hynny. </w:t>
      </w:r>
    </w:p>
    <w:p w14:paraId="2EAB81A9" w14:textId="097EE78E" w:rsidR="00D076C5" w:rsidRPr="00C14E64" w:rsidRDefault="00ED3504" w:rsidP="00C14E64">
      <w:pPr>
        <w:pStyle w:val="Bullets"/>
        <w:spacing w:after="0"/>
      </w:pPr>
      <w:r w:rsidRPr="00ED3504">
        <w:rPr>
          <w:lang w:val="cy-GB"/>
        </w:rPr>
        <w:t xml:space="preserve">Mae’r pŵer a’r dylanwad yn nwylo’r rhai sy’n gwneud y penderfyniadau yn y pen draw - y rhai y mae Asesiad o’r Effaith ar Iechyd yn cael ei gyflwyno iddynt. Nid oes gan y rhai sydd wedi cymryd rhan lawer iawn o reolaeth dros y canlyniadau. Er hyn, drwy ei gwneud yn ofynnol i’r rhai sy’n gwneud penderfyniadau ymateb yn ffurfiol i’r Asesiad o’r Effaith ar Iechyd bydd cyfranogwyr yn teimlo rhywfaint o fodlonrwydd oherwydd eu bod yn teimlo bod rhywun yn gwrando arnyn nhw a’u bod yn rhan o broses, hyd yn oed mewn enghreifftiau lle nad yw barn y gymuned wedi dylanwadu ar y penderfyniad terfynol. </w:t>
      </w:r>
    </w:p>
    <w:p w14:paraId="437AA336" w14:textId="5B0FB627" w:rsidR="00ED3504" w:rsidRPr="00D076C5" w:rsidRDefault="00ED3504" w:rsidP="00C14E64">
      <w:pPr>
        <w:pStyle w:val="Bullets"/>
        <w:spacing w:after="0"/>
      </w:pPr>
      <w:r w:rsidRPr="00D076C5">
        <w:rPr>
          <w:lang w:val="cy-GB"/>
        </w:rPr>
        <w:t>Weithiau mae’n anodd dod o hyd i gysylltiadau sy’n gallu mynd i mewn i gymunedau a datblygu cysylltiadau â rhwydweithiau perthnasol; weithiau mae’n ymddangos nad yw cymunedau eisiau ymgysylltu, neu eu bod yn wynebu rhwystrau sylweddol sy’n eu hatal rhag ymgysylltu. Gall sicrhau bod amrywiaeth o bobl yn rhan o’r gweithgor Asesu’r Effaith ar Iechyd oresgyn rhai o’r problemau.</w:t>
      </w:r>
    </w:p>
    <w:p w14:paraId="52D4392A" w14:textId="2F01555B" w:rsidR="00ED3504" w:rsidRPr="00D076C5" w:rsidRDefault="00ED3504" w:rsidP="00D076C5">
      <w:pPr>
        <w:pStyle w:val="Bullets"/>
      </w:pPr>
      <w:r w:rsidRPr="00D076C5">
        <w:rPr>
          <w:lang w:val="cy-GB"/>
        </w:rPr>
        <w:t xml:space="preserve">Mae angen amser ac adnoddau i wneud Asesiad o’r Effaith ar Iechyd. Weithiau nid yw’r arweinyddiaeth yn cydnabod hyn, ac nid yw’r set benodol o sgiliau sydd ei hangen er mwyn cwblhau asesiad yn bodoli. Mae fframwaith gwybodaeth a sgiliau Asesu’r Effaith ar Iechyd a’r dull gweithredu sy’n seiliedig ar dîm yn cefnogi’r broses o ddatblygu sgiliau allweddol. </w:t>
      </w:r>
    </w:p>
    <w:p w14:paraId="3871D931" w14:textId="366232DD" w:rsidR="00D076C5" w:rsidRPr="00D076C5" w:rsidRDefault="00D076C5" w:rsidP="00D076C5">
      <w:pPr>
        <w:pStyle w:val="PHWbluequote"/>
        <w:rPr>
          <w:b/>
          <w:i w:val="0"/>
          <w:color w:val="2F4D75"/>
          <w:u w:val="single"/>
          <w:lang w:val="cy-GB"/>
        </w:rPr>
      </w:pPr>
      <w:r w:rsidRPr="00D076C5">
        <w:rPr>
          <w:b/>
          <w:i w:val="0"/>
          <w:color w:val="2F4D75"/>
          <w:u w:val="single"/>
          <w:lang w:val="cy-GB"/>
        </w:rPr>
        <w:t>Mae Asesu’r Effaith ar Iechyd yn gwerthfawrogi canlyniadau defnyddio gwybodaeth gan gymunedau</w:t>
      </w:r>
    </w:p>
    <w:p w14:paraId="5F8E2D03" w14:textId="60897724" w:rsidR="00D076C5" w:rsidRPr="00A01A86" w:rsidRDefault="00D076C5" w:rsidP="00D076C5">
      <w:pPr>
        <w:rPr>
          <w:rFonts w:ascii="Verdana" w:hAnsi="Verdana"/>
          <w:lang w:val="cy-GB"/>
        </w:rPr>
      </w:pPr>
      <w:r w:rsidRPr="00D076C5">
        <w:rPr>
          <w:rFonts w:ascii="Verdana" w:hAnsi="Verdana"/>
          <w:i/>
          <w:color w:val="2EB6BE"/>
          <w:lang w:val="cy-GB"/>
        </w:rPr>
        <w:t>“Mae rhai o ganlyniadau mwyaf cadarnhaol yr Asesiad o’r Effaith ar Iechyd yn dod oherwydd bod gwybodaeth leyg yn cael ei defnyddio”</w:t>
      </w:r>
      <w:r w:rsidRPr="00A01A86">
        <w:rPr>
          <w:rFonts w:ascii="Verdana" w:hAnsi="Verdana"/>
          <w:i/>
          <w:lang w:val="cy-GB"/>
        </w:rPr>
        <w:t xml:space="preserve"> </w:t>
      </w:r>
      <w:r w:rsidRPr="00A01A86">
        <w:rPr>
          <w:rFonts w:ascii="Verdana" w:hAnsi="Verdana"/>
          <w:lang w:val="cy-GB"/>
        </w:rPr>
        <w:t>(Un o’r rhai a gyfwelwyd).</w:t>
      </w:r>
    </w:p>
    <w:p w14:paraId="6C61C279" w14:textId="77777777" w:rsidR="00D076C5" w:rsidRPr="00A01A86" w:rsidRDefault="00D076C5" w:rsidP="00D076C5">
      <w:pPr>
        <w:rPr>
          <w:rFonts w:ascii="Verdana" w:hAnsi="Verdana"/>
          <w:lang w:val="cy-GB"/>
        </w:rPr>
      </w:pPr>
      <w:r w:rsidRPr="00A01A86">
        <w:rPr>
          <w:rFonts w:ascii="Verdana" w:hAnsi="Verdana"/>
          <w:lang w:val="cy-GB"/>
        </w:rPr>
        <w:t>Mae manteision i unigolion a chymunedau pan mae’r rhai sy’n cymryd rhan yn cael eu cefnogi i ddeall barn pobl eraill a’r cyd-destun ehangach, yn teimlo eu bod yn cael eu gwerthfawrogi a bod rhywun yn gwrando arnynt, p’un a yw’r llais hwnnw’n dylanwadu ar y penderfyniad terfynol ai peidio. Yn yr achosion hyn, mae ymarferwy</w:t>
      </w:r>
      <w:r>
        <w:rPr>
          <w:rFonts w:ascii="Verdana" w:hAnsi="Verdana"/>
          <w:lang w:val="cy-GB"/>
        </w:rPr>
        <w:t>r</w:t>
      </w:r>
      <w:r w:rsidRPr="00A01A86">
        <w:rPr>
          <w:rFonts w:ascii="Verdana" w:hAnsi="Verdana"/>
          <w:lang w:val="cy-GB"/>
        </w:rPr>
        <w:t xml:space="preserve"> sydd â phrofiad o Asesiadau o’r Effaith ar Iechyd yn dweud bod pobl yn fwy tebygol o deimlo rhywfaint o fodlonrwydd oherwydd eu bod yn rhan o broses.</w:t>
      </w:r>
    </w:p>
    <w:p w14:paraId="7D6E9BDB" w14:textId="77777777" w:rsidR="00D076C5" w:rsidRPr="00A01A86" w:rsidRDefault="00D076C5" w:rsidP="00D076C5">
      <w:pPr>
        <w:rPr>
          <w:rFonts w:ascii="Verdana" w:hAnsi="Verdana"/>
          <w:lang w:val="cy-GB"/>
        </w:rPr>
      </w:pPr>
      <w:r w:rsidRPr="00A01A86">
        <w:rPr>
          <w:rFonts w:ascii="Verdana" w:hAnsi="Verdana"/>
          <w:lang w:val="cy-GB"/>
        </w:rPr>
        <w:t xml:space="preserve">Mae cydnabod, gwerthfawrogi a defnyddio gwybodaeth gan gymunedau </w:t>
      </w:r>
      <w:r>
        <w:rPr>
          <w:rFonts w:ascii="Verdana" w:hAnsi="Verdana"/>
          <w:lang w:val="cy-GB"/>
        </w:rPr>
        <w:t xml:space="preserve">ar y sail ei bod yn </w:t>
      </w:r>
      <w:r w:rsidRPr="00A01A86">
        <w:rPr>
          <w:rFonts w:ascii="Verdana" w:hAnsi="Verdana"/>
          <w:lang w:val="cy-GB"/>
        </w:rPr>
        <w:t>gyfartal â thystiolaeth arall hefyd yn arwain at fanteision i’r system ehangach. Mae’r ffordd hon o weithio’n gwella dealltwriaeth gyffredin ac yn dechrau sgyrsiau newydd am iechyd a lles, gan edrych sut y mae gweithgareddau mewn gwahanol sectorau’n cael effaith. Gall hyn arwain at weithredu polisi’n well a</w:t>
      </w:r>
      <w:r>
        <w:rPr>
          <w:rFonts w:ascii="Verdana" w:hAnsi="Verdana"/>
          <w:lang w:val="cy-GB"/>
        </w:rPr>
        <w:t>c at</w:t>
      </w:r>
      <w:r w:rsidRPr="00A01A86">
        <w:rPr>
          <w:rFonts w:ascii="Verdana" w:hAnsi="Verdana"/>
          <w:lang w:val="cy-GB"/>
        </w:rPr>
        <w:t xml:space="preserve"> </w:t>
      </w:r>
      <w:r>
        <w:rPr>
          <w:rFonts w:ascii="Verdana" w:hAnsi="Verdana"/>
          <w:lang w:val="cy-GB"/>
        </w:rPr>
        <w:t>d</w:t>
      </w:r>
      <w:r w:rsidRPr="00A01A86">
        <w:rPr>
          <w:rFonts w:ascii="Verdana" w:hAnsi="Verdana"/>
          <w:lang w:val="cy-GB"/>
        </w:rPr>
        <w:t>dealltwriaeth fwy cyfannol o’r materion.</w:t>
      </w:r>
    </w:p>
    <w:p w14:paraId="175E2329" w14:textId="77777777" w:rsidR="00D076C5" w:rsidRPr="00A01A86" w:rsidRDefault="00D076C5" w:rsidP="00D076C5">
      <w:pPr>
        <w:rPr>
          <w:rFonts w:ascii="Verdana" w:hAnsi="Verdana"/>
          <w:lang w:val="cy-GB"/>
        </w:rPr>
      </w:pPr>
      <w:r w:rsidRPr="00A01A86">
        <w:rPr>
          <w:rFonts w:ascii="Verdana" w:hAnsi="Verdana"/>
          <w:lang w:val="cy-GB"/>
        </w:rPr>
        <w:lastRenderedPageBreak/>
        <w:t>Mae Asesiadau o’r Effaith ar Iechyd yn creu gwybodaeth sy’n ddefnyddiol ar draws sectorau, a chydnabyddir bod gwahanol fathau o wybodaeth yn aml yn cael eu gwerthfawrogi mewn ffordd wahanol gan wahanol sectorau. Yn y cyd-destun gwleidyddol neu yng nghyd-destun llywodraeth leol, mae gwybodaeth leyg yn tueddu i gael ei hystyried fel gwybodaeth hynod o bwysig</w:t>
      </w:r>
      <w:r>
        <w:rPr>
          <w:rFonts w:ascii="Verdana" w:hAnsi="Verdana"/>
          <w:lang w:val="cy-GB"/>
        </w:rPr>
        <w:t>. O</w:t>
      </w:r>
      <w:r w:rsidRPr="00A01A86">
        <w:rPr>
          <w:rFonts w:ascii="Verdana" w:hAnsi="Verdana"/>
          <w:lang w:val="cy-GB"/>
        </w:rPr>
        <w:t xml:space="preserve"> ganlyniad</w:t>
      </w:r>
      <w:r>
        <w:rPr>
          <w:rFonts w:ascii="Verdana" w:hAnsi="Verdana"/>
          <w:lang w:val="cy-GB"/>
        </w:rPr>
        <w:t>,</w:t>
      </w:r>
      <w:r w:rsidRPr="00A01A86">
        <w:rPr>
          <w:rFonts w:ascii="Verdana" w:hAnsi="Verdana"/>
          <w:lang w:val="cy-GB"/>
        </w:rPr>
        <w:t xml:space="preserve"> gall dulliau gweithredu sy’n seiliedig ar Asesiadau o’r Effaith ar Iechyd fod yn ddefnyddiol er mwyn ymgysylltu â’r prif bobl sy’n gwneud penderfyniadau. </w:t>
      </w:r>
    </w:p>
    <w:p w14:paraId="64D58E08" w14:textId="08913FB8" w:rsidR="008429CE" w:rsidRDefault="00D076C5" w:rsidP="006002FE">
      <w:pPr>
        <w:pStyle w:val="Barheadings"/>
      </w:pPr>
      <w:r>
        <w:t xml:space="preserve">Beth </w:t>
      </w:r>
      <w:proofErr w:type="spellStart"/>
      <w:r>
        <w:t>mae’r</w:t>
      </w:r>
      <w:proofErr w:type="spellEnd"/>
      <w:r>
        <w:t xml:space="preserve"> </w:t>
      </w:r>
      <w:proofErr w:type="spellStart"/>
      <w:r>
        <w:t>achos</w:t>
      </w:r>
      <w:proofErr w:type="spellEnd"/>
      <w:r>
        <w:t xml:space="preserve"> </w:t>
      </w:r>
      <w:proofErr w:type="spellStart"/>
      <w:r>
        <w:t>hwn</w:t>
      </w:r>
      <w:proofErr w:type="spellEnd"/>
      <w:r>
        <w:t xml:space="preserve"> </w:t>
      </w:r>
      <w:proofErr w:type="spellStart"/>
      <w:r>
        <w:t>yn</w:t>
      </w:r>
      <w:proofErr w:type="spellEnd"/>
      <w:r>
        <w:t xml:space="preserve"> </w:t>
      </w:r>
      <w:proofErr w:type="spellStart"/>
      <w:r>
        <w:t>ei</w:t>
      </w:r>
      <w:proofErr w:type="spellEnd"/>
      <w:r>
        <w:t xml:space="preserve"> </w:t>
      </w:r>
      <w:proofErr w:type="spellStart"/>
      <w:r>
        <w:t>ddangos</w:t>
      </w:r>
      <w:proofErr w:type="spellEnd"/>
      <w:r>
        <w:t>?</w:t>
      </w:r>
    </w:p>
    <w:p w14:paraId="49129D9E" w14:textId="77777777" w:rsidR="00D076C5" w:rsidRPr="00A01A86" w:rsidRDefault="00D076C5" w:rsidP="00D076C5">
      <w:pPr>
        <w:rPr>
          <w:rFonts w:ascii="Verdana" w:hAnsi="Verdana"/>
          <w:lang w:val="cy-GB"/>
        </w:rPr>
      </w:pPr>
      <w:r>
        <w:rPr>
          <w:rFonts w:ascii="Verdana" w:hAnsi="Verdana"/>
          <w:lang w:val="cy-GB"/>
        </w:rPr>
        <w:t>Mae’r astudiaeth achos hon wedi disgrifio sut y gall dull gweithredu sy’n seiliedig ar Asesiad o’r Effaith ar Iechyd helpu i gydnabod, gwerthfawrogi a defnyddio gwahanol fathau o wybodaeth mewn ffordd gyfartal</w:t>
      </w:r>
      <w:r w:rsidRPr="00A01A86">
        <w:rPr>
          <w:rFonts w:ascii="Verdana" w:hAnsi="Verdana"/>
          <w:lang w:val="cy-GB"/>
        </w:rPr>
        <w:t xml:space="preserve">, </w:t>
      </w:r>
      <w:r>
        <w:rPr>
          <w:rFonts w:ascii="Verdana" w:hAnsi="Verdana"/>
          <w:lang w:val="cy-GB"/>
        </w:rPr>
        <w:t>fel rhan o ymarfer ymgysylltu â’r gymuned effeithiol sy’n ceisio grymuso pobl</w:t>
      </w:r>
      <w:r w:rsidRPr="00A01A86">
        <w:rPr>
          <w:rFonts w:ascii="Verdana" w:hAnsi="Verdana"/>
          <w:lang w:val="cy-GB"/>
        </w:rPr>
        <w:t>.</w:t>
      </w:r>
    </w:p>
    <w:p w14:paraId="704C97E7" w14:textId="597B9DE3" w:rsidR="00DC2EC6" w:rsidRPr="00D076C5" w:rsidRDefault="00D076C5" w:rsidP="00D076C5">
      <w:pPr>
        <w:rPr>
          <w:rFonts w:ascii="Verdana" w:hAnsi="Verdana"/>
          <w:lang w:val="cy-GB"/>
        </w:rPr>
      </w:pPr>
      <w:r>
        <w:rPr>
          <w:rFonts w:ascii="Verdana" w:hAnsi="Verdana"/>
          <w:lang w:val="cy-GB"/>
        </w:rPr>
        <w:t>Mae creu cyfleoedd priodol i gipio gwybodaeth sy’n seiliedig ar brofiadau bywyd, sy’n dod o’r gymuned, yn hollbwysig</w:t>
      </w:r>
      <w:r w:rsidRPr="00A01A86">
        <w:rPr>
          <w:rFonts w:ascii="Verdana" w:hAnsi="Verdana"/>
          <w:lang w:val="cy-GB"/>
        </w:rPr>
        <w:t xml:space="preserve">. </w:t>
      </w:r>
      <w:r>
        <w:rPr>
          <w:rFonts w:ascii="Verdana" w:hAnsi="Verdana"/>
          <w:lang w:val="cy-GB"/>
        </w:rPr>
        <w:t>Mae’r broses o hwyluso deialog ar sail gyfartal</w:t>
      </w:r>
      <w:r w:rsidRPr="00A01A86">
        <w:rPr>
          <w:rFonts w:ascii="Verdana" w:hAnsi="Verdana"/>
          <w:lang w:val="cy-GB"/>
        </w:rPr>
        <w:t>, a d</w:t>
      </w:r>
      <w:r>
        <w:rPr>
          <w:rFonts w:ascii="Verdana" w:hAnsi="Verdana"/>
          <w:lang w:val="cy-GB"/>
        </w:rPr>
        <w:t>atblygu dealltwriaeth gyffredin o ddefnyddio pob gwybodaeth berthnasol</w:t>
      </w:r>
      <w:r w:rsidRPr="00A01A86">
        <w:rPr>
          <w:rFonts w:ascii="Verdana" w:hAnsi="Verdana"/>
          <w:lang w:val="cy-GB"/>
        </w:rPr>
        <w:t xml:space="preserve">, </w:t>
      </w:r>
      <w:r>
        <w:rPr>
          <w:rFonts w:ascii="Verdana" w:hAnsi="Verdana"/>
          <w:lang w:val="cy-GB"/>
        </w:rPr>
        <w:t>yn agwedd hollbwysig sy’n arwain at wireddu’r canlyniadau buddiol a nodwyd</w:t>
      </w:r>
      <w:r w:rsidRPr="00A01A86">
        <w:rPr>
          <w:rFonts w:ascii="Verdana" w:hAnsi="Verdana"/>
          <w:lang w:val="cy-GB"/>
        </w:rPr>
        <w:t xml:space="preserve">. </w:t>
      </w:r>
    </w:p>
    <w:p w14:paraId="15DA8285" w14:textId="1A740BC3" w:rsidR="00B36078" w:rsidRPr="00712570" w:rsidRDefault="00D076C5" w:rsidP="006002FE">
      <w:pPr>
        <w:pStyle w:val="Barheadings"/>
      </w:pPr>
      <w:proofErr w:type="spellStart"/>
      <w:r>
        <w:t>Cynhyrchu’r</w:t>
      </w:r>
      <w:proofErr w:type="spellEnd"/>
      <w:r>
        <w:t xml:space="preserve"> </w:t>
      </w:r>
      <w:proofErr w:type="spellStart"/>
      <w:r>
        <w:t>astudiaeth</w:t>
      </w:r>
      <w:proofErr w:type="spellEnd"/>
      <w:r>
        <w:t xml:space="preserve"> </w:t>
      </w:r>
      <w:proofErr w:type="spellStart"/>
      <w:r>
        <w:t>achos</w:t>
      </w:r>
      <w:proofErr w:type="spellEnd"/>
      <w:r>
        <w:t xml:space="preserve"> hon</w:t>
      </w:r>
    </w:p>
    <w:p w14:paraId="49FB0D3F" w14:textId="77777777" w:rsidR="00D076C5" w:rsidRPr="00A01A86" w:rsidRDefault="00D076C5" w:rsidP="00D076C5">
      <w:pPr>
        <w:rPr>
          <w:rFonts w:ascii="Verdana" w:hAnsi="Verdana"/>
          <w:lang w:val="cy-GB"/>
        </w:rPr>
      </w:pPr>
      <w:r>
        <w:rPr>
          <w:rFonts w:ascii="Verdana" w:hAnsi="Verdana"/>
          <w:lang w:val="cy-GB"/>
        </w:rPr>
        <w:t>Dewiswyd yr achos drwy sgwrs ag Uned Gymorth Asesu Effaith ar Iechyd Cymru</w:t>
      </w:r>
      <w:r w:rsidRPr="00A01A86">
        <w:rPr>
          <w:rFonts w:ascii="Verdana" w:hAnsi="Verdana"/>
          <w:lang w:val="cy-GB"/>
        </w:rPr>
        <w:t xml:space="preserve"> (WHIASU), </w:t>
      </w:r>
      <w:r>
        <w:rPr>
          <w:rFonts w:ascii="Verdana" w:hAnsi="Verdana"/>
          <w:lang w:val="cy-GB"/>
        </w:rPr>
        <w:t>a oedd yn cadarnhau Asesu’r Effaith ar Iechyd fel enghraifft o ymarfer a fyddai’n addas ar gyfer disgrifio’r defnydd o wybodaeth leyg ochr yn ochr â ffynonellau tystiolaeth eraill wrth wneud penderfyniadau</w:t>
      </w:r>
      <w:r w:rsidRPr="00A01A86">
        <w:rPr>
          <w:rFonts w:ascii="Verdana" w:hAnsi="Verdana"/>
          <w:lang w:val="cy-GB"/>
        </w:rPr>
        <w:t xml:space="preserve">. </w:t>
      </w:r>
    </w:p>
    <w:p w14:paraId="3F381735" w14:textId="77777777" w:rsidR="00D076C5" w:rsidRPr="00A01A86" w:rsidRDefault="00D076C5" w:rsidP="00D076C5">
      <w:pPr>
        <w:rPr>
          <w:rFonts w:ascii="Verdana" w:hAnsi="Verdana"/>
          <w:lang w:val="cy-GB"/>
        </w:rPr>
      </w:pPr>
      <w:r>
        <w:rPr>
          <w:rFonts w:ascii="Verdana" w:hAnsi="Verdana"/>
          <w:lang w:val="cy-GB"/>
        </w:rPr>
        <w:t>Casglwyd gwybodaeth drwy adolygu dogfennau allweddol</w:t>
      </w:r>
      <w:r w:rsidRPr="00A01A86">
        <w:rPr>
          <w:rFonts w:ascii="Verdana" w:hAnsi="Verdana"/>
          <w:lang w:val="cy-GB"/>
        </w:rPr>
        <w:t xml:space="preserve">, </w:t>
      </w:r>
      <w:r>
        <w:rPr>
          <w:rFonts w:ascii="Verdana" w:hAnsi="Verdana"/>
          <w:lang w:val="cy-GB"/>
        </w:rPr>
        <w:t>gan gynnwys enghreifftiau o Asesiadau o’r Effaith ar Iechyd, a chyfweliadau lled-strwythuredig gydag ymarferwyr a oedd â phrofiad o Asesiadau o’r Effaith ar Iechyd. Gwirfoddolodd yr ymarferwyr hyn yn dilyn gwahoddiad drwy ebost</w:t>
      </w:r>
      <w:r w:rsidRPr="00A01A86">
        <w:rPr>
          <w:rFonts w:ascii="Verdana" w:hAnsi="Verdana"/>
          <w:lang w:val="cy-GB"/>
        </w:rPr>
        <w:t xml:space="preserve">. </w:t>
      </w:r>
    </w:p>
    <w:p w14:paraId="65DF269E" w14:textId="77777777" w:rsidR="00D076C5" w:rsidRPr="00A01A86" w:rsidRDefault="00D076C5" w:rsidP="00D076C5">
      <w:pPr>
        <w:rPr>
          <w:rFonts w:ascii="Verdana" w:hAnsi="Verdana"/>
          <w:lang w:val="cy-GB"/>
        </w:rPr>
      </w:pPr>
      <w:r>
        <w:rPr>
          <w:rFonts w:ascii="Verdana" w:hAnsi="Verdana"/>
          <w:lang w:val="cy-GB"/>
        </w:rPr>
        <w:t>Crëwyd cronfa ddata i drefnu a dogfennu’r wybodaeth a gasglwyd</w:t>
      </w:r>
      <w:r w:rsidRPr="00A01A86">
        <w:rPr>
          <w:rFonts w:ascii="Verdana" w:hAnsi="Verdana"/>
          <w:lang w:val="cy-GB"/>
        </w:rPr>
        <w:t xml:space="preserve">. </w:t>
      </w:r>
      <w:r>
        <w:rPr>
          <w:rFonts w:ascii="Verdana" w:hAnsi="Verdana"/>
          <w:lang w:val="cy-GB"/>
        </w:rPr>
        <w:t>Drwy gyfuniad o ddadansoddi thematig a dulliau cyfateb patrymau</w:t>
      </w:r>
      <w:r w:rsidRPr="00A01A86">
        <w:rPr>
          <w:rFonts w:ascii="Verdana" w:hAnsi="Verdana"/>
          <w:lang w:val="cy-GB"/>
        </w:rPr>
        <w:t xml:space="preserve">, </w:t>
      </w:r>
      <w:r>
        <w:rPr>
          <w:rFonts w:ascii="Verdana" w:hAnsi="Verdana"/>
          <w:lang w:val="cy-GB"/>
        </w:rPr>
        <w:t>nodwyd themâu a fyddai’n sail i’n dehongliad o’r wybodaeth</w:t>
      </w:r>
      <w:r w:rsidRPr="00A01A86">
        <w:rPr>
          <w:rFonts w:ascii="Verdana" w:hAnsi="Verdana"/>
          <w:lang w:val="cy-GB"/>
        </w:rPr>
        <w:t>, a</w:t>
      </w:r>
      <w:r>
        <w:rPr>
          <w:rFonts w:ascii="Verdana" w:hAnsi="Verdana"/>
          <w:lang w:val="cy-GB"/>
        </w:rPr>
        <w:t>c a oedd yn cysylltu’r hyn a ganfuwyd gennym â’r hyn roeddem wedi disgwyl ei ganfod. Adolygwyd yr astudiaeth achos hon gan y rhai a gyfwelwyd</w:t>
      </w:r>
      <w:r w:rsidRPr="00A01A86">
        <w:rPr>
          <w:rFonts w:ascii="Verdana" w:hAnsi="Verdana"/>
          <w:lang w:val="cy-GB"/>
        </w:rPr>
        <w:t xml:space="preserve">. </w:t>
      </w:r>
    </w:p>
    <w:p w14:paraId="44DCAC79" w14:textId="77777777" w:rsidR="00C14E64" w:rsidRDefault="00C14E64" w:rsidP="00D076C5">
      <w:pPr>
        <w:pStyle w:val="Boldsubheadblue"/>
        <w:rPr>
          <w:lang w:val="cy-GB"/>
        </w:rPr>
      </w:pPr>
    </w:p>
    <w:p w14:paraId="210D4A21" w14:textId="77777777" w:rsidR="002B1491" w:rsidRDefault="002B1491" w:rsidP="00D076C5">
      <w:pPr>
        <w:pStyle w:val="Boldsubheadblue"/>
        <w:rPr>
          <w:lang w:val="cy-GB"/>
        </w:rPr>
      </w:pPr>
    </w:p>
    <w:p w14:paraId="7A938EAA" w14:textId="77777777" w:rsidR="002B1491" w:rsidRDefault="002B1491" w:rsidP="00D076C5">
      <w:pPr>
        <w:pStyle w:val="Boldsubheadblue"/>
        <w:rPr>
          <w:lang w:val="cy-GB"/>
        </w:rPr>
      </w:pPr>
      <w:bookmarkStart w:id="0" w:name="_GoBack"/>
      <w:bookmarkEnd w:id="0"/>
    </w:p>
    <w:p w14:paraId="3CD9577C" w14:textId="0D2FB731" w:rsidR="00D076C5" w:rsidRPr="00C14E64" w:rsidRDefault="00D076C5" w:rsidP="00D076C5">
      <w:pPr>
        <w:pStyle w:val="Boldsubheadblue"/>
        <w:rPr>
          <w:b w:val="0"/>
          <w:lang w:val="cy-GB"/>
        </w:rPr>
      </w:pPr>
      <w:r w:rsidRPr="00C14E64">
        <w:rPr>
          <w:lang w:val="cy-GB"/>
        </w:rPr>
        <w:t xml:space="preserve">Cyfeiriadau: </w:t>
      </w:r>
    </w:p>
    <w:p w14:paraId="78FE12F3" w14:textId="77777777" w:rsidR="00D076C5" w:rsidRPr="00C14E64" w:rsidRDefault="00190A99" w:rsidP="00C14E64">
      <w:pPr>
        <w:rPr>
          <w:rFonts w:ascii="Verdana" w:hAnsi="Verdana"/>
          <w:sz w:val="20"/>
          <w:szCs w:val="20"/>
          <w:lang w:val="cy-GB"/>
        </w:rPr>
      </w:pPr>
      <w:hyperlink r:id="rId7" w:history="1">
        <w:r w:rsidR="00D076C5" w:rsidRPr="00C14E64">
          <w:rPr>
            <w:rStyle w:val="Hyperlink"/>
            <w:rFonts w:ascii="Verdana" w:hAnsi="Verdana"/>
            <w:sz w:val="20"/>
            <w:szCs w:val="20"/>
            <w:lang w:val="cy-GB"/>
          </w:rPr>
          <w:t>https://whiasu.publichealthnetwork.cymru/cy/</w:t>
        </w:r>
      </w:hyperlink>
      <w:r w:rsidR="00D076C5" w:rsidRPr="00C14E64">
        <w:rPr>
          <w:rFonts w:ascii="Verdana" w:hAnsi="Verdana"/>
          <w:sz w:val="20"/>
          <w:szCs w:val="20"/>
          <w:lang w:val="cy-GB"/>
        </w:rPr>
        <w:t xml:space="preserve">  </w:t>
      </w:r>
    </w:p>
    <w:p w14:paraId="71DB243E" w14:textId="15E1A97C" w:rsidR="00D076C5" w:rsidRPr="00D076C5" w:rsidRDefault="00D076C5" w:rsidP="002B1491">
      <w:pPr>
        <w:spacing w:after="0"/>
      </w:pPr>
      <w:r w:rsidRPr="00C14E64">
        <w:rPr>
          <w:rFonts w:ascii="Verdana" w:hAnsi="Verdana" w:cs="Arial"/>
          <w:color w:val="0A0A0A"/>
          <w:sz w:val="20"/>
          <w:szCs w:val="20"/>
          <w:lang w:val="cy-GB"/>
        </w:rPr>
        <w:t>Elliott, E., Harrop, E. a Williams, G.H. (2010) Contesting the science: public health knowledge and action in controversial land-use developments, yn Bennett, P., Calman, K., Curtis, S. a Fischbacher-Smith, D. (gol) Risk Communication and Public Health (ail argraffiad), Rhydychen: Oxford University Press.</w:t>
      </w:r>
    </w:p>
    <w:sectPr w:rsidR="00D076C5" w:rsidRPr="00D076C5" w:rsidSect="001C6108">
      <w:headerReference w:type="even" r:id="rId8"/>
      <w:headerReference w:type="default" r:id="rId9"/>
      <w:footerReference w:type="even" r:id="rId10"/>
      <w:footerReference w:type="default" r:id="rId11"/>
      <w:headerReference w:type="first" r:id="rId12"/>
      <w:footerReference w:type="first" r:id="rId13"/>
      <w:pgSz w:w="11906" w:h="16838"/>
      <w:pgMar w:top="2835" w:right="567" w:bottom="816"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D8EAE" w14:textId="77777777" w:rsidR="00F7232C" w:rsidRDefault="00F7232C" w:rsidP="00584E90">
      <w:pPr>
        <w:spacing w:after="0" w:line="240" w:lineRule="auto"/>
      </w:pPr>
      <w:r>
        <w:separator/>
      </w:r>
    </w:p>
  </w:endnote>
  <w:endnote w:type="continuationSeparator" w:id="0">
    <w:p w14:paraId="1E230CA7" w14:textId="77777777" w:rsidR="00F7232C" w:rsidRDefault="00F7232C" w:rsidP="0058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D701" w14:textId="77777777" w:rsidR="007773F8" w:rsidRDefault="00777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72E77" w14:textId="77777777" w:rsidR="007773F8" w:rsidRDefault="00777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E13D" w14:textId="77777777" w:rsidR="007773F8" w:rsidRDefault="0077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8C80" w14:textId="77777777" w:rsidR="00F7232C" w:rsidRDefault="00F7232C" w:rsidP="00584E90">
      <w:pPr>
        <w:spacing w:after="0" w:line="240" w:lineRule="auto"/>
      </w:pPr>
      <w:r>
        <w:separator/>
      </w:r>
    </w:p>
  </w:footnote>
  <w:footnote w:type="continuationSeparator" w:id="0">
    <w:p w14:paraId="2323679C" w14:textId="77777777" w:rsidR="00F7232C" w:rsidRDefault="00F7232C" w:rsidP="0058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D22E" w14:textId="46297FA2" w:rsidR="00584E90" w:rsidRDefault="00584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7C66" w14:textId="77777777" w:rsidR="007773F8" w:rsidRPr="007773F8" w:rsidRDefault="00F95B7E" w:rsidP="007773F8">
    <w:pPr>
      <w:spacing w:after="0"/>
      <w:ind w:left="2160"/>
      <w:rPr>
        <w:rFonts w:ascii="Verdana" w:hAnsi="Verdana"/>
        <w:b/>
        <w:color w:val="FFFFFF" w:themeColor="background1"/>
        <w:sz w:val="24"/>
        <w:szCs w:val="24"/>
      </w:rPr>
    </w:pPr>
    <w:r>
      <w:rPr>
        <w:rFonts w:ascii="Verdana" w:hAnsi="Verdana"/>
        <w:b/>
        <w:bCs/>
        <w:noProof/>
        <w:color w:val="FFFFFF" w:themeColor="background1"/>
        <w:sz w:val="28"/>
        <w:szCs w:val="28"/>
        <w:lang w:eastAsia="en-GB"/>
      </w:rPr>
      <w:drawing>
        <wp:anchor distT="0" distB="0" distL="114300" distR="114300" simplePos="0" relativeHeight="251664384" behindDoc="1" locked="0" layoutInCell="1" allowOverlap="1" wp14:anchorId="134F43E4" wp14:editId="4EC2909A">
          <wp:simplePos x="0" y="0"/>
          <wp:positionH relativeFrom="column">
            <wp:posOffset>-376823</wp:posOffset>
          </wp:positionH>
          <wp:positionV relativeFrom="paragraph">
            <wp:posOffset>-351656</wp:posOffset>
          </wp:positionV>
          <wp:extent cx="7610159" cy="1803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panels3.jpg"/>
                  <pic:cNvPicPr/>
                </pic:nvPicPr>
                <pic:blipFill>
                  <a:blip r:embed="rId1">
                    <a:extLst>
                      <a:ext uri="{28A0092B-C50C-407E-A947-70E740481C1C}">
                        <a14:useLocalDpi xmlns:a14="http://schemas.microsoft.com/office/drawing/2010/main" val="0"/>
                      </a:ext>
                    </a:extLst>
                  </a:blip>
                  <a:stretch>
                    <a:fillRect/>
                  </a:stretch>
                </pic:blipFill>
                <pic:spPr>
                  <a:xfrm>
                    <a:off x="0" y="0"/>
                    <a:ext cx="7610159" cy="1803415"/>
                  </a:xfrm>
                  <a:prstGeom prst="rect">
                    <a:avLst/>
                  </a:prstGeom>
                </pic:spPr>
              </pic:pic>
            </a:graphicData>
          </a:graphic>
          <wp14:sizeRelH relativeFrom="page">
            <wp14:pctWidth>0</wp14:pctWidth>
          </wp14:sizeRelH>
          <wp14:sizeRelV relativeFrom="page">
            <wp14:pctHeight>0</wp14:pctHeight>
          </wp14:sizeRelV>
        </wp:anchor>
      </w:drawing>
    </w:r>
    <w:r w:rsidR="007773F8">
      <w:rPr>
        <w:rFonts w:ascii="Verdana" w:hAnsi="Verdana"/>
        <w:b/>
        <w:bCs/>
        <w:noProof/>
        <w:color w:val="FFFFFF" w:themeColor="background1"/>
        <w:sz w:val="28"/>
        <w:szCs w:val="28"/>
      </w:rPr>
      <w:t>Egwyddor</w:t>
    </w:r>
    <w:r w:rsidR="0026784E" w:rsidRPr="0026784E">
      <w:rPr>
        <w:rFonts w:ascii="Verdana" w:hAnsi="Verdana"/>
        <w:b/>
        <w:bCs/>
        <w:color w:val="FFFFFF" w:themeColor="background1"/>
        <w:sz w:val="28"/>
        <w:szCs w:val="28"/>
      </w:rPr>
      <w:t xml:space="preserve"> </w:t>
    </w:r>
    <w:r w:rsidR="006F74ED">
      <w:rPr>
        <w:rFonts w:ascii="Verdana" w:hAnsi="Verdana"/>
        <w:b/>
        <w:bCs/>
        <w:color w:val="FFFFFF" w:themeColor="background1"/>
        <w:sz w:val="28"/>
        <w:szCs w:val="28"/>
      </w:rPr>
      <w:t>6</w:t>
    </w:r>
    <w:r w:rsidR="0026784E" w:rsidRPr="0026784E">
      <w:rPr>
        <w:rFonts w:ascii="Verdana" w:hAnsi="Verdana"/>
        <w:b/>
        <w:bCs/>
        <w:color w:val="FFFFFF" w:themeColor="background1"/>
        <w:sz w:val="28"/>
        <w:szCs w:val="28"/>
      </w:rPr>
      <w:t xml:space="preserve">:  </w:t>
    </w:r>
    <w:r w:rsidR="0026784E" w:rsidRPr="0026784E">
      <w:rPr>
        <w:rFonts w:ascii="Verdana" w:hAnsi="Verdana"/>
        <w:b/>
        <w:bCs/>
        <w:color w:val="FFFFFF" w:themeColor="background1"/>
        <w:sz w:val="28"/>
        <w:szCs w:val="28"/>
      </w:rPr>
      <w:br/>
    </w:r>
    <w:proofErr w:type="spellStart"/>
    <w:r w:rsidR="007773F8" w:rsidRPr="007773F8">
      <w:rPr>
        <w:rFonts w:ascii="Verdana" w:hAnsi="Verdana"/>
        <w:b/>
        <w:color w:val="FFFFFF" w:themeColor="background1"/>
        <w:sz w:val="24"/>
        <w:szCs w:val="24"/>
      </w:rPr>
      <w:t>Dylid</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cydnabod</w:t>
    </w:r>
    <w:proofErr w:type="spellEnd"/>
    <w:r w:rsidR="007773F8" w:rsidRPr="007773F8">
      <w:rPr>
        <w:rFonts w:ascii="Verdana" w:hAnsi="Verdana"/>
        <w:b/>
        <w:color w:val="FFFFFF" w:themeColor="background1"/>
        <w:sz w:val="24"/>
        <w:szCs w:val="24"/>
      </w:rPr>
      <w:t xml:space="preserve"> a </w:t>
    </w:r>
    <w:proofErr w:type="spellStart"/>
    <w:r w:rsidR="007773F8" w:rsidRPr="007773F8">
      <w:rPr>
        <w:rFonts w:ascii="Verdana" w:hAnsi="Verdana"/>
        <w:b/>
        <w:color w:val="FFFFFF" w:themeColor="background1"/>
        <w:sz w:val="24"/>
        <w:szCs w:val="24"/>
      </w:rPr>
      <w:t>gwerthfawrogi</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pob</w:t>
    </w:r>
    <w:proofErr w:type="spellEnd"/>
    <w:r w:rsidR="007773F8" w:rsidRPr="007773F8">
      <w:rPr>
        <w:rFonts w:ascii="Verdana" w:hAnsi="Verdana"/>
        <w:b/>
        <w:color w:val="FFFFFF" w:themeColor="background1"/>
        <w:sz w:val="24"/>
        <w:szCs w:val="24"/>
      </w:rPr>
      <w:t xml:space="preserve"> math o </w:t>
    </w:r>
    <w:proofErr w:type="spellStart"/>
    <w:r w:rsidR="007773F8" w:rsidRPr="007773F8">
      <w:rPr>
        <w:rFonts w:ascii="Verdana" w:hAnsi="Verdana"/>
        <w:b/>
        <w:color w:val="FFFFFF" w:themeColor="background1"/>
        <w:sz w:val="24"/>
        <w:szCs w:val="24"/>
      </w:rPr>
      <w:t>wybodaeth</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mewn</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modd</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gyfartal</w:t>
    </w:r>
    <w:proofErr w:type="spellEnd"/>
    <w:r w:rsidR="007773F8" w:rsidRPr="007773F8">
      <w:rPr>
        <w:rFonts w:ascii="Verdana" w:hAnsi="Verdana"/>
        <w:b/>
        <w:color w:val="FFFFFF" w:themeColor="background1"/>
        <w:sz w:val="24"/>
        <w:szCs w:val="24"/>
      </w:rPr>
      <w:t xml:space="preserve"> a </w:t>
    </w:r>
    <w:proofErr w:type="spellStart"/>
    <w:r w:rsidR="007773F8" w:rsidRPr="007773F8">
      <w:rPr>
        <w:rFonts w:ascii="Verdana" w:hAnsi="Verdana"/>
        <w:b/>
        <w:color w:val="FFFFFF" w:themeColor="background1"/>
        <w:sz w:val="24"/>
        <w:szCs w:val="24"/>
      </w:rPr>
      <w:t>dysgu</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gyda’n</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gilydd</w:t>
    </w:r>
    <w:proofErr w:type="spellEnd"/>
    <w:r w:rsidR="007773F8" w:rsidRPr="007773F8">
      <w:rPr>
        <w:rFonts w:ascii="Verdana" w:hAnsi="Verdana"/>
        <w:b/>
        <w:color w:val="FFFFFF" w:themeColor="background1"/>
        <w:sz w:val="24"/>
        <w:szCs w:val="24"/>
      </w:rPr>
      <w:t xml:space="preserve"> ac </w:t>
    </w:r>
    <w:proofErr w:type="spellStart"/>
    <w:r w:rsidR="007773F8" w:rsidRPr="007773F8">
      <w:rPr>
        <w:rFonts w:ascii="Verdana" w:hAnsi="Verdana"/>
        <w:b/>
        <w:color w:val="FFFFFF" w:themeColor="background1"/>
        <w:sz w:val="24"/>
        <w:szCs w:val="24"/>
      </w:rPr>
      <w:t>oddi</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wrth</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ein</w:t>
    </w:r>
    <w:proofErr w:type="spellEnd"/>
    <w:r w:rsidR="007773F8" w:rsidRPr="007773F8">
      <w:rPr>
        <w:rFonts w:ascii="Verdana" w:hAnsi="Verdana"/>
        <w:b/>
        <w:color w:val="FFFFFF" w:themeColor="background1"/>
        <w:sz w:val="24"/>
        <w:szCs w:val="24"/>
      </w:rPr>
      <w:t xml:space="preserve"> </w:t>
    </w:r>
    <w:proofErr w:type="spellStart"/>
    <w:r w:rsidR="007773F8" w:rsidRPr="007773F8">
      <w:rPr>
        <w:rFonts w:ascii="Verdana" w:hAnsi="Verdana"/>
        <w:b/>
        <w:color w:val="FFFFFF" w:themeColor="background1"/>
        <w:sz w:val="24"/>
        <w:szCs w:val="24"/>
      </w:rPr>
      <w:t>gilydd</w:t>
    </w:r>
    <w:proofErr w:type="spellEnd"/>
    <w:r w:rsidR="007773F8" w:rsidRPr="007773F8">
      <w:rPr>
        <w:rFonts w:ascii="Verdana" w:hAnsi="Verdana"/>
        <w:b/>
        <w:color w:val="FFFFFF" w:themeColor="background1"/>
        <w:sz w:val="24"/>
        <w:szCs w:val="24"/>
      </w:rPr>
      <w:t>.</w:t>
    </w:r>
  </w:p>
  <w:p w14:paraId="49C5EA01" w14:textId="15639BBE" w:rsidR="006F74ED" w:rsidRPr="001D4493" w:rsidRDefault="006F74ED" w:rsidP="006F74ED">
    <w:pPr>
      <w:spacing w:after="0"/>
      <w:ind w:left="2160"/>
      <w:rPr>
        <w:rFonts w:ascii="Verdana" w:hAnsi="Verdana"/>
        <w:b/>
        <w:color w:val="FFFFFF" w:themeColor="background1"/>
        <w:sz w:val="24"/>
        <w:szCs w:val="24"/>
      </w:rPr>
    </w:pPr>
  </w:p>
  <w:p w14:paraId="77C95E59" w14:textId="00F4C8BF" w:rsidR="001800D1" w:rsidRPr="009F740E" w:rsidRDefault="00BA791E" w:rsidP="006F74ED">
    <w:pPr>
      <w:spacing w:after="0"/>
      <w:rPr>
        <w:rFonts w:ascii="Verdana" w:hAnsi="Verdana"/>
        <w:b/>
        <w:color w:val="FFFFFF" w:themeColor="background1"/>
        <w:sz w:val="28"/>
        <w:szCs w:val="28"/>
      </w:rPr>
    </w:pPr>
    <w:r w:rsidRPr="00BA791E">
      <w:rPr>
        <w:rFonts w:ascii="Verdana" w:hAnsi="Verdana"/>
        <w:b/>
        <w:color w:val="FFFFFF" w:themeColor="background1"/>
        <w:sz w:val="28"/>
        <w:szCs w:val="28"/>
      </w:rPr>
      <w:t xml:space="preserve"> </w:t>
    </w:r>
  </w:p>
  <w:p w14:paraId="1B0E628B" w14:textId="41124FFB" w:rsidR="00584E90" w:rsidRDefault="00584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FE05" w14:textId="05AFD921" w:rsidR="00584E90" w:rsidRDefault="00584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C76"/>
    <w:multiLevelType w:val="hybridMultilevel"/>
    <w:tmpl w:val="734A5B46"/>
    <w:lvl w:ilvl="0" w:tplc="74B0ED90">
      <w:start w:val="1"/>
      <w:numFmt w:val="bullet"/>
      <w:lvlText w:val=""/>
      <w:lvlJc w:val="left"/>
      <w:pPr>
        <w:ind w:left="1080" w:hanging="360"/>
      </w:pPr>
      <w:rPr>
        <w:rFonts w:ascii="Symbol" w:hAnsi="Symbol" w:hint="default"/>
        <w:color w:val="31B6BE"/>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F2276E"/>
    <w:multiLevelType w:val="hybridMultilevel"/>
    <w:tmpl w:val="C3BE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65DFF"/>
    <w:multiLevelType w:val="hybridMultilevel"/>
    <w:tmpl w:val="8B6A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30434"/>
    <w:multiLevelType w:val="hybridMultilevel"/>
    <w:tmpl w:val="F93E54F2"/>
    <w:lvl w:ilvl="0" w:tplc="2AAC80F0">
      <w:start w:val="1"/>
      <w:numFmt w:val="bullet"/>
      <w:lvlText w:val="•"/>
      <w:lvlJc w:val="left"/>
      <w:pPr>
        <w:tabs>
          <w:tab w:val="num" w:pos="720"/>
        </w:tabs>
        <w:ind w:left="720" w:hanging="360"/>
      </w:pPr>
      <w:rPr>
        <w:rFonts w:ascii="Arial" w:hAnsi="Arial" w:hint="default"/>
      </w:rPr>
    </w:lvl>
    <w:lvl w:ilvl="1" w:tplc="13646AF6" w:tentative="1">
      <w:start w:val="1"/>
      <w:numFmt w:val="bullet"/>
      <w:lvlText w:val="•"/>
      <w:lvlJc w:val="left"/>
      <w:pPr>
        <w:tabs>
          <w:tab w:val="num" w:pos="1440"/>
        </w:tabs>
        <w:ind w:left="1440" w:hanging="360"/>
      </w:pPr>
      <w:rPr>
        <w:rFonts w:ascii="Arial" w:hAnsi="Arial" w:hint="default"/>
      </w:rPr>
    </w:lvl>
    <w:lvl w:ilvl="2" w:tplc="BB821E86" w:tentative="1">
      <w:start w:val="1"/>
      <w:numFmt w:val="bullet"/>
      <w:lvlText w:val="•"/>
      <w:lvlJc w:val="left"/>
      <w:pPr>
        <w:tabs>
          <w:tab w:val="num" w:pos="2160"/>
        </w:tabs>
        <w:ind w:left="2160" w:hanging="360"/>
      </w:pPr>
      <w:rPr>
        <w:rFonts w:ascii="Arial" w:hAnsi="Arial" w:hint="default"/>
      </w:rPr>
    </w:lvl>
    <w:lvl w:ilvl="3" w:tplc="4FAE4C20" w:tentative="1">
      <w:start w:val="1"/>
      <w:numFmt w:val="bullet"/>
      <w:lvlText w:val="•"/>
      <w:lvlJc w:val="left"/>
      <w:pPr>
        <w:tabs>
          <w:tab w:val="num" w:pos="2880"/>
        </w:tabs>
        <w:ind w:left="2880" w:hanging="360"/>
      </w:pPr>
      <w:rPr>
        <w:rFonts w:ascii="Arial" w:hAnsi="Arial" w:hint="default"/>
      </w:rPr>
    </w:lvl>
    <w:lvl w:ilvl="4" w:tplc="D7B603CA" w:tentative="1">
      <w:start w:val="1"/>
      <w:numFmt w:val="bullet"/>
      <w:lvlText w:val="•"/>
      <w:lvlJc w:val="left"/>
      <w:pPr>
        <w:tabs>
          <w:tab w:val="num" w:pos="3600"/>
        </w:tabs>
        <w:ind w:left="3600" w:hanging="360"/>
      </w:pPr>
      <w:rPr>
        <w:rFonts w:ascii="Arial" w:hAnsi="Arial" w:hint="default"/>
      </w:rPr>
    </w:lvl>
    <w:lvl w:ilvl="5" w:tplc="D2664740" w:tentative="1">
      <w:start w:val="1"/>
      <w:numFmt w:val="bullet"/>
      <w:lvlText w:val="•"/>
      <w:lvlJc w:val="left"/>
      <w:pPr>
        <w:tabs>
          <w:tab w:val="num" w:pos="4320"/>
        </w:tabs>
        <w:ind w:left="4320" w:hanging="360"/>
      </w:pPr>
      <w:rPr>
        <w:rFonts w:ascii="Arial" w:hAnsi="Arial" w:hint="default"/>
      </w:rPr>
    </w:lvl>
    <w:lvl w:ilvl="6" w:tplc="DE0C2A86" w:tentative="1">
      <w:start w:val="1"/>
      <w:numFmt w:val="bullet"/>
      <w:lvlText w:val="•"/>
      <w:lvlJc w:val="left"/>
      <w:pPr>
        <w:tabs>
          <w:tab w:val="num" w:pos="5040"/>
        </w:tabs>
        <w:ind w:left="5040" w:hanging="360"/>
      </w:pPr>
      <w:rPr>
        <w:rFonts w:ascii="Arial" w:hAnsi="Arial" w:hint="default"/>
      </w:rPr>
    </w:lvl>
    <w:lvl w:ilvl="7" w:tplc="D640055C" w:tentative="1">
      <w:start w:val="1"/>
      <w:numFmt w:val="bullet"/>
      <w:lvlText w:val="•"/>
      <w:lvlJc w:val="left"/>
      <w:pPr>
        <w:tabs>
          <w:tab w:val="num" w:pos="5760"/>
        </w:tabs>
        <w:ind w:left="5760" w:hanging="360"/>
      </w:pPr>
      <w:rPr>
        <w:rFonts w:ascii="Arial" w:hAnsi="Arial" w:hint="default"/>
      </w:rPr>
    </w:lvl>
    <w:lvl w:ilvl="8" w:tplc="D8D2A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7A25292"/>
    <w:multiLevelType w:val="hybridMultilevel"/>
    <w:tmpl w:val="E1204522"/>
    <w:lvl w:ilvl="0" w:tplc="B27A696C">
      <w:start w:val="1"/>
      <w:numFmt w:val="bullet"/>
      <w:pStyle w:val="Bullets"/>
      <w:lvlText w:val=""/>
      <w:lvlJc w:val="left"/>
      <w:pPr>
        <w:ind w:left="1069" w:hanging="360"/>
      </w:pPr>
      <w:rPr>
        <w:rFonts w:ascii="Symbol" w:hAnsi="Symbol" w:hint="default"/>
        <w:color w:val="31B6BE"/>
        <w:sz w:val="28"/>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 w15:restartNumberingAfterBreak="0">
    <w:nsid w:val="7A9738DF"/>
    <w:multiLevelType w:val="hybridMultilevel"/>
    <w:tmpl w:val="F91E94E2"/>
    <w:lvl w:ilvl="0" w:tplc="1A68837A">
      <w:start w:val="1"/>
      <w:numFmt w:val="bullet"/>
      <w:lvlText w:val="•"/>
      <w:lvlJc w:val="left"/>
      <w:pPr>
        <w:tabs>
          <w:tab w:val="num" w:pos="720"/>
        </w:tabs>
        <w:ind w:left="720" w:hanging="360"/>
      </w:pPr>
      <w:rPr>
        <w:rFonts w:ascii="Arial" w:hAnsi="Arial" w:hint="default"/>
      </w:rPr>
    </w:lvl>
    <w:lvl w:ilvl="1" w:tplc="5F4C3C24" w:tentative="1">
      <w:start w:val="1"/>
      <w:numFmt w:val="bullet"/>
      <w:lvlText w:val="•"/>
      <w:lvlJc w:val="left"/>
      <w:pPr>
        <w:tabs>
          <w:tab w:val="num" w:pos="1440"/>
        </w:tabs>
        <w:ind w:left="1440" w:hanging="360"/>
      </w:pPr>
      <w:rPr>
        <w:rFonts w:ascii="Arial" w:hAnsi="Arial" w:hint="default"/>
      </w:rPr>
    </w:lvl>
    <w:lvl w:ilvl="2" w:tplc="98964470" w:tentative="1">
      <w:start w:val="1"/>
      <w:numFmt w:val="bullet"/>
      <w:lvlText w:val="•"/>
      <w:lvlJc w:val="left"/>
      <w:pPr>
        <w:tabs>
          <w:tab w:val="num" w:pos="2160"/>
        </w:tabs>
        <w:ind w:left="2160" w:hanging="360"/>
      </w:pPr>
      <w:rPr>
        <w:rFonts w:ascii="Arial" w:hAnsi="Arial" w:hint="default"/>
      </w:rPr>
    </w:lvl>
    <w:lvl w:ilvl="3" w:tplc="F42CE28C" w:tentative="1">
      <w:start w:val="1"/>
      <w:numFmt w:val="bullet"/>
      <w:lvlText w:val="•"/>
      <w:lvlJc w:val="left"/>
      <w:pPr>
        <w:tabs>
          <w:tab w:val="num" w:pos="2880"/>
        </w:tabs>
        <w:ind w:left="2880" w:hanging="360"/>
      </w:pPr>
      <w:rPr>
        <w:rFonts w:ascii="Arial" w:hAnsi="Arial" w:hint="default"/>
      </w:rPr>
    </w:lvl>
    <w:lvl w:ilvl="4" w:tplc="BC5A5D80" w:tentative="1">
      <w:start w:val="1"/>
      <w:numFmt w:val="bullet"/>
      <w:lvlText w:val="•"/>
      <w:lvlJc w:val="left"/>
      <w:pPr>
        <w:tabs>
          <w:tab w:val="num" w:pos="3600"/>
        </w:tabs>
        <w:ind w:left="3600" w:hanging="360"/>
      </w:pPr>
      <w:rPr>
        <w:rFonts w:ascii="Arial" w:hAnsi="Arial" w:hint="default"/>
      </w:rPr>
    </w:lvl>
    <w:lvl w:ilvl="5" w:tplc="4B44ED2A" w:tentative="1">
      <w:start w:val="1"/>
      <w:numFmt w:val="bullet"/>
      <w:lvlText w:val="•"/>
      <w:lvlJc w:val="left"/>
      <w:pPr>
        <w:tabs>
          <w:tab w:val="num" w:pos="4320"/>
        </w:tabs>
        <w:ind w:left="4320" w:hanging="360"/>
      </w:pPr>
      <w:rPr>
        <w:rFonts w:ascii="Arial" w:hAnsi="Arial" w:hint="default"/>
      </w:rPr>
    </w:lvl>
    <w:lvl w:ilvl="6" w:tplc="0F9A088C" w:tentative="1">
      <w:start w:val="1"/>
      <w:numFmt w:val="bullet"/>
      <w:lvlText w:val="•"/>
      <w:lvlJc w:val="left"/>
      <w:pPr>
        <w:tabs>
          <w:tab w:val="num" w:pos="5040"/>
        </w:tabs>
        <w:ind w:left="5040" w:hanging="360"/>
      </w:pPr>
      <w:rPr>
        <w:rFonts w:ascii="Arial" w:hAnsi="Arial" w:hint="default"/>
      </w:rPr>
    </w:lvl>
    <w:lvl w:ilvl="7" w:tplc="549EC78C" w:tentative="1">
      <w:start w:val="1"/>
      <w:numFmt w:val="bullet"/>
      <w:lvlText w:val="•"/>
      <w:lvlJc w:val="left"/>
      <w:pPr>
        <w:tabs>
          <w:tab w:val="num" w:pos="5760"/>
        </w:tabs>
        <w:ind w:left="5760" w:hanging="360"/>
      </w:pPr>
      <w:rPr>
        <w:rFonts w:ascii="Arial" w:hAnsi="Arial" w:hint="default"/>
      </w:rPr>
    </w:lvl>
    <w:lvl w:ilvl="8" w:tplc="E5965C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CE"/>
    <w:rsid w:val="00005AE8"/>
    <w:rsid w:val="000570E5"/>
    <w:rsid w:val="000A75A6"/>
    <w:rsid w:val="000F4EA7"/>
    <w:rsid w:val="00123A08"/>
    <w:rsid w:val="00160B5A"/>
    <w:rsid w:val="001800D1"/>
    <w:rsid w:val="001B7FE4"/>
    <w:rsid w:val="001C6108"/>
    <w:rsid w:val="001D4493"/>
    <w:rsid w:val="001E4AB4"/>
    <w:rsid w:val="00203D8C"/>
    <w:rsid w:val="0026784E"/>
    <w:rsid w:val="002A3F3B"/>
    <w:rsid w:val="002A656D"/>
    <w:rsid w:val="002B1491"/>
    <w:rsid w:val="002F1AAE"/>
    <w:rsid w:val="00380C5C"/>
    <w:rsid w:val="003A09E0"/>
    <w:rsid w:val="003A3343"/>
    <w:rsid w:val="003A61B7"/>
    <w:rsid w:val="00402FF9"/>
    <w:rsid w:val="004042AE"/>
    <w:rsid w:val="004156D3"/>
    <w:rsid w:val="004158CF"/>
    <w:rsid w:val="00420D44"/>
    <w:rsid w:val="00482AA4"/>
    <w:rsid w:val="00487B18"/>
    <w:rsid w:val="00537645"/>
    <w:rsid w:val="00537D7E"/>
    <w:rsid w:val="00567EC0"/>
    <w:rsid w:val="00584E90"/>
    <w:rsid w:val="005A2DEC"/>
    <w:rsid w:val="005F7BA3"/>
    <w:rsid w:val="006002FE"/>
    <w:rsid w:val="00624246"/>
    <w:rsid w:val="006415C7"/>
    <w:rsid w:val="00644885"/>
    <w:rsid w:val="00663E8D"/>
    <w:rsid w:val="006700BF"/>
    <w:rsid w:val="006A56BF"/>
    <w:rsid w:val="006A7F25"/>
    <w:rsid w:val="006D413A"/>
    <w:rsid w:val="006E0585"/>
    <w:rsid w:val="006F74ED"/>
    <w:rsid w:val="007049EF"/>
    <w:rsid w:val="00712570"/>
    <w:rsid w:val="007258F2"/>
    <w:rsid w:val="00727DA3"/>
    <w:rsid w:val="00732C69"/>
    <w:rsid w:val="00742818"/>
    <w:rsid w:val="007738F8"/>
    <w:rsid w:val="007773F8"/>
    <w:rsid w:val="00796F34"/>
    <w:rsid w:val="007B1D3A"/>
    <w:rsid w:val="007B7F34"/>
    <w:rsid w:val="007D63C5"/>
    <w:rsid w:val="00824FB3"/>
    <w:rsid w:val="008429CE"/>
    <w:rsid w:val="008B3C3D"/>
    <w:rsid w:val="008E22AF"/>
    <w:rsid w:val="00905252"/>
    <w:rsid w:val="00926E15"/>
    <w:rsid w:val="00966EF6"/>
    <w:rsid w:val="00974ACF"/>
    <w:rsid w:val="009D6D84"/>
    <w:rsid w:val="009F740E"/>
    <w:rsid w:val="00A45F83"/>
    <w:rsid w:val="00B01F6E"/>
    <w:rsid w:val="00B03211"/>
    <w:rsid w:val="00B045B5"/>
    <w:rsid w:val="00B125FE"/>
    <w:rsid w:val="00B36078"/>
    <w:rsid w:val="00B4049F"/>
    <w:rsid w:val="00BA791E"/>
    <w:rsid w:val="00C14E64"/>
    <w:rsid w:val="00C2573F"/>
    <w:rsid w:val="00C63FA2"/>
    <w:rsid w:val="00C83343"/>
    <w:rsid w:val="00CB77FA"/>
    <w:rsid w:val="00D076C5"/>
    <w:rsid w:val="00D737C6"/>
    <w:rsid w:val="00DC2EC6"/>
    <w:rsid w:val="00DC4E11"/>
    <w:rsid w:val="00E47E66"/>
    <w:rsid w:val="00E7469B"/>
    <w:rsid w:val="00E76CD1"/>
    <w:rsid w:val="00EB0EF4"/>
    <w:rsid w:val="00ED3504"/>
    <w:rsid w:val="00EF1483"/>
    <w:rsid w:val="00F31E4F"/>
    <w:rsid w:val="00F7232C"/>
    <w:rsid w:val="00F819E5"/>
    <w:rsid w:val="00F84E43"/>
    <w:rsid w:val="00F9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E4939"/>
  <w15:chartTrackingRefBased/>
  <w15:docId w15:val="{FB6BDF12-6345-4026-9775-E70C2339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AE8"/>
    <w:rPr>
      <w:color w:val="0563C1" w:themeColor="hyperlink"/>
      <w:u w:val="single"/>
    </w:rPr>
  </w:style>
  <w:style w:type="paragraph" w:customStyle="1" w:styleId="Text">
    <w:name w:val="Text"/>
    <w:qFormat/>
    <w:rsid w:val="0026784E"/>
    <w:rPr>
      <w:rFonts w:ascii="Verdana" w:hAnsi="Verdana"/>
      <w:color w:val="000000" w:themeColor="text1"/>
    </w:rPr>
  </w:style>
  <w:style w:type="paragraph" w:styleId="Header">
    <w:name w:val="header"/>
    <w:basedOn w:val="Normal"/>
    <w:link w:val="HeaderChar"/>
    <w:uiPriority w:val="99"/>
    <w:unhideWhenUsed/>
    <w:rsid w:val="0058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90"/>
  </w:style>
  <w:style w:type="paragraph" w:styleId="Footer">
    <w:name w:val="footer"/>
    <w:basedOn w:val="Normal"/>
    <w:link w:val="FooterChar"/>
    <w:uiPriority w:val="99"/>
    <w:unhideWhenUsed/>
    <w:rsid w:val="0058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90"/>
  </w:style>
  <w:style w:type="character" w:styleId="CommentReference">
    <w:name w:val="annotation reference"/>
    <w:basedOn w:val="DefaultParagraphFont"/>
    <w:uiPriority w:val="99"/>
    <w:semiHidden/>
    <w:unhideWhenUsed/>
    <w:rsid w:val="002A656D"/>
    <w:rPr>
      <w:sz w:val="16"/>
      <w:szCs w:val="16"/>
    </w:rPr>
  </w:style>
  <w:style w:type="paragraph" w:styleId="CommentText">
    <w:name w:val="annotation text"/>
    <w:basedOn w:val="Normal"/>
    <w:link w:val="CommentTextChar"/>
    <w:uiPriority w:val="99"/>
    <w:semiHidden/>
    <w:unhideWhenUsed/>
    <w:rsid w:val="002A656D"/>
    <w:pPr>
      <w:spacing w:line="240" w:lineRule="auto"/>
    </w:pPr>
    <w:rPr>
      <w:sz w:val="20"/>
      <w:szCs w:val="20"/>
    </w:rPr>
  </w:style>
  <w:style w:type="character" w:customStyle="1" w:styleId="CommentTextChar">
    <w:name w:val="Comment Text Char"/>
    <w:basedOn w:val="DefaultParagraphFont"/>
    <w:link w:val="CommentText"/>
    <w:uiPriority w:val="99"/>
    <w:semiHidden/>
    <w:rsid w:val="002A656D"/>
    <w:rPr>
      <w:sz w:val="20"/>
      <w:szCs w:val="20"/>
    </w:rPr>
  </w:style>
  <w:style w:type="paragraph" w:styleId="CommentSubject">
    <w:name w:val="annotation subject"/>
    <w:basedOn w:val="CommentText"/>
    <w:next w:val="CommentText"/>
    <w:link w:val="CommentSubjectChar"/>
    <w:uiPriority w:val="99"/>
    <w:semiHidden/>
    <w:unhideWhenUsed/>
    <w:rsid w:val="002A656D"/>
    <w:rPr>
      <w:b/>
      <w:bCs/>
    </w:rPr>
  </w:style>
  <w:style w:type="character" w:customStyle="1" w:styleId="CommentSubjectChar">
    <w:name w:val="Comment Subject Char"/>
    <w:basedOn w:val="CommentTextChar"/>
    <w:link w:val="CommentSubject"/>
    <w:uiPriority w:val="99"/>
    <w:semiHidden/>
    <w:rsid w:val="002A656D"/>
    <w:rPr>
      <w:b/>
      <w:bCs/>
      <w:sz w:val="20"/>
      <w:szCs w:val="20"/>
    </w:rPr>
  </w:style>
  <w:style w:type="paragraph" w:styleId="BalloonText">
    <w:name w:val="Balloon Text"/>
    <w:basedOn w:val="Normal"/>
    <w:link w:val="BalloonTextChar"/>
    <w:uiPriority w:val="99"/>
    <w:semiHidden/>
    <w:unhideWhenUsed/>
    <w:rsid w:val="002A6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56D"/>
    <w:rPr>
      <w:rFonts w:ascii="Segoe UI" w:hAnsi="Segoe UI" w:cs="Segoe UI"/>
      <w:sz w:val="18"/>
      <w:szCs w:val="18"/>
    </w:rPr>
  </w:style>
  <w:style w:type="paragraph" w:styleId="NormalWeb">
    <w:name w:val="Normal (Web)"/>
    <w:basedOn w:val="Normal"/>
    <w:uiPriority w:val="99"/>
    <w:semiHidden/>
    <w:unhideWhenUsed/>
    <w:rsid w:val="001800D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arheadings">
    <w:name w:val="Bar headings"/>
    <w:basedOn w:val="Normal"/>
    <w:qFormat/>
    <w:rsid w:val="00824FB3"/>
    <w:pPr>
      <w:pBdr>
        <w:top w:val="single" w:sz="8" w:space="4" w:color="2F4D75"/>
        <w:left w:val="single" w:sz="8" w:space="4" w:color="2F4D75"/>
        <w:bottom w:val="single" w:sz="8" w:space="4" w:color="2F4D75"/>
        <w:right w:val="single" w:sz="8" w:space="4" w:color="2F4D75"/>
      </w:pBdr>
      <w:shd w:val="solid" w:color="2F4D75" w:fill="auto"/>
    </w:pPr>
    <w:rPr>
      <w:rFonts w:ascii="Verdana" w:hAnsi="Verdana"/>
      <w:b/>
      <w:color w:val="FFFFFF" w:themeColor="background1"/>
      <w:sz w:val="24"/>
    </w:rPr>
  </w:style>
  <w:style w:type="paragraph" w:customStyle="1" w:styleId="Boldsubheadblue">
    <w:name w:val="Bold sub head blue"/>
    <w:basedOn w:val="Normal"/>
    <w:qFormat/>
    <w:rsid w:val="009F740E"/>
    <w:pPr>
      <w:spacing w:after="120"/>
    </w:pPr>
    <w:rPr>
      <w:rFonts w:ascii="Verdana" w:hAnsi="Verdana"/>
      <w:b/>
      <w:color w:val="2F4D75"/>
    </w:rPr>
  </w:style>
  <w:style w:type="paragraph" w:customStyle="1" w:styleId="Bullets">
    <w:name w:val="Bullets"/>
    <w:basedOn w:val="Normal"/>
    <w:qFormat/>
    <w:rsid w:val="0026784E"/>
    <w:pPr>
      <w:numPr>
        <w:numId w:val="6"/>
      </w:numPr>
      <w:contextualSpacing/>
    </w:pPr>
    <w:rPr>
      <w:rFonts w:ascii="Verdana" w:hAnsi="Verdana"/>
    </w:rPr>
  </w:style>
  <w:style w:type="paragraph" w:customStyle="1" w:styleId="PHWbluequote">
    <w:name w:val="PHW blue quote"/>
    <w:basedOn w:val="Normal"/>
    <w:qFormat/>
    <w:rsid w:val="006002FE"/>
    <w:rPr>
      <w:rFonts w:ascii="Verdana" w:hAnsi="Verdana"/>
      <w:i/>
      <w:color w:val="2EB6BE"/>
    </w:rPr>
  </w:style>
  <w:style w:type="character" w:styleId="BookTitle">
    <w:name w:val="Book Title"/>
    <w:basedOn w:val="DefaultParagraphFont"/>
    <w:uiPriority w:val="33"/>
    <w:qFormat/>
    <w:rsid w:val="0026784E"/>
    <w:rPr>
      <w:b/>
      <w:bCs/>
      <w:i/>
      <w:iCs/>
      <w:spacing w:val="5"/>
    </w:rPr>
  </w:style>
  <w:style w:type="character" w:styleId="FollowedHyperlink">
    <w:name w:val="FollowedHyperlink"/>
    <w:basedOn w:val="DefaultParagraphFont"/>
    <w:uiPriority w:val="99"/>
    <w:semiHidden/>
    <w:unhideWhenUsed/>
    <w:rsid w:val="0026784E"/>
    <w:rPr>
      <w:color w:val="954F72" w:themeColor="followedHyperlink"/>
      <w:u w:val="single"/>
    </w:rPr>
  </w:style>
  <w:style w:type="paragraph" w:customStyle="1" w:styleId="Referencetext">
    <w:name w:val="Reference text"/>
    <w:basedOn w:val="Text"/>
    <w:qFormat/>
    <w:rsid w:val="0026784E"/>
    <w:rPr>
      <w:sz w:val="20"/>
    </w:rPr>
  </w:style>
  <w:style w:type="paragraph" w:styleId="ListParagraph">
    <w:name w:val="List Paragraph"/>
    <w:basedOn w:val="Normal"/>
    <w:uiPriority w:val="34"/>
    <w:qFormat/>
    <w:rsid w:val="00ED3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7937">
      <w:bodyDiv w:val="1"/>
      <w:marLeft w:val="0"/>
      <w:marRight w:val="0"/>
      <w:marTop w:val="0"/>
      <w:marBottom w:val="0"/>
      <w:divBdr>
        <w:top w:val="none" w:sz="0" w:space="0" w:color="auto"/>
        <w:left w:val="none" w:sz="0" w:space="0" w:color="auto"/>
        <w:bottom w:val="none" w:sz="0" w:space="0" w:color="auto"/>
        <w:right w:val="none" w:sz="0" w:space="0" w:color="auto"/>
      </w:divBdr>
    </w:div>
    <w:div w:id="1204176133">
      <w:bodyDiv w:val="1"/>
      <w:marLeft w:val="0"/>
      <w:marRight w:val="0"/>
      <w:marTop w:val="0"/>
      <w:marBottom w:val="0"/>
      <w:divBdr>
        <w:top w:val="none" w:sz="0" w:space="0" w:color="auto"/>
        <w:left w:val="none" w:sz="0" w:space="0" w:color="auto"/>
        <w:bottom w:val="none" w:sz="0" w:space="0" w:color="auto"/>
        <w:right w:val="none" w:sz="0" w:space="0" w:color="auto"/>
      </w:divBdr>
    </w:div>
    <w:div w:id="1579945526">
      <w:bodyDiv w:val="1"/>
      <w:marLeft w:val="0"/>
      <w:marRight w:val="0"/>
      <w:marTop w:val="0"/>
      <w:marBottom w:val="0"/>
      <w:divBdr>
        <w:top w:val="none" w:sz="0" w:space="0" w:color="auto"/>
        <w:left w:val="none" w:sz="0" w:space="0" w:color="auto"/>
        <w:bottom w:val="none" w:sz="0" w:space="0" w:color="auto"/>
        <w:right w:val="none" w:sz="0" w:space="0" w:color="auto"/>
      </w:divBdr>
      <w:divsChild>
        <w:div w:id="296227704">
          <w:marLeft w:val="864"/>
          <w:marRight w:val="0"/>
          <w:marTop w:val="0"/>
          <w:marBottom w:val="160"/>
          <w:divBdr>
            <w:top w:val="none" w:sz="0" w:space="0" w:color="auto"/>
            <w:left w:val="none" w:sz="0" w:space="0" w:color="auto"/>
            <w:bottom w:val="none" w:sz="0" w:space="0" w:color="auto"/>
            <w:right w:val="none" w:sz="0" w:space="0" w:color="auto"/>
          </w:divBdr>
        </w:div>
      </w:divsChild>
    </w:div>
    <w:div w:id="1919316441">
      <w:bodyDiv w:val="1"/>
      <w:marLeft w:val="0"/>
      <w:marRight w:val="0"/>
      <w:marTop w:val="0"/>
      <w:marBottom w:val="0"/>
      <w:divBdr>
        <w:top w:val="none" w:sz="0" w:space="0" w:color="auto"/>
        <w:left w:val="none" w:sz="0" w:space="0" w:color="auto"/>
        <w:bottom w:val="none" w:sz="0" w:space="0" w:color="auto"/>
        <w:right w:val="none" w:sz="0" w:space="0" w:color="auto"/>
      </w:divBdr>
      <w:divsChild>
        <w:div w:id="2124373672">
          <w:marLeft w:val="864"/>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hiasu.publichealthnetwork.cymru/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 (Public Health Wales - Matrix House)</dc:creator>
  <cp:keywords/>
  <dc:description/>
  <cp:lastModifiedBy>Amy Davies (Public Health Wales - Matrix House)</cp:lastModifiedBy>
  <cp:revision>3</cp:revision>
  <dcterms:created xsi:type="dcterms:W3CDTF">2019-10-02T08:42:00Z</dcterms:created>
  <dcterms:modified xsi:type="dcterms:W3CDTF">2019-10-02T08:43:00Z</dcterms:modified>
</cp:coreProperties>
</file>