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85437" w14:textId="77777777" w:rsidR="00A46134" w:rsidRDefault="00A46134" w:rsidP="00BB507B">
      <w:pPr>
        <w:jc w:val="both"/>
        <w:rPr>
          <w:rFonts w:ascii="Arial" w:hAnsi="Arial" w:cs="Arial"/>
          <w:b/>
          <w:bCs/>
          <w:sz w:val="32"/>
          <w:szCs w:val="32"/>
        </w:rPr>
      </w:pPr>
    </w:p>
    <w:p w14:paraId="4C0F1798" w14:textId="77777777" w:rsidR="00A46134" w:rsidRDefault="00A46134" w:rsidP="00A46134">
      <w:pPr>
        <w:spacing w:line="257" w:lineRule="auto"/>
        <w:jc w:val="center"/>
        <w:rPr>
          <w:rFonts w:ascii="Arial" w:eastAsia="Arial" w:hAnsi="Arial" w:cs="Arial"/>
          <w:b/>
          <w:bCs/>
          <w:sz w:val="40"/>
          <w:szCs w:val="40"/>
          <w:lang w:val="en-US"/>
        </w:rPr>
      </w:pPr>
    </w:p>
    <w:p w14:paraId="47F3C384" w14:textId="77777777" w:rsidR="00A46134" w:rsidRDefault="00A46134" w:rsidP="00A46134">
      <w:pPr>
        <w:spacing w:line="257" w:lineRule="auto"/>
        <w:jc w:val="center"/>
        <w:rPr>
          <w:rFonts w:ascii="Arial" w:eastAsia="Arial" w:hAnsi="Arial" w:cs="Arial"/>
          <w:b/>
          <w:bCs/>
          <w:sz w:val="40"/>
          <w:szCs w:val="40"/>
          <w:lang w:val="en-US"/>
        </w:rPr>
      </w:pPr>
    </w:p>
    <w:p w14:paraId="3EA8E80B" w14:textId="77777777" w:rsidR="00A46134" w:rsidRDefault="00A46134" w:rsidP="00A46134">
      <w:pPr>
        <w:spacing w:line="257" w:lineRule="auto"/>
        <w:jc w:val="center"/>
        <w:rPr>
          <w:rFonts w:ascii="Arial" w:eastAsia="Arial" w:hAnsi="Arial" w:cs="Arial"/>
          <w:b/>
          <w:bCs/>
          <w:sz w:val="40"/>
          <w:szCs w:val="40"/>
          <w:lang w:val="en-US"/>
        </w:rPr>
      </w:pPr>
    </w:p>
    <w:p w14:paraId="3C8AA6A8" w14:textId="6DA06E00" w:rsidR="00A46134" w:rsidRPr="00C84E5B" w:rsidRDefault="00A46134" w:rsidP="00A46134">
      <w:pPr>
        <w:spacing w:line="257" w:lineRule="auto"/>
        <w:jc w:val="center"/>
        <w:rPr>
          <w:rFonts w:ascii="Arial" w:eastAsia="Arial" w:hAnsi="Arial" w:cs="Arial"/>
          <w:b/>
          <w:bCs/>
          <w:sz w:val="40"/>
          <w:szCs w:val="40"/>
          <w:lang w:val="en-US"/>
        </w:rPr>
      </w:pPr>
      <w:r w:rsidRPr="00C84E5B">
        <w:rPr>
          <w:rFonts w:ascii="Arial" w:eastAsia="Arial" w:hAnsi="Arial" w:cs="Arial"/>
          <w:b/>
          <w:bCs/>
          <w:sz w:val="40"/>
          <w:szCs w:val="40"/>
          <w:lang w:val="en-US"/>
        </w:rPr>
        <w:t>Service Provision</w:t>
      </w:r>
    </w:p>
    <w:p w14:paraId="2E2858B1" w14:textId="77777777" w:rsidR="00A46134" w:rsidRPr="00C84E5B" w:rsidRDefault="00A46134" w:rsidP="00A46134">
      <w:pPr>
        <w:spacing w:line="257" w:lineRule="auto"/>
        <w:jc w:val="center"/>
        <w:rPr>
          <w:rFonts w:ascii="Calibri" w:eastAsia="Calibri" w:hAnsi="Calibri" w:cs="Times New Roman"/>
          <w:lang w:val="en-US"/>
        </w:rPr>
      </w:pPr>
    </w:p>
    <w:p w14:paraId="5CDF5A16" w14:textId="77777777" w:rsidR="00A46134" w:rsidRPr="00C84E5B" w:rsidRDefault="00A46134" w:rsidP="00A46134">
      <w:pPr>
        <w:spacing w:line="257" w:lineRule="auto"/>
        <w:jc w:val="center"/>
        <w:rPr>
          <w:rFonts w:ascii="Arial" w:eastAsia="Arial" w:hAnsi="Arial" w:cs="Arial"/>
          <w:b/>
          <w:bCs/>
          <w:sz w:val="40"/>
          <w:szCs w:val="40"/>
          <w:lang w:val="en-US"/>
        </w:rPr>
      </w:pPr>
      <w:r w:rsidRPr="00C84E5B">
        <w:rPr>
          <w:rFonts w:ascii="Arial" w:eastAsia="Arial" w:hAnsi="Arial" w:cs="Arial"/>
          <w:b/>
          <w:bCs/>
          <w:sz w:val="40"/>
          <w:szCs w:val="40"/>
          <w:lang w:val="en-US"/>
        </w:rPr>
        <w:t>PHW (Host Organisation)</w:t>
      </w:r>
    </w:p>
    <w:p w14:paraId="7F8FEB62" w14:textId="77777777" w:rsidR="00A46134" w:rsidRDefault="00A46134" w:rsidP="00A46134">
      <w:pPr>
        <w:spacing w:line="257" w:lineRule="auto"/>
        <w:jc w:val="center"/>
        <w:rPr>
          <w:rFonts w:ascii="Arial" w:eastAsia="Arial" w:hAnsi="Arial" w:cs="Arial"/>
          <w:b/>
          <w:bCs/>
          <w:sz w:val="40"/>
          <w:szCs w:val="40"/>
          <w:lang w:val="en-US"/>
        </w:rPr>
      </w:pPr>
      <w:r w:rsidRPr="00C84E5B">
        <w:rPr>
          <w:rFonts w:ascii="Arial" w:eastAsia="Arial" w:hAnsi="Arial" w:cs="Arial"/>
          <w:b/>
          <w:bCs/>
          <w:sz w:val="40"/>
          <w:szCs w:val="40"/>
          <w:lang w:val="en-US"/>
        </w:rPr>
        <w:t xml:space="preserve"> NHS Wales Executive (Hosted Unit)</w:t>
      </w:r>
    </w:p>
    <w:p w14:paraId="4F46164C" w14:textId="77777777" w:rsidR="00A46134" w:rsidRDefault="00A46134" w:rsidP="00A46134">
      <w:pPr>
        <w:spacing w:line="257" w:lineRule="auto"/>
        <w:jc w:val="center"/>
        <w:rPr>
          <w:rFonts w:ascii="Arial" w:eastAsia="Arial" w:hAnsi="Arial" w:cs="Arial"/>
          <w:b/>
          <w:bCs/>
          <w:sz w:val="40"/>
          <w:szCs w:val="40"/>
          <w:lang w:val="en-US"/>
        </w:rPr>
      </w:pPr>
    </w:p>
    <w:p w14:paraId="4ED239A6" w14:textId="77777777" w:rsidR="00A46134" w:rsidRDefault="00A46134" w:rsidP="00A46134">
      <w:pPr>
        <w:spacing w:line="257" w:lineRule="auto"/>
        <w:jc w:val="center"/>
        <w:rPr>
          <w:rFonts w:ascii="Arial" w:eastAsia="Arial" w:hAnsi="Arial" w:cs="Arial"/>
          <w:b/>
          <w:bCs/>
          <w:sz w:val="40"/>
          <w:szCs w:val="40"/>
          <w:lang w:val="en-US"/>
        </w:rPr>
      </w:pPr>
      <w:r>
        <w:rPr>
          <w:rFonts w:ascii="Arial" w:eastAsia="Arial" w:hAnsi="Arial" w:cs="Arial"/>
          <w:b/>
          <w:bCs/>
          <w:sz w:val="40"/>
          <w:szCs w:val="40"/>
          <w:lang w:val="en-US"/>
        </w:rPr>
        <w:t>People &amp; OD (POD) Support</w:t>
      </w:r>
    </w:p>
    <w:p w14:paraId="71FA7F8D" w14:textId="77777777" w:rsidR="00A46134" w:rsidRDefault="00A46134" w:rsidP="00A46134">
      <w:pPr>
        <w:spacing w:line="257" w:lineRule="auto"/>
        <w:jc w:val="center"/>
        <w:rPr>
          <w:rFonts w:ascii="Arial" w:eastAsia="Arial" w:hAnsi="Arial" w:cs="Arial"/>
          <w:b/>
          <w:bCs/>
          <w:sz w:val="40"/>
          <w:szCs w:val="40"/>
          <w:lang w:val="en-US"/>
        </w:rPr>
      </w:pPr>
    </w:p>
    <w:p w14:paraId="31FC33CB" w14:textId="3E0F053B" w:rsidR="00A46134" w:rsidRDefault="00100BC4" w:rsidP="00A46134">
      <w:pPr>
        <w:spacing w:line="257" w:lineRule="auto"/>
        <w:jc w:val="center"/>
        <w:rPr>
          <w:rFonts w:ascii="Arial" w:eastAsia="Arial" w:hAnsi="Arial" w:cs="Arial"/>
          <w:b/>
          <w:bCs/>
          <w:sz w:val="40"/>
          <w:szCs w:val="40"/>
          <w:lang w:val="en-US"/>
        </w:rPr>
      </w:pPr>
      <w:r>
        <w:rPr>
          <w:rFonts w:ascii="Arial" w:eastAsia="Arial" w:hAnsi="Arial" w:cs="Arial"/>
          <w:b/>
          <w:bCs/>
          <w:sz w:val="40"/>
          <w:szCs w:val="40"/>
          <w:lang w:val="en-US"/>
        </w:rPr>
        <w:t>March 2025</w:t>
      </w:r>
    </w:p>
    <w:p w14:paraId="33000887" w14:textId="5F048B5C" w:rsidR="00100BC4" w:rsidRDefault="00100BC4" w:rsidP="00A46134">
      <w:pPr>
        <w:spacing w:line="257" w:lineRule="auto"/>
        <w:jc w:val="center"/>
        <w:rPr>
          <w:rFonts w:ascii="Arial" w:eastAsia="Arial" w:hAnsi="Arial" w:cs="Arial"/>
          <w:b/>
          <w:bCs/>
          <w:sz w:val="40"/>
          <w:szCs w:val="40"/>
          <w:lang w:val="en-US"/>
        </w:rPr>
      </w:pPr>
      <w:r>
        <w:rPr>
          <w:rFonts w:ascii="Arial" w:eastAsia="Arial" w:hAnsi="Arial" w:cs="Arial"/>
          <w:b/>
          <w:bCs/>
          <w:sz w:val="40"/>
          <w:szCs w:val="40"/>
          <w:lang w:val="en-US"/>
        </w:rPr>
        <w:t>Approved by NHS Wales Executive 13/02/25</w:t>
      </w:r>
    </w:p>
    <w:p w14:paraId="59E30469" w14:textId="288E2B9C" w:rsidR="00100BC4" w:rsidRDefault="00100BC4" w:rsidP="00A46134">
      <w:pPr>
        <w:spacing w:line="257" w:lineRule="auto"/>
        <w:jc w:val="center"/>
        <w:rPr>
          <w:rFonts w:ascii="Arial" w:eastAsia="Arial" w:hAnsi="Arial" w:cs="Arial"/>
          <w:b/>
          <w:bCs/>
          <w:sz w:val="40"/>
          <w:szCs w:val="40"/>
          <w:lang w:val="en-US"/>
        </w:rPr>
      </w:pPr>
      <w:r w:rsidRPr="00100BC4">
        <w:rPr>
          <w:rFonts w:ascii="Arial" w:eastAsia="Arial" w:hAnsi="Arial" w:cs="Arial"/>
          <w:b/>
          <w:bCs/>
          <w:color w:val="FF0000"/>
          <w:sz w:val="40"/>
          <w:szCs w:val="40"/>
          <w:lang w:val="en-US"/>
        </w:rPr>
        <w:t>Approved by PHW xx/xx/xx</w:t>
      </w:r>
    </w:p>
    <w:p w14:paraId="2E40981E" w14:textId="77777777" w:rsidR="00A46134" w:rsidRDefault="00A46134" w:rsidP="00BB507B">
      <w:pPr>
        <w:jc w:val="both"/>
        <w:rPr>
          <w:rFonts w:ascii="Arial" w:hAnsi="Arial" w:cs="Arial"/>
          <w:b/>
          <w:bCs/>
          <w:sz w:val="32"/>
          <w:szCs w:val="32"/>
        </w:rPr>
      </w:pPr>
    </w:p>
    <w:p w14:paraId="681D0661" w14:textId="77777777" w:rsidR="00A46134" w:rsidRDefault="00A46134" w:rsidP="00BB507B">
      <w:pPr>
        <w:jc w:val="both"/>
        <w:rPr>
          <w:rFonts w:ascii="Arial" w:hAnsi="Arial" w:cs="Arial"/>
          <w:b/>
          <w:bCs/>
          <w:sz w:val="32"/>
          <w:szCs w:val="32"/>
        </w:rPr>
      </w:pPr>
    </w:p>
    <w:p w14:paraId="71F3AFC6" w14:textId="77777777" w:rsidR="00A46134" w:rsidRDefault="00A46134" w:rsidP="00BB507B">
      <w:pPr>
        <w:jc w:val="both"/>
        <w:rPr>
          <w:rFonts w:ascii="Arial" w:hAnsi="Arial" w:cs="Arial"/>
          <w:b/>
          <w:bCs/>
          <w:sz w:val="32"/>
          <w:szCs w:val="32"/>
        </w:rPr>
      </w:pPr>
    </w:p>
    <w:p w14:paraId="3E7CC5BA" w14:textId="77777777" w:rsidR="00A46134" w:rsidRDefault="00A46134" w:rsidP="00BB507B">
      <w:pPr>
        <w:jc w:val="both"/>
        <w:rPr>
          <w:rFonts w:ascii="Arial" w:hAnsi="Arial" w:cs="Arial"/>
          <w:b/>
          <w:bCs/>
          <w:sz w:val="32"/>
          <w:szCs w:val="32"/>
        </w:rPr>
      </w:pPr>
    </w:p>
    <w:p w14:paraId="5EC5D4E2" w14:textId="77777777" w:rsidR="00A46134" w:rsidRDefault="00A46134" w:rsidP="00BB507B">
      <w:pPr>
        <w:jc w:val="both"/>
        <w:rPr>
          <w:rFonts w:ascii="Arial" w:hAnsi="Arial" w:cs="Arial"/>
          <w:sz w:val="20"/>
          <w:szCs w:val="20"/>
        </w:rPr>
      </w:pPr>
    </w:p>
    <w:p w14:paraId="115D7619" w14:textId="77777777" w:rsidR="00B84B7D" w:rsidRDefault="00B84B7D" w:rsidP="00BB507B">
      <w:pPr>
        <w:jc w:val="both"/>
        <w:rPr>
          <w:rFonts w:ascii="Arial" w:hAnsi="Arial" w:cs="Arial"/>
          <w:sz w:val="20"/>
          <w:szCs w:val="20"/>
        </w:rPr>
      </w:pPr>
    </w:p>
    <w:p w14:paraId="163D7BE3" w14:textId="77777777" w:rsidR="00B84B7D" w:rsidRDefault="00B84B7D" w:rsidP="00BB507B">
      <w:pPr>
        <w:jc w:val="both"/>
        <w:rPr>
          <w:rFonts w:ascii="Arial" w:hAnsi="Arial" w:cs="Arial"/>
          <w:sz w:val="20"/>
          <w:szCs w:val="20"/>
        </w:rPr>
      </w:pPr>
    </w:p>
    <w:p w14:paraId="3F0A4C92" w14:textId="77777777" w:rsidR="00B84B7D" w:rsidRDefault="00B84B7D" w:rsidP="00BB507B">
      <w:pPr>
        <w:jc w:val="both"/>
        <w:rPr>
          <w:rFonts w:ascii="Arial" w:hAnsi="Arial" w:cs="Arial"/>
          <w:b/>
          <w:bCs/>
          <w:sz w:val="32"/>
          <w:szCs w:val="32"/>
        </w:rPr>
      </w:pPr>
    </w:p>
    <w:p w14:paraId="0DE895B1" w14:textId="77777777" w:rsidR="00A46134" w:rsidRDefault="00A46134" w:rsidP="00BB507B">
      <w:pPr>
        <w:jc w:val="both"/>
        <w:rPr>
          <w:rFonts w:ascii="Arial" w:hAnsi="Arial" w:cs="Arial"/>
          <w:b/>
          <w:bCs/>
          <w:sz w:val="32"/>
          <w:szCs w:val="32"/>
        </w:rPr>
      </w:pPr>
    </w:p>
    <w:p w14:paraId="16E8DCB1" w14:textId="77777777" w:rsidR="00A46134" w:rsidRDefault="00A46134" w:rsidP="00BB507B">
      <w:pPr>
        <w:jc w:val="both"/>
        <w:rPr>
          <w:rFonts w:ascii="Arial" w:hAnsi="Arial" w:cs="Arial"/>
          <w:b/>
          <w:bCs/>
          <w:sz w:val="32"/>
          <w:szCs w:val="32"/>
        </w:rPr>
      </w:pPr>
    </w:p>
    <w:p w14:paraId="30FA7EAE" w14:textId="03127DB2" w:rsidR="00BB507B" w:rsidRPr="008B4682" w:rsidRDefault="00BB507B" w:rsidP="00BB507B">
      <w:pPr>
        <w:jc w:val="both"/>
        <w:rPr>
          <w:rFonts w:ascii="Arial" w:hAnsi="Arial" w:cs="Arial"/>
          <w:b/>
          <w:bCs/>
          <w:sz w:val="32"/>
          <w:szCs w:val="32"/>
        </w:rPr>
      </w:pPr>
      <w:r w:rsidRPr="008B4682">
        <w:rPr>
          <w:rFonts w:ascii="Arial" w:hAnsi="Arial" w:cs="Arial"/>
          <w:b/>
          <w:bCs/>
          <w:sz w:val="32"/>
          <w:szCs w:val="32"/>
        </w:rPr>
        <w:lastRenderedPageBreak/>
        <w:t xml:space="preserve">People &amp; OD Support Provision to NHS </w:t>
      </w:r>
      <w:r w:rsidR="007D61F4">
        <w:rPr>
          <w:rFonts w:ascii="Arial" w:hAnsi="Arial" w:cs="Arial"/>
          <w:b/>
          <w:bCs/>
          <w:sz w:val="32"/>
          <w:szCs w:val="32"/>
        </w:rPr>
        <w:t xml:space="preserve">Wales </w:t>
      </w:r>
      <w:r w:rsidRPr="008B4682">
        <w:rPr>
          <w:rFonts w:ascii="Arial" w:hAnsi="Arial" w:cs="Arial"/>
          <w:b/>
          <w:bCs/>
          <w:sz w:val="32"/>
          <w:szCs w:val="32"/>
        </w:rPr>
        <w:t xml:space="preserve">Executive </w:t>
      </w:r>
    </w:p>
    <w:p w14:paraId="79E94AE8" w14:textId="36A939E2" w:rsidR="008B4682" w:rsidRDefault="008B4682" w:rsidP="008B4682">
      <w:pPr>
        <w:spacing w:line="257" w:lineRule="auto"/>
      </w:pPr>
      <w:r w:rsidRPr="32C86ABC">
        <w:rPr>
          <w:rFonts w:ascii="Arial" w:eastAsia="Arial" w:hAnsi="Arial" w:cs="Arial"/>
          <w:sz w:val="24"/>
          <w:szCs w:val="24"/>
        </w:rPr>
        <w:t xml:space="preserve">This document details Public Health Wales (PHW) </w:t>
      </w:r>
      <w:r w:rsidR="007D61F4">
        <w:rPr>
          <w:rFonts w:ascii="Arial" w:eastAsia="Arial" w:hAnsi="Arial" w:cs="Arial"/>
          <w:sz w:val="24"/>
          <w:szCs w:val="24"/>
        </w:rPr>
        <w:t xml:space="preserve">POD </w:t>
      </w:r>
      <w:r w:rsidRPr="32C86ABC">
        <w:rPr>
          <w:rFonts w:ascii="Arial" w:eastAsia="Arial" w:hAnsi="Arial" w:cs="Arial"/>
          <w:sz w:val="24"/>
          <w:szCs w:val="24"/>
        </w:rPr>
        <w:t xml:space="preserve">Service Provision to NHS </w:t>
      </w:r>
      <w:r>
        <w:rPr>
          <w:rFonts w:ascii="Arial" w:eastAsia="Arial" w:hAnsi="Arial" w:cs="Arial"/>
          <w:sz w:val="24"/>
          <w:szCs w:val="24"/>
        </w:rPr>
        <w:t xml:space="preserve">Wales </w:t>
      </w:r>
      <w:r w:rsidRPr="32C86ABC">
        <w:rPr>
          <w:rFonts w:ascii="Arial" w:eastAsia="Arial" w:hAnsi="Arial" w:cs="Arial"/>
          <w:sz w:val="24"/>
          <w:szCs w:val="24"/>
        </w:rPr>
        <w:t>Executive</w:t>
      </w:r>
      <w:r>
        <w:rPr>
          <w:rFonts w:ascii="Arial" w:eastAsia="Arial" w:hAnsi="Arial" w:cs="Arial"/>
          <w:sz w:val="24"/>
          <w:szCs w:val="24"/>
        </w:rPr>
        <w:t xml:space="preserve"> (NHS based)</w:t>
      </w:r>
      <w:r w:rsidRPr="32C86ABC">
        <w:rPr>
          <w:rFonts w:ascii="Arial" w:eastAsia="Arial" w:hAnsi="Arial" w:cs="Arial"/>
          <w:sz w:val="24"/>
          <w:szCs w:val="24"/>
        </w:rPr>
        <w:t xml:space="preserve"> </w:t>
      </w:r>
      <w:r w:rsidR="007D61F4">
        <w:rPr>
          <w:rFonts w:ascii="Arial" w:eastAsia="Arial" w:hAnsi="Arial" w:cs="Arial"/>
          <w:sz w:val="24"/>
          <w:szCs w:val="24"/>
        </w:rPr>
        <w:t xml:space="preserve">(‘the Hosted Unit’) </w:t>
      </w:r>
      <w:r w:rsidRPr="32C86ABC">
        <w:rPr>
          <w:rFonts w:ascii="Arial" w:eastAsia="Arial" w:hAnsi="Arial" w:cs="Arial"/>
          <w:sz w:val="24"/>
          <w:szCs w:val="24"/>
        </w:rPr>
        <w:t>from 1</w:t>
      </w:r>
      <w:r w:rsidRPr="32C86ABC">
        <w:rPr>
          <w:rFonts w:ascii="Arial" w:eastAsia="Arial" w:hAnsi="Arial" w:cs="Arial"/>
          <w:sz w:val="24"/>
          <w:szCs w:val="24"/>
          <w:vertAlign w:val="superscript"/>
        </w:rPr>
        <w:t>st</w:t>
      </w:r>
      <w:r w:rsidRPr="32C86ABC">
        <w:rPr>
          <w:rFonts w:ascii="Arial" w:eastAsia="Arial" w:hAnsi="Arial" w:cs="Arial"/>
          <w:sz w:val="24"/>
          <w:szCs w:val="24"/>
        </w:rPr>
        <w:t xml:space="preserve"> April 202</w:t>
      </w:r>
      <w:r w:rsidR="00CA0B14">
        <w:rPr>
          <w:rFonts w:ascii="Arial" w:eastAsia="Arial" w:hAnsi="Arial" w:cs="Arial"/>
          <w:sz w:val="24"/>
          <w:szCs w:val="24"/>
        </w:rPr>
        <w:t>4</w:t>
      </w:r>
      <w:r w:rsidR="007D61F4">
        <w:rPr>
          <w:rFonts w:ascii="Arial" w:eastAsia="Arial" w:hAnsi="Arial" w:cs="Arial"/>
          <w:sz w:val="24"/>
          <w:szCs w:val="24"/>
        </w:rPr>
        <w:t xml:space="preserve">, </w:t>
      </w:r>
      <w:r w:rsidR="00CA0B14">
        <w:rPr>
          <w:rFonts w:ascii="Arial" w:eastAsia="Arial" w:hAnsi="Arial" w:cs="Arial"/>
          <w:sz w:val="24"/>
          <w:szCs w:val="24"/>
        </w:rPr>
        <w:t xml:space="preserve">and as amended </w:t>
      </w:r>
      <w:r w:rsidR="007D61F4">
        <w:rPr>
          <w:rFonts w:ascii="Arial" w:eastAsia="Arial" w:hAnsi="Arial" w:cs="Arial"/>
          <w:sz w:val="24"/>
          <w:szCs w:val="24"/>
        </w:rPr>
        <w:t>in January</w:t>
      </w:r>
      <w:r w:rsidR="00100BC4">
        <w:rPr>
          <w:rFonts w:ascii="Arial" w:eastAsia="Arial" w:hAnsi="Arial" w:cs="Arial"/>
          <w:sz w:val="24"/>
          <w:szCs w:val="24"/>
        </w:rPr>
        <w:t>/February</w:t>
      </w:r>
      <w:r w:rsidR="007D61F4">
        <w:rPr>
          <w:rFonts w:ascii="Arial" w:eastAsia="Arial" w:hAnsi="Arial" w:cs="Arial"/>
          <w:sz w:val="24"/>
          <w:szCs w:val="24"/>
        </w:rPr>
        <w:t xml:space="preserve"> 2025, and should be read in conjunction with the Hosting Agreement</w:t>
      </w:r>
      <w:r w:rsidRPr="32C86ABC">
        <w:rPr>
          <w:rFonts w:ascii="Arial" w:eastAsia="Arial" w:hAnsi="Arial" w:cs="Arial"/>
          <w:sz w:val="24"/>
          <w:szCs w:val="24"/>
        </w:rPr>
        <w:t>.</w:t>
      </w:r>
    </w:p>
    <w:p w14:paraId="3A9E48F8" w14:textId="77777777" w:rsidR="008B4682" w:rsidRDefault="008B4682" w:rsidP="008B4682">
      <w:pPr>
        <w:spacing w:line="257" w:lineRule="auto"/>
        <w:jc w:val="both"/>
      </w:pPr>
      <w:r w:rsidRPr="32C86ABC">
        <w:rPr>
          <w:rFonts w:ascii="Arial" w:eastAsia="Arial" w:hAnsi="Arial" w:cs="Arial"/>
          <w:b/>
          <w:bCs/>
          <w:sz w:val="24"/>
          <w:szCs w:val="24"/>
        </w:rPr>
        <w:t>Summary</w:t>
      </w:r>
    </w:p>
    <w:p w14:paraId="7B95A8DD" w14:textId="3F63DBFF" w:rsidR="00C518BF" w:rsidRPr="00C518BF" w:rsidRDefault="008B4682" w:rsidP="00C518BF">
      <w:pPr>
        <w:spacing w:line="257" w:lineRule="auto"/>
        <w:jc w:val="both"/>
        <w:rPr>
          <w:rFonts w:ascii="Arial" w:eastAsia="Arial" w:hAnsi="Arial" w:cs="Arial"/>
          <w:sz w:val="24"/>
          <w:szCs w:val="24"/>
        </w:rPr>
      </w:pPr>
      <w:r w:rsidRPr="32C86ABC">
        <w:rPr>
          <w:rFonts w:ascii="Arial" w:eastAsia="Arial" w:hAnsi="Arial" w:cs="Arial"/>
          <w:sz w:val="24"/>
          <w:szCs w:val="24"/>
        </w:rPr>
        <w:t xml:space="preserve">Public Health Wales NHS Trust (PHW) </w:t>
      </w:r>
      <w:r>
        <w:rPr>
          <w:rFonts w:ascii="Arial" w:eastAsia="Arial" w:hAnsi="Arial" w:cs="Arial"/>
          <w:sz w:val="24"/>
          <w:szCs w:val="24"/>
        </w:rPr>
        <w:t xml:space="preserve">(‘the Host Organisation’) </w:t>
      </w:r>
      <w:r w:rsidRPr="32C86ABC">
        <w:rPr>
          <w:rFonts w:ascii="Arial" w:eastAsia="Arial" w:hAnsi="Arial" w:cs="Arial"/>
          <w:sz w:val="24"/>
          <w:szCs w:val="24"/>
        </w:rPr>
        <w:t xml:space="preserve">will </w:t>
      </w:r>
      <w:r w:rsidR="00213D3A">
        <w:rPr>
          <w:rFonts w:ascii="Arial" w:eastAsia="Arial" w:hAnsi="Arial" w:cs="Arial"/>
          <w:sz w:val="24"/>
          <w:szCs w:val="24"/>
        </w:rPr>
        <w:t>provide a c</w:t>
      </w:r>
      <w:r w:rsidR="00C518BF" w:rsidRPr="00C518BF">
        <w:rPr>
          <w:rFonts w:ascii="Arial" w:eastAsia="Arial" w:hAnsi="Arial" w:cs="Arial"/>
          <w:sz w:val="24"/>
          <w:szCs w:val="24"/>
        </w:rPr>
        <w:t>omprehensive human resources service, including but not limited to access to support and advice; recruitment and selection support; ESR; payroll and expenses services; occupational health services; statutory and mandatory training; health, safety and welfare services.</w:t>
      </w:r>
    </w:p>
    <w:p w14:paraId="5694408B" w14:textId="77777777" w:rsidR="00E00079" w:rsidRPr="00E00079" w:rsidRDefault="00E00079" w:rsidP="00C518BF">
      <w:pPr>
        <w:spacing w:line="257" w:lineRule="auto"/>
        <w:jc w:val="both"/>
        <w:rPr>
          <w:rFonts w:ascii="Arial" w:eastAsia="Arial" w:hAnsi="Arial" w:cs="Arial"/>
          <w:b/>
          <w:bCs/>
          <w:sz w:val="24"/>
          <w:szCs w:val="24"/>
        </w:rPr>
      </w:pPr>
      <w:r w:rsidRPr="00E00079">
        <w:rPr>
          <w:rFonts w:ascii="Arial" w:eastAsia="Arial" w:hAnsi="Arial" w:cs="Arial"/>
          <w:b/>
          <w:bCs/>
          <w:sz w:val="24"/>
          <w:szCs w:val="24"/>
        </w:rPr>
        <w:t>Background and Introduction</w:t>
      </w:r>
    </w:p>
    <w:p w14:paraId="377C2F7B" w14:textId="603E717A" w:rsidR="00C518BF" w:rsidRPr="00C518BF" w:rsidRDefault="00C518BF" w:rsidP="00C518BF">
      <w:pPr>
        <w:spacing w:line="257" w:lineRule="auto"/>
        <w:jc w:val="both"/>
        <w:rPr>
          <w:rFonts w:ascii="Arial" w:eastAsia="Arial" w:hAnsi="Arial" w:cs="Arial"/>
          <w:sz w:val="24"/>
          <w:szCs w:val="24"/>
        </w:rPr>
      </w:pPr>
      <w:r w:rsidRPr="00C518BF">
        <w:rPr>
          <w:rFonts w:ascii="Arial" w:eastAsia="Arial" w:hAnsi="Arial" w:cs="Arial"/>
          <w:sz w:val="24"/>
          <w:szCs w:val="24"/>
        </w:rPr>
        <w:t xml:space="preserve">The Host Organisation will act as the employing body for all directly employed and seconded NHS staff within the Hosted Unit. As such, Hosted Unit staff will be employees of the Host Organisation and will abide by the Host Organisation’s Policies, Procedures and Guidance and will be entitled to be treated as any other employee of the Host Organisation and have the benefit of all applicable policies and procedures. </w:t>
      </w:r>
    </w:p>
    <w:p w14:paraId="5574C291" w14:textId="38EF840E" w:rsidR="00C518BF" w:rsidRDefault="00C518BF" w:rsidP="00C518BF">
      <w:pPr>
        <w:spacing w:line="257" w:lineRule="auto"/>
        <w:jc w:val="both"/>
        <w:rPr>
          <w:rFonts w:ascii="Arial" w:eastAsia="Arial" w:hAnsi="Arial" w:cs="Arial"/>
          <w:sz w:val="24"/>
          <w:szCs w:val="24"/>
        </w:rPr>
      </w:pPr>
      <w:r w:rsidRPr="00C518BF">
        <w:rPr>
          <w:rFonts w:ascii="Arial" w:eastAsia="Arial" w:hAnsi="Arial" w:cs="Arial"/>
          <w:sz w:val="24"/>
          <w:szCs w:val="24"/>
        </w:rPr>
        <w:t xml:space="preserve">The Host Organisation will, also, appoint and employ such staff as it may require </w:t>
      </w:r>
      <w:proofErr w:type="gramStart"/>
      <w:r w:rsidRPr="00C518BF">
        <w:rPr>
          <w:rFonts w:ascii="Arial" w:eastAsia="Arial" w:hAnsi="Arial" w:cs="Arial"/>
          <w:sz w:val="24"/>
          <w:szCs w:val="24"/>
        </w:rPr>
        <w:t>to meet</w:t>
      </w:r>
      <w:proofErr w:type="gramEnd"/>
      <w:r w:rsidRPr="00C518BF">
        <w:rPr>
          <w:rFonts w:ascii="Arial" w:eastAsia="Arial" w:hAnsi="Arial" w:cs="Arial"/>
          <w:sz w:val="24"/>
          <w:szCs w:val="24"/>
        </w:rPr>
        <w:t xml:space="preserve"> its obligations under th</w:t>
      </w:r>
      <w:r w:rsidR="007D61F4">
        <w:rPr>
          <w:rFonts w:ascii="Arial" w:eastAsia="Arial" w:hAnsi="Arial" w:cs="Arial"/>
          <w:sz w:val="24"/>
          <w:szCs w:val="24"/>
        </w:rPr>
        <w:t>e</w:t>
      </w:r>
      <w:r w:rsidRPr="00C518BF">
        <w:rPr>
          <w:rFonts w:ascii="Arial" w:eastAsia="Arial" w:hAnsi="Arial" w:cs="Arial"/>
          <w:sz w:val="24"/>
          <w:szCs w:val="24"/>
        </w:rPr>
        <w:t xml:space="preserve"> </w:t>
      </w:r>
      <w:r w:rsidR="007D61F4">
        <w:rPr>
          <w:rFonts w:ascii="Arial" w:eastAsia="Arial" w:hAnsi="Arial" w:cs="Arial"/>
          <w:sz w:val="24"/>
          <w:szCs w:val="24"/>
        </w:rPr>
        <w:t xml:space="preserve">Hosting </w:t>
      </w:r>
      <w:r w:rsidRPr="00C518BF">
        <w:rPr>
          <w:rFonts w:ascii="Arial" w:eastAsia="Arial" w:hAnsi="Arial" w:cs="Arial"/>
          <w:sz w:val="24"/>
          <w:szCs w:val="24"/>
        </w:rPr>
        <w:t>Agreement, to enable the smooth running of the Hosted Unit and provide all necessary corporate services and corporate management support, to include human resources</w:t>
      </w:r>
      <w:r w:rsidR="00595977">
        <w:rPr>
          <w:rFonts w:ascii="Arial" w:eastAsia="Arial" w:hAnsi="Arial" w:cs="Arial"/>
          <w:sz w:val="24"/>
          <w:szCs w:val="24"/>
        </w:rPr>
        <w:t>.</w:t>
      </w:r>
    </w:p>
    <w:p w14:paraId="33D35CEE" w14:textId="2CA1AB6A" w:rsidR="008B4682" w:rsidRDefault="008B4682" w:rsidP="008B4682">
      <w:pPr>
        <w:spacing w:line="257" w:lineRule="auto"/>
        <w:jc w:val="both"/>
        <w:rPr>
          <w:rFonts w:ascii="Arial" w:eastAsia="Arial" w:hAnsi="Arial" w:cs="Arial"/>
          <w:sz w:val="24"/>
          <w:szCs w:val="24"/>
        </w:rPr>
      </w:pPr>
      <w:r w:rsidRPr="32C86ABC">
        <w:rPr>
          <w:rFonts w:ascii="Arial" w:eastAsia="Arial" w:hAnsi="Arial" w:cs="Arial"/>
          <w:sz w:val="24"/>
          <w:szCs w:val="24"/>
        </w:rPr>
        <w:t xml:space="preserve">The </w:t>
      </w:r>
      <w:r>
        <w:rPr>
          <w:rFonts w:ascii="Arial" w:eastAsia="Arial" w:hAnsi="Arial" w:cs="Arial"/>
          <w:sz w:val="24"/>
          <w:szCs w:val="24"/>
        </w:rPr>
        <w:t>H</w:t>
      </w:r>
      <w:r w:rsidRPr="32C86ABC">
        <w:rPr>
          <w:rFonts w:ascii="Arial" w:eastAsia="Arial" w:hAnsi="Arial" w:cs="Arial"/>
          <w:sz w:val="24"/>
          <w:szCs w:val="24"/>
        </w:rPr>
        <w:t xml:space="preserve">osting </w:t>
      </w:r>
      <w:r>
        <w:rPr>
          <w:rFonts w:ascii="Arial" w:eastAsia="Arial" w:hAnsi="Arial" w:cs="Arial"/>
          <w:sz w:val="24"/>
          <w:szCs w:val="24"/>
        </w:rPr>
        <w:t>A</w:t>
      </w:r>
      <w:r w:rsidRPr="32C86ABC">
        <w:rPr>
          <w:rFonts w:ascii="Arial" w:eastAsia="Arial" w:hAnsi="Arial" w:cs="Arial"/>
          <w:sz w:val="24"/>
          <w:szCs w:val="24"/>
        </w:rPr>
        <w:t xml:space="preserve">greement, </w:t>
      </w:r>
      <w:r w:rsidR="007D61F4">
        <w:rPr>
          <w:rFonts w:ascii="Arial" w:eastAsia="Arial" w:hAnsi="Arial" w:cs="Arial"/>
          <w:sz w:val="24"/>
          <w:szCs w:val="24"/>
        </w:rPr>
        <w:t>reviewed in preparation for 2025/26</w:t>
      </w:r>
      <w:r w:rsidR="00100BC4">
        <w:rPr>
          <w:rFonts w:ascii="Arial" w:eastAsia="Arial" w:hAnsi="Arial" w:cs="Arial"/>
          <w:sz w:val="24"/>
          <w:szCs w:val="24"/>
        </w:rPr>
        <w:t xml:space="preserve"> and</w:t>
      </w:r>
      <w:r w:rsidR="007D61F4">
        <w:rPr>
          <w:rFonts w:ascii="Arial" w:eastAsia="Arial" w:hAnsi="Arial" w:cs="Arial"/>
          <w:sz w:val="24"/>
          <w:szCs w:val="24"/>
        </w:rPr>
        <w:t xml:space="preserve"> new version to take effect from 1</w:t>
      </w:r>
      <w:r w:rsidR="007D61F4" w:rsidRPr="007D61F4">
        <w:rPr>
          <w:rFonts w:ascii="Arial" w:eastAsia="Arial" w:hAnsi="Arial" w:cs="Arial"/>
          <w:sz w:val="24"/>
          <w:szCs w:val="24"/>
          <w:vertAlign w:val="superscript"/>
        </w:rPr>
        <w:t>st</w:t>
      </w:r>
      <w:r w:rsidR="007D61F4">
        <w:rPr>
          <w:rFonts w:ascii="Arial" w:eastAsia="Arial" w:hAnsi="Arial" w:cs="Arial"/>
          <w:sz w:val="24"/>
          <w:szCs w:val="24"/>
        </w:rPr>
        <w:t xml:space="preserve"> April 2025, </w:t>
      </w:r>
      <w:r w:rsidRPr="32C86ABC">
        <w:rPr>
          <w:rFonts w:ascii="Arial" w:eastAsia="Arial" w:hAnsi="Arial" w:cs="Arial"/>
          <w:sz w:val="24"/>
          <w:szCs w:val="24"/>
        </w:rPr>
        <w:t xml:space="preserve">makes provision for specific support from PHW. This paper supports the </w:t>
      </w:r>
      <w:r>
        <w:rPr>
          <w:rFonts w:ascii="Arial" w:eastAsia="Arial" w:hAnsi="Arial" w:cs="Arial"/>
          <w:sz w:val="24"/>
          <w:szCs w:val="24"/>
        </w:rPr>
        <w:t>H</w:t>
      </w:r>
      <w:r w:rsidRPr="32C86ABC">
        <w:rPr>
          <w:rFonts w:ascii="Arial" w:eastAsia="Arial" w:hAnsi="Arial" w:cs="Arial"/>
          <w:sz w:val="24"/>
          <w:szCs w:val="24"/>
        </w:rPr>
        <w:t xml:space="preserve">osting </w:t>
      </w:r>
      <w:r>
        <w:rPr>
          <w:rFonts w:ascii="Arial" w:eastAsia="Arial" w:hAnsi="Arial" w:cs="Arial"/>
          <w:sz w:val="24"/>
          <w:szCs w:val="24"/>
        </w:rPr>
        <w:t>A</w:t>
      </w:r>
      <w:r w:rsidRPr="32C86ABC">
        <w:rPr>
          <w:rFonts w:ascii="Arial" w:eastAsia="Arial" w:hAnsi="Arial" w:cs="Arial"/>
          <w:sz w:val="24"/>
          <w:szCs w:val="24"/>
        </w:rPr>
        <w:t xml:space="preserve">greement and seeks to clarify and provide more detail on what support will be provided </w:t>
      </w:r>
      <w:r>
        <w:rPr>
          <w:rFonts w:ascii="Arial" w:eastAsia="Arial" w:hAnsi="Arial" w:cs="Arial"/>
          <w:sz w:val="24"/>
          <w:szCs w:val="24"/>
        </w:rPr>
        <w:t xml:space="preserve">to the Hosted Unit </w:t>
      </w:r>
      <w:r w:rsidRPr="32C86ABC">
        <w:rPr>
          <w:rFonts w:ascii="Arial" w:eastAsia="Arial" w:hAnsi="Arial" w:cs="Arial"/>
          <w:sz w:val="24"/>
          <w:szCs w:val="24"/>
        </w:rPr>
        <w:t xml:space="preserve">by </w:t>
      </w:r>
      <w:r w:rsidR="005C2E6B">
        <w:rPr>
          <w:rFonts w:ascii="Arial" w:eastAsia="Arial" w:hAnsi="Arial" w:cs="Arial"/>
          <w:sz w:val="24"/>
          <w:szCs w:val="24"/>
        </w:rPr>
        <w:t>People &amp; OD</w:t>
      </w:r>
      <w:r w:rsidRPr="32C86ABC">
        <w:rPr>
          <w:rFonts w:ascii="Arial" w:eastAsia="Arial" w:hAnsi="Arial" w:cs="Arial"/>
          <w:sz w:val="24"/>
          <w:szCs w:val="24"/>
        </w:rPr>
        <w:t xml:space="preserve"> Division. </w:t>
      </w:r>
    </w:p>
    <w:p w14:paraId="24FFAC4D" w14:textId="5258EAEF" w:rsidR="00BB507B" w:rsidRPr="0023745E" w:rsidRDefault="008B4682" w:rsidP="0023745E">
      <w:pPr>
        <w:spacing w:line="257" w:lineRule="auto"/>
        <w:jc w:val="both"/>
      </w:pPr>
      <w:r w:rsidRPr="32C86ABC">
        <w:rPr>
          <w:rFonts w:ascii="Arial" w:eastAsia="Arial" w:hAnsi="Arial" w:cs="Arial"/>
          <w:sz w:val="24"/>
          <w:szCs w:val="24"/>
        </w:rPr>
        <w:t xml:space="preserve">The service provision </w:t>
      </w:r>
      <w:r w:rsidR="005C2E6B">
        <w:rPr>
          <w:rFonts w:ascii="Arial" w:eastAsia="Arial" w:hAnsi="Arial" w:cs="Arial"/>
          <w:sz w:val="24"/>
          <w:szCs w:val="24"/>
        </w:rPr>
        <w:t>is</w:t>
      </w:r>
      <w:r w:rsidRPr="32C86ABC">
        <w:rPr>
          <w:rFonts w:ascii="Arial" w:eastAsia="Arial" w:hAnsi="Arial" w:cs="Arial"/>
          <w:sz w:val="24"/>
          <w:szCs w:val="24"/>
        </w:rPr>
        <w:t xml:space="preserve"> detailed by area as set out below:</w:t>
      </w:r>
    </w:p>
    <w:tbl>
      <w:tblPr>
        <w:tblStyle w:val="TableGrid"/>
        <w:tblW w:w="8926" w:type="dxa"/>
        <w:tblLook w:val="04A0" w:firstRow="1" w:lastRow="0" w:firstColumn="1" w:lastColumn="0" w:noHBand="0" w:noVBand="1"/>
      </w:tblPr>
      <w:tblGrid>
        <w:gridCol w:w="1555"/>
        <w:gridCol w:w="7371"/>
      </w:tblGrid>
      <w:tr w:rsidR="00174817" w:rsidRPr="00BA23F8" w14:paraId="16A4D3CE" w14:textId="036B0ABA" w:rsidTr="00174817">
        <w:trPr>
          <w:tblHeader/>
        </w:trPr>
        <w:tc>
          <w:tcPr>
            <w:tcW w:w="1555" w:type="dxa"/>
          </w:tcPr>
          <w:p w14:paraId="7F81D5D8" w14:textId="77777777" w:rsidR="00174817" w:rsidRPr="00BA23F8" w:rsidRDefault="00174817" w:rsidP="00607EBC">
            <w:pPr>
              <w:jc w:val="both"/>
              <w:rPr>
                <w:rFonts w:ascii="Arial" w:hAnsi="Arial" w:cs="Arial"/>
              </w:rPr>
            </w:pPr>
            <w:r w:rsidRPr="00BA23F8">
              <w:rPr>
                <w:rFonts w:ascii="Arial" w:hAnsi="Arial" w:cs="Arial"/>
                <w:b/>
                <w:bCs/>
              </w:rPr>
              <w:t>Service Area</w:t>
            </w:r>
          </w:p>
        </w:tc>
        <w:tc>
          <w:tcPr>
            <w:tcW w:w="7371" w:type="dxa"/>
          </w:tcPr>
          <w:p w14:paraId="32F5B170" w14:textId="77777777" w:rsidR="00174817" w:rsidRPr="00BA23F8" w:rsidRDefault="00174817" w:rsidP="00607EBC">
            <w:pPr>
              <w:jc w:val="both"/>
              <w:rPr>
                <w:rFonts w:ascii="Arial" w:hAnsi="Arial" w:cs="Arial"/>
              </w:rPr>
            </w:pPr>
            <w:r w:rsidRPr="00BA23F8">
              <w:rPr>
                <w:rFonts w:ascii="Arial" w:hAnsi="Arial" w:cs="Arial"/>
                <w:b/>
                <w:bCs/>
              </w:rPr>
              <w:t>Detailed Provision*</w:t>
            </w:r>
          </w:p>
        </w:tc>
      </w:tr>
      <w:tr w:rsidR="00174817" w:rsidRPr="00BA23F8" w14:paraId="667F382C" w14:textId="77777777" w:rsidTr="00174817">
        <w:tc>
          <w:tcPr>
            <w:tcW w:w="1555" w:type="dxa"/>
          </w:tcPr>
          <w:p w14:paraId="646F88A9" w14:textId="51C4A7BC" w:rsidR="00174817" w:rsidRPr="00174817" w:rsidRDefault="00174817" w:rsidP="001E5C2C">
            <w:pPr>
              <w:jc w:val="both"/>
              <w:rPr>
                <w:rFonts w:ascii="Arial" w:hAnsi="Arial" w:cs="Arial"/>
              </w:rPr>
            </w:pPr>
            <w:r w:rsidRPr="00174817">
              <w:rPr>
                <w:rFonts w:ascii="Arial" w:hAnsi="Arial" w:cs="Arial"/>
              </w:rPr>
              <w:t>People &amp; OD Leadership</w:t>
            </w:r>
          </w:p>
        </w:tc>
        <w:tc>
          <w:tcPr>
            <w:tcW w:w="7371" w:type="dxa"/>
          </w:tcPr>
          <w:p w14:paraId="27602A24"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Work alongside the Senior Leadership Team of the NHS Executive in supporting our workforce to improve patient outcomes across the health system.</w:t>
            </w:r>
          </w:p>
          <w:p w14:paraId="2F3D65CC"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Overseeing People, Leadership and OD activities across the full employee lifecycle, with a focus on optimal organisation design and culture development.</w:t>
            </w:r>
          </w:p>
          <w:p w14:paraId="61770EDC"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 xml:space="preserve">Collaborating with key internal and external stakeholders to align strategic efforts. </w:t>
            </w:r>
          </w:p>
          <w:p w14:paraId="25DA9888" w14:textId="2F820044" w:rsidR="00174817" w:rsidRPr="00174817" w:rsidRDefault="00174817" w:rsidP="001E5C2C">
            <w:pPr>
              <w:pStyle w:val="ListParagraph"/>
              <w:rPr>
                <w:rFonts w:ascii="Arial" w:hAnsi="Arial" w:cs="Arial"/>
              </w:rPr>
            </w:pPr>
            <w:r w:rsidRPr="00174817">
              <w:rPr>
                <w:rFonts w:ascii="Arial" w:hAnsi="Arial" w:cs="Arial"/>
              </w:rPr>
              <w:t>Providing leadership to the People and OD Team and ensure the provision of excellent, customer focused People services working in partnership with our operational colleagues.</w:t>
            </w:r>
          </w:p>
        </w:tc>
      </w:tr>
      <w:tr w:rsidR="00174817" w:rsidRPr="00BA23F8" w14:paraId="05B16349" w14:textId="44A4106A" w:rsidTr="00174817">
        <w:tc>
          <w:tcPr>
            <w:tcW w:w="1555" w:type="dxa"/>
          </w:tcPr>
          <w:p w14:paraId="4C5E4F91" w14:textId="77777777" w:rsidR="00174817" w:rsidRPr="00BA23F8" w:rsidRDefault="00174817" w:rsidP="001E5C2C">
            <w:pPr>
              <w:jc w:val="both"/>
              <w:rPr>
                <w:rFonts w:ascii="Arial" w:hAnsi="Arial" w:cs="Arial"/>
              </w:rPr>
            </w:pPr>
            <w:r w:rsidRPr="00BA23F8">
              <w:rPr>
                <w:rFonts w:ascii="Arial" w:hAnsi="Arial" w:cs="Arial"/>
              </w:rPr>
              <w:t>Partner Support</w:t>
            </w:r>
          </w:p>
        </w:tc>
        <w:tc>
          <w:tcPr>
            <w:tcW w:w="7371" w:type="dxa"/>
          </w:tcPr>
          <w:p w14:paraId="591F3D53"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Work in partnership with senior managers and leaders within the NHS Executive to establish the necessary people plans and initiatives to support the successful delivery of services and the achievement of business objectives and targets.</w:t>
            </w:r>
          </w:p>
          <w:p w14:paraId="1E807637"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Advise and support managers in effective workforce utilisation, role re-design, restructuring and management of change.</w:t>
            </w:r>
          </w:p>
          <w:p w14:paraId="4143E662"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Assist in the development of workforce plans.</w:t>
            </w:r>
          </w:p>
          <w:p w14:paraId="64EA259A"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Identify and implement workforce modernisation opportunities that support efficient service delivery.</w:t>
            </w:r>
          </w:p>
        </w:tc>
      </w:tr>
      <w:tr w:rsidR="00174817" w:rsidRPr="00BA23F8" w14:paraId="58C35871" w14:textId="4FF0CC3E" w:rsidTr="00174817">
        <w:tc>
          <w:tcPr>
            <w:tcW w:w="1555" w:type="dxa"/>
          </w:tcPr>
          <w:p w14:paraId="013A8EF0" w14:textId="77777777" w:rsidR="00174817" w:rsidRPr="00BA23F8" w:rsidRDefault="00174817" w:rsidP="001E5C2C">
            <w:pPr>
              <w:rPr>
                <w:rFonts w:ascii="Arial" w:hAnsi="Arial" w:cs="Arial"/>
              </w:rPr>
            </w:pPr>
            <w:r w:rsidRPr="3AFDA3C3">
              <w:rPr>
                <w:rFonts w:ascii="Arial" w:hAnsi="Arial" w:cs="Arial"/>
              </w:rPr>
              <w:t>Resourcing and Retention</w:t>
            </w:r>
          </w:p>
        </w:tc>
        <w:tc>
          <w:tcPr>
            <w:tcW w:w="7371" w:type="dxa"/>
          </w:tcPr>
          <w:p w14:paraId="3E8A2F21" w14:textId="77777777" w:rsidR="00174817" w:rsidRPr="00174817" w:rsidRDefault="00174817" w:rsidP="001E5C2C">
            <w:pPr>
              <w:pStyle w:val="ListParagraph"/>
              <w:numPr>
                <w:ilvl w:val="0"/>
                <w:numId w:val="1"/>
              </w:numPr>
              <w:ind w:left="720"/>
              <w:rPr>
                <w:rFonts w:ascii="Arial" w:hAnsi="Arial" w:cs="Arial"/>
              </w:rPr>
            </w:pPr>
            <w:r w:rsidRPr="00BA23F8">
              <w:rPr>
                <w:rFonts w:ascii="Arial" w:hAnsi="Arial" w:cs="Arial"/>
              </w:rPr>
              <w:t xml:space="preserve">Workforce Planning - anticipating potential future imbalances </w:t>
            </w:r>
            <w:r w:rsidRPr="00174817">
              <w:rPr>
                <w:rFonts w:ascii="Arial" w:hAnsi="Arial" w:cs="Arial"/>
              </w:rPr>
              <w:t xml:space="preserve">between the supply and demand for different skills in time for interventions developed and action to be taken. </w:t>
            </w:r>
          </w:p>
          <w:p w14:paraId="563EE9B1" w14:textId="1806A1C4"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Advice and guidance for recruitment (including consultant/medical and dental appointments), immigration and right to work, assessment, and selection methods</w:t>
            </w:r>
          </w:p>
          <w:p w14:paraId="7C4A0CCF" w14:textId="362A4DB2"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 xml:space="preserve">Assessment material development </w:t>
            </w:r>
          </w:p>
          <w:p w14:paraId="7D42D804" w14:textId="3CD63414"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Provide recruitment and selection training</w:t>
            </w:r>
          </w:p>
          <w:p w14:paraId="65D9367B" w14:textId="3F7ADB5B"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Monitor recruitment performance measures and KPIs and address any issues identified with key stakeholders</w:t>
            </w:r>
          </w:p>
          <w:p w14:paraId="123EA6FE" w14:textId="036C954E"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 xml:space="preserve">Advice and guidance on recruiting Apprentices, </w:t>
            </w:r>
          </w:p>
          <w:p w14:paraId="5A0538E3" w14:textId="185AA176"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Guidance on the utilisation of bank workers</w:t>
            </w:r>
          </w:p>
          <w:p w14:paraId="0287EC6B" w14:textId="1A693F81"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 xml:space="preserve">Guidance and support to develop effective Job Descriptions </w:t>
            </w:r>
          </w:p>
          <w:p w14:paraId="3385714E"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 xml:space="preserve">PHW will manage the Job Evaluation process. </w:t>
            </w:r>
          </w:p>
          <w:p w14:paraId="21588C2A"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LinkedIn candidate search for hard to fill roles.</w:t>
            </w:r>
          </w:p>
          <w:p w14:paraId="5D05F508" w14:textId="77777777" w:rsidR="00174817" w:rsidRPr="00174817" w:rsidRDefault="00174817" w:rsidP="001E5C2C">
            <w:pPr>
              <w:pStyle w:val="ListParagraph"/>
              <w:numPr>
                <w:ilvl w:val="0"/>
                <w:numId w:val="1"/>
              </w:numPr>
              <w:ind w:left="720"/>
              <w:rPr>
                <w:rFonts w:ascii="Arial" w:hAnsi="Arial" w:cs="Arial"/>
              </w:rPr>
            </w:pPr>
            <w:r w:rsidRPr="00174817">
              <w:rPr>
                <w:rFonts w:ascii="Arial" w:hAnsi="Arial" w:cs="Arial"/>
              </w:rPr>
              <w:t>Support for Executive recruitment</w:t>
            </w:r>
          </w:p>
          <w:p w14:paraId="42B9461B" w14:textId="1FC5C28E" w:rsidR="00174817" w:rsidRPr="002B4220" w:rsidRDefault="00174817" w:rsidP="001E5C2C">
            <w:pPr>
              <w:pStyle w:val="ListParagraph"/>
              <w:numPr>
                <w:ilvl w:val="0"/>
                <w:numId w:val="1"/>
              </w:numPr>
              <w:ind w:left="720"/>
              <w:rPr>
                <w:rFonts w:ascii="Arial" w:hAnsi="Arial" w:cs="Arial"/>
                <w:b/>
                <w:bCs/>
              </w:rPr>
            </w:pPr>
            <w:r w:rsidRPr="00174817">
              <w:rPr>
                <w:rFonts w:ascii="Arial" w:hAnsi="Arial" w:cs="Arial"/>
                <w:b/>
                <w:bCs/>
              </w:rPr>
              <w:t xml:space="preserve">NB – Hosted Unit to initiate their own Recruitment Approval and Workforce Governance process. </w:t>
            </w:r>
          </w:p>
        </w:tc>
      </w:tr>
      <w:tr w:rsidR="00174817" w:rsidRPr="00BA23F8" w14:paraId="5134263F" w14:textId="2650B45C" w:rsidTr="00174817">
        <w:tc>
          <w:tcPr>
            <w:tcW w:w="1555" w:type="dxa"/>
          </w:tcPr>
          <w:p w14:paraId="5924D0B3" w14:textId="77777777" w:rsidR="00174817" w:rsidRPr="00BA23F8" w:rsidRDefault="00174817" w:rsidP="001E5C2C">
            <w:pPr>
              <w:rPr>
                <w:rFonts w:ascii="Arial" w:hAnsi="Arial" w:cs="Arial"/>
              </w:rPr>
            </w:pPr>
            <w:r w:rsidRPr="00BA23F8">
              <w:rPr>
                <w:rFonts w:ascii="Arial" w:hAnsi="Arial" w:cs="Arial"/>
              </w:rPr>
              <w:t>Advisory Support</w:t>
            </w:r>
          </w:p>
        </w:tc>
        <w:tc>
          <w:tcPr>
            <w:tcW w:w="7371" w:type="dxa"/>
          </w:tcPr>
          <w:p w14:paraId="74674136"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Advice and support to all NHS Executive staff in relation to matters related to their contracts and terms and conditions – this can be accessed via the Intranet pages or through People Support.</w:t>
            </w:r>
          </w:p>
          <w:p w14:paraId="383D9AD2"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Developing and updating workforce policies</w:t>
            </w:r>
          </w:p>
          <w:p w14:paraId="2E693AD7"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Providing advice and guidance to Line Managers in the application of policies </w:t>
            </w:r>
          </w:p>
          <w:p w14:paraId="160307B3"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Case management support for long term sickness absence, disciplinaries, grievances and performance management</w:t>
            </w:r>
          </w:p>
          <w:p w14:paraId="0D4B1D58"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Support to manage fixed term contracts. </w:t>
            </w:r>
          </w:p>
          <w:p w14:paraId="15B17F1B"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PHW will seek legal advice where required.</w:t>
            </w:r>
          </w:p>
          <w:p w14:paraId="5565E2E2"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Access to PHW facilitation network in line with the Respect and Resolution policy</w:t>
            </w:r>
          </w:p>
          <w:p w14:paraId="40BDDB28"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Contribute to the identification of issues from analysis of key workforce data/ indicators and recommend remedial action/ solutions at a team and individual level.</w:t>
            </w:r>
          </w:p>
          <w:p w14:paraId="4E8D6C51"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Interpretation and advice on key medical workforce issues.</w:t>
            </w:r>
          </w:p>
          <w:p w14:paraId="228130A6" w14:textId="4F024682"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POD are looking to develop SLAs (Service Level Agreements) in relation to their service delivery across PHW – once agreed these will also be shared with the NHS Executive</w:t>
            </w:r>
            <w:r>
              <w:rPr>
                <w:rFonts w:ascii="Arial" w:hAnsi="Arial" w:cs="Arial"/>
              </w:rPr>
              <w:t>)</w:t>
            </w:r>
          </w:p>
        </w:tc>
      </w:tr>
      <w:tr w:rsidR="00174817" w:rsidRPr="00BA23F8" w14:paraId="55DD806D" w14:textId="24D8E178" w:rsidTr="00174817">
        <w:tc>
          <w:tcPr>
            <w:tcW w:w="1555" w:type="dxa"/>
          </w:tcPr>
          <w:p w14:paraId="58AC25D6" w14:textId="77777777" w:rsidR="00174817" w:rsidRPr="00BA23F8" w:rsidRDefault="00174817" w:rsidP="001E5C2C">
            <w:pPr>
              <w:rPr>
                <w:rFonts w:ascii="Arial" w:hAnsi="Arial" w:cs="Arial"/>
              </w:rPr>
            </w:pPr>
            <w:r w:rsidRPr="00BA23F8">
              <w:rPr>
                <w:rFonts w:ascii="Arial" w:hAnsi="Arial" w:cs="Arial"/>
              </w:rPr>
              <w:t>Learning &amp; Development</w:t>
            </w:r>
          </w:p>
        </w:tc>
        <w:tc>
          <w:tcPr>
            <w:tcW w:w="7371" w:type="dxa"/>
          </w:tcPr>
          <w:p w14:paraId="5F34729C" w14:textId="19D1BFDD"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Onboarding and induction </w:t>
            </w:r>
            <w:r>
              <w:rPr>
                <w:rFonts w:ascii="Arial" w:hAnsi="Arial" w:cs="Arial"/>
              </w:rPr>
              <w:t xml:space="preserve">- </w:t>
            </w:r>
            <w:r w:rsidRPr="009A4001">
              <w:rPr>
                <w:rFonts w:ascii="Arial" w:hAnsi="Arial" w:cs="Arial"/>
                <w:b/>
                <w:bCs/>
              </w:rPr>
              <w:t xml:space="preserve">NB </w:t>
            </w:r>
            <w:r>
              <w:rPr>
                <w:rFonts w:ascii="Arial" w:hAnsi="Arial" w:cs="Arial"/>
                <w:b/>
                <w:bCs/>
              </w:rPr>
              <w:t>NHS Executive has its</w:t>
            </w:r>
            <w:r w:rsidRPr="009A4001">
              <w:rPr>
                <w:rFonts w:ascii="Arial" w:hAnsi="Arial" w:cs="Arial"/>
                <w:b/>
                <w:bCs/>
              </w:rPr>
              <w:t xml:space="preserve"> own induction and onboarding</w:t>
            </w:r>
            <w:r>
              <w:rPr>
                <w:rFonts w:ascii="Arial" w:hAnsi="Arial" w:cs="Arial"/>
                <w:b/>
                <w:bCs/>
              </w:rPr>
              <w:t xml:space="preserve"> process in place</w:t>
            </w:r>
            <w:r w:rsidRPr="009A4001">
              <w:rPr>
                <w:rFonts w:ascii="Arial" w:hAnsi="Arial" w:cs="Arial"/>
                <w:b/>
                <w:bCs/>
              </w:rPr>
              <w:t>, building on PHW approach</w:t>
            </w:r>
          </w:p>
          <w:p w14:paraId="7A1DABC7"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Statutory and mandatory training compliance reporting</w:t>
            </w:r>
          </w:p>
          <w:p w14:paraId="5F53DAB7"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My Contribution (appraisal/performance management) compliance reporting</w:t>
            </w:r>
          </w:p>
          <w:p w14:paraId="2EFA8E33"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In-house L&amp;D provision including </w:t>
            </w:r>
          </w:p>
          <w:p w14:paraId="5D2E0DB2"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Management and Leadership</w:t>
            </w:r>
          </w:p>
          <w:p w14:paraId="4AD05754" w14:textId="792C08D4" w:rsidR="00174817" w:rsidRPr="00BA23F8" w:rsidRDefault="00174817" w:rsidP="001E5C2C">
            <w:pPr>
              <w:pStyle w:val="ListParagraph"/>
              <w:numPr>
                <w:ilvl w:val="1"/>
                <w:numId w:val="1"/>
              </w:numPr>
              <w:rPr>
                <w:rFonts w:ascii="Arial" w:hAnsi="Arial" w:cs="Arial"/>
              </w:rPr>
            </w:pPr>
            <w:r w:rsidRPr="00BA23F8">
              <w:rPr>
                <w:rFonts w:ascii="Arial" w:hAnsi="Arial" w:cs="Arial"/>
              </w:rPr>
              <w:t xml:space="preserve">New Managers Induction </w:t>
            </w:r>
            <w:r>
              <w:rPr>
                <w:rFonts w:ascii="Arial" w:hAnsi="Arial" w:cs="Arial"/>
              </w:rPr>
              <w:t xml:space="preserve">– NHS Exec will review to include its </w:t>
            </w:r>
            <w:r w:rsidRPr="00903DBD">
              <w:rPr>
                <w:rFonts w:ascii="Arial" w:hAnsi="Arial" w:cs="Arial"/>
              </w:rPr>
              <w:t>behavioural framework/culture/ people promise</w:t>
            </w:r>
            <w:r>
              <w:rPr>
                <w:rFonts w:ascii="Arial" w:hAnsi="Arial" w:cs="Arial"/>
              </w:rPr>
              <w:t xml:space="preserve"> when they have been developed</w:t>
            </w:r>
          </w:p>
          <w:p w14:paraId="35B32069" w14:textId="10C91C42" w:rsidR="00174817" w:rsidRPr="00BA23F8" w:rsidRDefault="00174817" w:rsidP="001E5C2C">
            <w:pPr>
              <w:pStyle w:val="ListParagraph"/>
              <w:numPr>
                <w:ilvl w:val="1"/>
                <w:numId w:val="1"/>
              </w:numPr>
              <w:rPr>
                <w:rFonts w:ascii="Arial" w:hAnsi="Arial" w:cs="Arial"/>
              </w:rPr>
            </w:pPr>
            <w:r w:rsidRPr="00BA23F8">
              <w:rPr>
                <w:rFonts w:ascii="Arial" w:hAnsi="Arial" w:cs="Arial"/>
              </w:rPr>
              <w:t xml:space="preserve">Management and Leadership Academy Pilot </w:t>
            </w:r>
            <w:r>
              <w:rPr>
                <w:rFonts w:ascii="Arial" w:hAnsi="Arial" w:cs="Arial"/>
              </w:rPr>
              <w:t xml:space="preserve">– </w:t>
            </w:r>
            <w:r w:rsidRPr="00A32978">
              <w:rPr>
                <w:rFonts w:ascii="Arial" w:hAnsi="Arial" w:cs="Arial"/>
                <w:b/>
                <w:bCs/>
              </w:rPr>
              <w:t xml:space="preserve">NB </w:t>
            </w:r>
            <w:r>
              <w:rPr>
                <w:rFonts w:ascii="Arial" w:hAnsi="Arial" w:cs="Arial"/>
                <w:b/>
                <w:bCs/>
              </w:rPr>
              <w:t>–</w:t>
            </w:r>
            <w:r>
              <w:rPr>
                <w:rFonts w:ascii="Arial" w:hAnsi="Arial" w:cs="Arial"/>
              </w:rPr>
              <w:t xml:space="preserve"> </w:t>
            </w:r>
            <w:r w:rsidRPr="00EC1209">
              <w:rPr>
                <w:rFonts w:ascii="Arial" w:hAnsi="Arial" w:cs="Arial"/>
                <w:b/>
                <w:bCs/>
              </w:rPr>
              <w:t>NHS</w:t>
            </w:r>
            <w:r>
              <w:rPr>
                <w:rFonts w:ascii="Arial" w:hAnsi="Arial" w:cs="Arial"/>
                <w:b/>
                <w:bCs/>
              </w:rPr>
              <w:t xml:space="preserve"> Exec</w:t>
            </w:r>
            <w:r w:rsidRPr="00EC1209">
              <w:rPr>
                <w:rFonts w:ascii="Arial" w:hAnsi="Arial" w:cs="Arial"/>
                <w:b/>
                <w:bCs/>
              </w:rPr>
              <w:t xml:space="preserve"> will need to review to understand impact for NHS</w:t>
            </w:r>
            <w:r>
              <w:rPr>
                <w:rFonts w:ascii="Arial" w:hAnsi="Arial" w:cs="Arial"/>
                <w:b/>
                <w:bCs/>
              </w:rPr>
              <w:t xml:space="preserve"> Exec</w:t>
            </w:r>
            <w:r w:rsidRPr="00EC1209">
              <w:rPr>
                <w:rFonts w:ascii="Arial" w:hAnsi="Arial" w:cs="Arial"/>
                <w:b/>
                <w:bCs/>
              </w:rPr>
              <w:t xml:space="preserve"> managers</w:t>
            </w:r>
          </w:p>
          <w:p w14:paraId="79F9E199" w14:textId="77777777" w:rsidR="00174817" w:rsidRPr="00BA23F8" w:rsidRDefault="00174817" w:rsidP="001E5C2C">
            <w:pPr>
              <w:pStyle w:val="ListParagraph"/>
              <w:numPr>
                <w:ilvl w:val="1"/>
                <w:numId w:val="1"/>
              </w:numPr>
              <w:rPr>
                <w:rFonts w:ascii="Arial" w:hAnsi="Arial" w:cs="Arial"/>
              </w:rPr>
            </w:pPr>
            <w:r w:rsidRPr="00BA23F8">
              <w:rPr>
                <w:rFonts w:ascii="Arial" w:hAnsi="Arial" w:cs="Arial"/>
              </w:rPr>
              <w:t>Wellbeing workshops</w:t>
            </w:r>
          </w:p>
          <w:p w14:paraId="0250955C"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Personal Skills Programme </w:t>
            </w:r>
          </w:p>
          <w:p w14:paraId="687E97C0" w14:textId="77777777" w:rsidR="00174817" w:rsidRPr="00BA23F8" w:rsidRDefault="00174817" w:rsidP="001E5C2C">
            <w:pPr>
              <w:pStyle w:val="ListParagraph"/>
              <w:numPr>
                <w:ilvl w:val="0"/>
                <w:numId w:val="1"/>
              </w:numPr>
              <w:ind w:left="720"/>
              <w:rPr>
                <w:rFonts w:ascii="Arial" w:hAnsi="Arial" w:cs="Arial"/>
              </w:rPr>
            </w:pPr>
            <w:r w:rsidRPr="00BA23F8">
              <w:rPr>
                <w:rFonts w:ascii="Arial" w:hAnsi="Arial" w:cs="Arial"/>
              </w:rPr>
              <w:t xml:space="preserve">Colleague development via apprenticeships </w:t>
            </w:r>
          </w:p>
          <w:p w14:paraId="09ACAD7C" w14:textId="6ABA7AB2" w:rsidR="00174817" w:rsidRPr="00174817" w:rsidRDefault="00174817" w:rsidP="001E5C2C">
            <w:pPr>
              <w:pStyle w:val="ListParagraph"/>
              <w:numPr>
                <w:ilvl w:val="0"/>
                <w:numId w:val="1"/>
              </w:numPr>
              <w:ind w:left="720"/>
              <w:rPr>
                <w:rFonts w:ascii="Arial" w:hAnsi="Arial" w:cs="Arial"/>
              </w:rPr>
            </w:pPr>
            <w:r w:rsidRPr="783CADC9">
              <w:rPr>
                <w:rFonts w:ascii="Arial" w:hAnsi="Arial" w:cs="Arial"/>
              </w:rPr>
              <w:t>High-</w:t>
            </w:r>
            <w:r w:rsidRPr="00174817">
              <w:rPr>
                <w:rFonts w:ascii="Arial" w:hAnsi="Arial" w:cs="Arial"/>
              </w:rPr>
              <w:t xml:space="preserve">Cost Training Funding </w:t>
            </w:r>
          </w:p>
          <w:p w14:paraId="5B909CD5" w14:textId="54A55B0C" w:rsidR="00174817" w:rsidRPr="008D2F69" w:rsidRDefault="00174817" w:rsidP="001E5C2C">
            <w:pPr>
              <w:pStyle w:val="ListParagraph"/>
              <w:numPr>
                <w:ilvl w:val="0"/>
                <w:numId w:val="1"/>
              </w:numPr>
              <w:ind w:left="720"/>
              <w:rPr>
                <w:rFonts w:ascii="Arial" w:hAnsi="Arial" w:cs="Arial"/>
              </w:rPr>
            </w:pPr>
            <w:r w:rsidRPr="00174817">
              <w:rPr>
                <w:rFonts w:ascii="Arial" w:hAnsi="Arial" w:cs="Arial"/>
              </w:rPr>
              <w:t>Apprenticeship qualifications for existing staff</w:t>
            </w:r>
          </w:p>
        </w:tc>
      </w:tr>
      <w:tr w:rsidR="00174817" w:rsidRPr="00BA23F8" w14:paraId="129FCADC" w14:textId="2246CF3B" w:rsidTr="00174817">
        <w:tc>
          <w:tcPr>
            <w:tcW w:w="1555" w:type="dxa"/>
          </w:tcPr>
          <w:p w14:paraId="2D94C8C4" w14:textId="77777777" w:rsidR="00174817" w:rsidRPr="00BA23F8" w:rsidRDefault="00174817" w:rsidP="001E5C2C">
            <w:pPr>
              <w:rPr>
                <w:rFonts w:ascii="Arial" w:hAnsi="Arial" w:cs="Arial"/>
              </w:rPr>
            </w:pPr>
            <w:r w:rsidRPr="4A9294B1">
              <w:rPr>
                <w:rFonts w:ascii="Arial" w:hAnsi="Arial" w:cs="Arial"/>
              </w:rPr>
              <w:t>OD</w:t>
            </w:r>
          </w:p>
        </w:tc>
        <w:tc>
          <w:tcPr>
            <w:tcW w:w="7371" w:type="dxa"/>
          </w:tcPr>
          <w:p w14:paraId="30247544" w14:textId="11FE4068" w:rsidR="00174817" w:rsidRPr="00BA23F8" w:rsidRDefault="00174817" w:rsidP="001E5C2C">
            <w:pPr>
              <w:pStyle w:val="ListParagraph"/>
              <w:numPr>
                <w:ilvl w:val="0"/>
                <w:numId w:val="1"/>
              </w:numPr>
              <w:ind w:left="720"/>
              <w:rPr>
                <w:rFonts w:ascii="Arial" w:hAnsi="Arial" w:cs="Arial"/>
              </w:rPr>
            </w:pPr>
            <w:r w:rsidRPr="3FCDC440">
              <w:rPr>
                <w:rFonts w:ascii="Arial" w:hAnsi="Arial" w:cs="Arial"/>
              </w:rPr>
              <w:t xml:space="preserve">Whilst </w:t>
            </w:r>
            <w:r>
              <w:rPr>
                <w:rFonts w:ascii="Arial" w:hAnsi="Arial" w:cs="Arial"/>
              </w:rPr>
              <w:t>the Hosted Unit</w:t>
            </w:r>
            <w:r w:rsidRPr="3FCDC440">
              <w:rPr>
                <w:rFonts w:ascii="Arial" w:hAnsi="Arial" w:cs="Arial"/>
              </w:rPr>
              <w:t xml:space="preserve"> will also have a high</w:t>
            </w:r>
            <w:r>
              <w:rPr>
                <w:rFonts w:ascii="Arial" w:hAnsi="Arial" w:cs="Arial"/>
              </w:rPr>
              <w:t>-</w:t>
            </w:r>
            <w:r w:rsidRPr="3FCDC440">
              <w:rPr>
                <w:rFonts w:ascii="Arial" w:hAnsi="Arial" w:cs="Arial"/>
              </w:rPr>
              <w:t>level OD programme, expectations are that business as usual will be accessed through PHW POD</w:t>
            </w:r>
          </w:p>
          <w:p w14:paraId="3FE6C1A6" w14:textId="67F0DAD8" w:rsidR="00174817" w:rsidRPr="00E55536" w:rsidRDefault="00174817" w:rsidP="001E5C2C">
            <w:pPr>
              <w:rPr>
                <w:rFonts w:ascii="Arial" w:hAnsi="Arial" w:cs="Arial"/>
              </w:rPr>
            </w:pPr>
          </w:p>
        </w:tc>
      </w:tr>
      <w:tr w:rsidR="00174817" w:rsidRPr="00BA23F8" w14:paraId="3BF8719A" w14:textId="572A91C5" w:rsidTr="00174817">
        <w:tc>
          <w:tcPr>
            <w:tcW w:w="1555" w:type="dxa"/>
          </w:tcPr>
          <w:p w14:paraId="17360D53" w14:textId="77777777" w:rsidR="00174817" w:rsidRPr="4A9294B1" w:rsidRDefault="00174817" w:rsidP="001E5C2C">
            <w:pPr>
              <w:rPr>
                <w:rFonts w:ascii="Arial" w:hAnsi="Arial" w:cs="Arial"/>
              </w:rPr>
            </w:pPr>
            <w:r w:rsidRPr="008D2F69">
              <w:rPr>
                <w:rFonts w:ascii="Arial" w:hAnsi="Arial" w:cs="Arial"/>
              </w:rPr>
              <w:t>Workforce Systems Support</w:t>
            </w:r>
          </w:p>
        </w:tc>
        <w:tc>
          <w:tcPr>
            <w:tcW w:w="7371" w:type="dxa"/>
          </w:tcPr>
          <w:p w14:paraId="0FA9F3DC"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Provision of workforce information; analytics and insights for leaders on key people metrics to inform planning, decision-making and team management.</w:t>
            </w:r>
          </w:p>
          <w:p w14:paraId="4C507E99" w14:textId="4160D6B9" w:rsidR="00174817" w:rsidRPr="00174817" w:rsidRDefault="00174817" w:rsidP="001E5C2C">
            <w:pPr>
              <w:pStyle w:val="ListParagraph"/>
              <w:numPr>
                <w:ilvl w:val="0"/>
                <w:numId w:val="1"/>
              </w:numPr>
              <w:ind w:left="720"/>
              <w:rPr>
                <w:rFonts w:ascii="Arial" w:hAnsi="Arial" w:cs="Arial"/>
              </w:rPr>
            </w:pPr>
            <w:r w:rsidRPr="001344AE">
              <w:rPr>
                <w:rFonts w:ascii="Arial" w:hAnsi="Arial" w:cs="Arial"/>
              </w:rPr>
              <w:t xml:space="preserve">ESR (Electronic Staff </w:t>
            </w:r>
            <w:r w:rsidRPr="00174817">
              <w:rPr>
                <w:rFonts w:ascii="Arial" w:hAnsi="Arial" w:cs="Arial"/>
              </w:rPr>
              <w:t xml:space="preserve">Record) Education, Training and Administration support. - </w:t>
            </w:r>
            <w:r w:rsidRPr="00174817">
              <w:rPr>
                <w:rFonts w:ascii="Arial" w:hAnsi="Arial" w:cs="Arial"/>
                <w:i/>
                <w:iCs/>
              </w:rPr>
              <w:t xml:space="preserve">NB. </w:t>
            </w:r>
            <w:r w:rsidRPr="00174817">
              <w:rPr>
                <w:rFonts w:ascii="Arial" w:hAnsi="Arial" w:cs="Arial"/>
                <w:i/>
                <w:iCs/>
                <w:u w:val="single"/>
              </w:rPr>
              <w:t>ESR NHS wide replacement underway and will require specific and ongoing work during the next 2-3 years for input and roll out.</w:t>
            </w:r>
          </w:p>
          <w:p w14:paraId="5478DE63" w14:textId="77777777" w:rsidR="00174817" w:rsidRPr="00503EC4" w:rsidRDefault="00174817" w:rsidP="001E5C2C">
            <w:pPr>
              <w:pStyle w:val="ListParagraph"/>
              <w:numPr>
                <w:ilvl w:val="0"/>
                <w:numId w:val="1"/>
              </w:numPr>
              <w:ind w:left="720"/>
              <w:rPr>
                <w:rFonts w:ascii="Arial" w:hAnsi="Arial" w:cs="Arial"/>
              </w:rPr>
            </w:pPr>
            <w:r w:rsidRPr="00174817">
              <w:rPr>
                <w:rFonts w:ascii="Arial" w:hAnsi="Arial" w:cs="Arial"/>
              </w:rPr>
              <w:t>Advice and support with Workforce System-related queries.</w:t>
            </w:r>
          </w:p>
        </w:tc>
      </w:tr>
      <w:tr w:rsidR="00174817" w:rsidRPr="00BA23F8" w14:paraId="42DD91F9" w14:textId="5FED492D" w:rsidTr="00174817">
        <w:tc>
          <w:tcPr>
            <w:tcW w:w="1555" w:type="dxa"/>
          </w:tcPr>
          <w:p w14:paraId="452B0187" w14:textId="77777777" w:rsidR="00174817" w:rsidRPr="008D2F69" w:rsidRDefault="00174817" w:rsidP="001E5C2C">
            <w:pPr>
              <w:rPr>
                <w:rFonts w:ascii="Arial" w:hAnsi="Arial" w:cs="Arial"/>
              </w:rPr>
            </w:pPr>
            <w:r w:rsidRPr="008D2F69">
              <w:rPr>
                <w:rFonts w:ascii="Arial" w:hAnsi="Arial" w:cs="Arial"/>
              </w:rPr>
              <w:t>Welsh Language Support</w:t>
            </w:r>
          </w:p>
        </w:tc>
        <w:tc>
          <w:tcPr>
            <w:tcW w:w="7371" w:type="dxa"/>
          </w:tcPr>
          <w:p w14:paraId="1DE6770E" w14:textId="3D7CFBE5" w:rsidR="00174817" w:rsidRPr="008D2F69" w:rsidRDefault="00174817" w:rsidP="001E5C2C">
            <w:pPr>
              <w:pStyle w:val="ListParagraph"/>
              <w:numPr>
                <w:ilvl w:val="0"/>
                <w:numId w:val="1"/>
              </w:numPr>
              <w:ind w:left="720"/>
              <w:rPr>
                <w:rFonts w:ascii="Arial" w:hAnsi="Arial" w:cs="Arial"/>
              </w:rPr>
            </w:pPr>
            <w:r w:rsidRPr="7CC58F2A">
              <w:rPr>
                <w:rFonts w:ascii="Arial" w:hAnsi="Arial" w:cs="Arial"/>
              </w:rPr>
              <w:t xml:space="preserve">Enable access to e translation services through SLA (Service Level Agreement) with NWSSP (NHS Wales Shared Services Partnership) and external Welsh translation providers    </w:t>
            </w:r>
          </w:p>
          <w:p w14:paraId="2D7213DA"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Provide advice and support on Welsh Language complaints and investigations.</w:t>
            </w:r>
          </w:p>
          <w:p w14:paraId="0C705BC7"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Give advice on the Welsh Language Standards, and other Welsh language statutory obligations, and how to comply with them.</w:t>
            </w:r>
          </w:p>
          <w:p w14:paraId="4D7DA301"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Provide guidance and templates to support compliance with the standards.</w:t>
            </w:r>
          </w:p>
          <w:p w14:paraId="67E342AA"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Provide training opportunities for individuals and teams.</w:t>
            </w:r>
          </w:p>
          <w:p w14:paraId="3219E63C" w14:textId="1ACD1D10" w:rsidR="00174817" w:rsidRPr="00503EC4" w:rsidRDefault="00174817" w:rsidP="001E5C2C">
            <w:pPr>
              <w:pStyle w:val="ListParagraph"/>
              <w:numPr>
                <w:ilvl w:val="0"/>
                <w:numId w:val="1"/>
              </w:numPr>
              <w:ind w:left="720"/>
              <w:rPr>
                <w:rFonts w:ascii="Arial" w:hAnsi="Arial" w:cs="Arial"/>
              </w:rPr>
            </w:pPr>
            <w:r w:rsidRPr="7CC58F2A">
              <w:rPr>
                <w:rFonts w:ascii="Arial" w:hAnsi="Arial" w:cs="Arial"/>
              </w:rPr>
              <w:t>Support Welsh learners to improve and develop their Cymraeg.</w:t>
            </w:r>
          </w:p>
          <w:p w14:paraId="148163C7" w14:textId="2B4237A2" w:rsidR="00174817" w:rsidRPr="00503EC4" w:rsidRDefault="00174817" w:rsidP="001E5C2C">
            <w:pPr>
              <w:pStyle w:val="ListParagraph"/>
              <w:numPr>
                <w:ilvl w:val="0"/>
                <w:numId w:val="1"/>
              </w:numPr>
              <w:ind w:left="720"/>
              <w:rPr>
                <w:rFonts w:ascii="Arial" w:hAnsi="Arial" w:cs="Arial"/>
              </w:rPr>
            </w:pPr>
            <w:r w:rsidRPr="00174817">
              <w:rPr>
                <w:rFonts w:ascii="Arial" w:hAnsi="Arial" w:cs="Arial"/>
              </w:rPr>
              <w:t xml:space="preserve">Welsh Language reports – integrated as part of PHW reporting.  </w:t>
            </w:r>
          </w:p>
        </w:tc>
      </w:tr>
      <w:tr w:rsidR="00174817" w:rsidRPr="00BA23F8" w14:paraId="47FB19E8" w14:textId="5F0313B9" w:rsidTr="00174817">
        <w:tc>
          <w:tcPr>
            <w:tcW w:w="1555" w:type="dxa"/>
          </w:tcPr>
          <w:p w14:paraId="4935DEA4" w14:textId="77777777" w:rsidR="00174817" w:rsidRPr="008D2F69" w:rsidRDefault="00174817" w:rsidP="001E5C2C">
            <w:pPr>
              <w:rPr>
                <w:rFonts w:ascii="Arial" w:hAnsi="Arial" w:cs="Arial"/>
              </w:rPr>
            </w:pPr>
            <w:r w:rsidRPr="008D2F69">
              <w:rPr>
                <w:rFonts w:ascii="Arial" w:hAnsi="Arial" w:cs="Arial"/>
              </w:rPr>
              <w:t>Wellbeing and Engagement</w:t>
            </w:r>
          </w:p>
        </w:tc>
        <w:tc>
          <w:tcPr>
            <w:tcW w:w="7371" w:type="dxa"/>
          </w:tcPr>
          <w:p w14:paraId="32AB039C"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 xml:space="preserve">Wellbeing support through PHW EAP (Employee Assistance Programme) providers </w:t>
            </w:r>
            <w:proofErr w:type="spellStart"/>
            <w:r w:rsidRPr="008D2F69">
              <w:rPr>
                <w:rFonts w:ascii="Arial" w:hAnsi="Arial" w:cs="Arial"/>
              </w:rPr>
              <w:t>Vivup</w:t>
            </w:r>
            <w:proofErr w:type="spellEnd"/>
            <w:r w:rsidRPr="008D2F69">
              <w:rPr>
                <w:rFonts w:ascii="Arial" w:hAnsi="Arial" w:cs="Arial"/>
              </w:rPr>
              <w:t>, Wellbeing Workshops, Occupational Health Services, and other forms of support as detailed on PHW Wellbeing pages of the Intranet</w:t>
            </w:r>
          </w:p>
          <w:p w14:paraId="65B63CD4"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 xml:space="preserve">Co-ordinate and support the roll out of the NHS Wales Staff Survey, plus any other additional surveys such as internal Wellbeing Surveys  </w:t>
            </w:r>
          </w:p>
          <w:p w14:paraId="1B4883F5"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Access to advice and resources to support agile working – ‘Work How it Works Best’ (WHIWB)</w:t>
            </w:r>
          </w:p>
        </w:tc>
      </w:tr>
      <w:tr w:rsidR="00174817" w:rsidRPr="00BA23F8" w14:paraId="5E69FF49" w14:textId="3074340C" w:rsidTr="00174817">
        <w:tc>
          <w:tcPr>
            <w:tcW w:w="1555" w:type="dxa"/>
          </w:tcPr>
          <w:p w14:paraId="071DB333" w14:textId="77777777" w:rsidR="00174817" w:rsidRPr="008D2F69" w:rsidRDefault="00174817" w:rsidP="001E5C2C">
            <w:pPr>
              <w:rPr>
                <w:rFonts w:ascii="Arial" w:hAnsi="Arial" w:cs="Arial"/>
              </w:rPr>
            </w:pPr>
            <w:r w:rsidRPr="008D2F69">
              <w:rPr>
                <w:rFonts w:ascii="Arial" w:hAnsi="Arial" w:cs="Arial"/>
              </w:rPr>
              <w:t>Equality, Diversity &amp; inclusion</w:t>
            </w:r>
          </w:p>
        </w:tc>
        <w:tc>
          <w:tcPr>
            <w:tcW w:w="7371" w:type="dxa"/>
          </w:tcPr>
          <w:p w14:paraId="19705DCF"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Provide support to embody inclusivity in all aspects of the NHS Executive work including providing resources to support the NHS Executive with:</w:t>
            </w:r>
          </w:p>
          <w:p w14:paraId="06CB7D1C" w14:textId="77777777" w:rsidR="00174817" w:rsidRPr="008D2F69" w:rsidRDefault="00174817" w:rsidP="001E5C2C">
            <w:pPr>
              <w:pStyle w:val="ListParagraph"/>
              <w:numPr>
                <w:ilvl w:val="1"/>
                <w:numId w:val="1"/>
              </w:numPr>
              <w:rPr>
                <w:rFonts w:ascii="Arial" w:hAnsi="Arial" w:cs="Arial"/>
              </w:rPr>
            </w:pPr>
            <w:r w:rsidRPr="008D2F69">
              <w:rPr>
                <w:rFonts w:ascii="Arial" w:hAnsi="Arial" w:cs="Arial"/>
              </w:rPr>
              <w:t>Relevant staff policies</w:t>
            </w:r>
          </w:p>
          <w:p w14:paraId="478B4369" w14:textId="77777777" w:rsidR="00174817" w:rsidRPr="008D2F69" w:rsidRDefault="00174817" w:rsidP="001E5C2C">
            <w:pPr>
              <w:pStyle w:val="ListParagraph"/>
              <w:numPr>
                <w:ilvl w:val="1"/>
                <w:numId w:val="1"/>
              </w:numPr>
              <w:rPr>
                <w:rFonts w:ascii="Arial" w:hAnsi="Arial" w:cs="Arial"/>
              </w:rPr>
            </w:pPr>
            <w:r w:rsidRPr="008D2F69">
              <w:rPr>
                <w:rFonts w:ascii="Arial" w:hAnsi="Arial" w:cs="Arial"/>
              </w:rPr>
              <w:t>Staff diversity networks</w:t>
            </w:r>
          </w:p>
          <w:p w14:paraId="44A5DB60" w14:textId="77777777" w:rsidR="00174817" w:rsidRPr="008D2F69" w:rsidRDefault="00174817" w:rsidP="001E5C2C">
            <w:pPr>
              <w:pStyle w:val="ListParagraph"/>
              <w:numPr>
                <w:ilvl w:val="1"/>
                <w:numId w:val="1"/>
              </w:numPr>
              <w:rPr>
                <w:rFonts w:ascii="Arial" w:hAnsi="Arial" w:cs="Arial"/>
              </w:rPr>
            </w:pPr>
            <w:r w:rsidRPr="008D2F69">
              <w:rPr>
                <w:rFonts w:ascii="Arial" w:hAnsi="Arial" w:cs="Arial"/>
              </w:rPr>
              <w:t>Online training modules to empower staff.</w:t>
            </w:r>
          </w:p>
          <w:p w14:paraId="29DDCF9D" w14:textId="77777777" w:rsidR="00174817" w:rsidRPr="008D2F69" w:rsidRDefault="00174817" w:rsidP="001E5C2C">
            <w:pPr>
              <w:pStyle w:val="ListParagraph"/>
              <w:numPr>
                <w:ilvl w:val="1"/>
                <w:numId w:val="1"/>
              </w:numPr>
              <w:rPr>
                <w:rFonts w:ascii="Arial" w:hAnsi="Arial" w:cs="Arial"/>
              </w:rPr>
            </w:pPr>
            <w:r w:rsidRPr="008D2F69">
              <w:rPr>
                <w:rFonts w:ascii="Arial" w:hAnsi="Arial" w:cs="Arial"/>
              </w:rPr>
              <w:t>External equality and diversity resources.</w:t>
            </w:r>
          </w:p>
          <w:p w14:paraId="3D72766E" w14:textId="77777777" w:rsidR="00174817" w:rsidRPr="008D2F69" w:rsidRDefault="00174817" w:rsidP="001E5C2C">
            <w:pPr>
              <w:pStyle w:val="ListParagraph"/>
              <w:numPr>
                <w:ilvl w:val="1"/>
                <w:numId w:val="1"/>
              </w:numPr>
              <w:rPr>
                <w:rFonts w:ascii="Arial" w:hAnsi="Arial" w:cs="Arial"/>
              </w:rPr>
            </w:pPr>
            <w:r w:rsidRPr="008D2F69">
              <w:rPr>
                <w:rFonts w:ascii="Arial" w:hAnsi="Arial" w:cs="Arial"/>
              </w:rPr>
              <w:t>Access to lunch and learn sessions and other events (e.g., Networks Conference)</w:t>
            </w:r>
          </w:p>
          <w:p w14:paraId="6B361CDF" w14:textId="77777777"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 xml:space="preserve">Reporting on Workforce Equality Data, Welsh Language Standards Compliance, More Than Just Words Actions, Annual Equality Report, Gender Pay Gap reports, Strategic Equality Plan and Objectives plus any additional reporting required </w:t>
            </w:r>
          </w:p>
          <w:p w14:paraId="15FE78B9" w14:textId="33B2E492" w:rsidR="00174817" w:rsidRPr="008D2F69" w:rsidRDefault="00174817" w:rsidP="001E5C2C">
            <w:pPr>
              <w:pStyle w:val="ListParagraph"/>
              <w:numPr>
                <w:ilvl w:val="0"/>
                <w:numId w:val="1"/>
              </w:numPr>
              <w:ind w:left="720"/>
              <w:rPr>
                <w:rFonts w:ascii="Arial" w:hAnsi="Arial" w:cs="Arial"/>
              </w:rPr>
            </w:pPr>
            <w:r w:rsidRPr="008D2F69">
              <w:rPr>
                <w:rFonts w:ascii="Arial" w:hAnsi="Arial" w:cs="Arial"/>
              </w:rPr>
              <w:t xml:space="preserve">Access to all PHW Staff Diversity Networks – LGBTQ+, Carers, Women’s, BAME, Men’s, Welsh, and Disabled staff networks  </w:t>
            </w:r>
          </w:p>
        </w:tc>
      </w:tr>
    </w:tbl>
    <w:p w14:paraId="3A895C8A" w14:textId="77777777" w:rsidR="007D73ED" w:rsidRDefault="007D73ED" w:rsidP="00BB507B">
      <w:pPr>
        <w:rPr>
          <w:rFonts w:ascii="Arial" w:hAnsi="Arial" w:cs="Arial"/>
          <w:i/>
          <w:iCs/>
          <w:sz w:val="16"/>
          <w:szCs w:val="16"/>
        </w:rPr>
      </w:pPr>
    </w:p>
    <w:p w14:paraId="2373888F" w14:textId="2BFC4A40" w:rsidR="00BB507B" w:rsidRDefault="00BB507B" w:rsidP="00BB507B">
      <w:pPr>
        <w:rPr>
          <w:rFonts w:ascii="Arial" w:hAnsi="Arial" w:cs="Arial"/>
          <w:i/>
          <w:iCs/>
          <w:sz w:val="16"/>
          <w:szCs w:val="16"/>
        </w:rPr>
      </w:pPr>
      <w:r w:rsidRPr="008D2F69">
        <w:rPr>
          <w:rFonts w:ascii="Arial" w:hAnsi="Arial" w:cs="Arial"/>
          <w:i/>
          <w:iCs/>
          <w:sz w:val="16"/>
          <w:szCs w:val="16"/>
        </w:rPr>
        <w:t>*</w:t>
      </w:r>
      <w:r w:rsidRPr="008D2F69">
        <w:rPr>
          <w:i/>
          <w:iCs/>
          <w:sz w:val="16"/>
          <w:szCs w:val="16"/>
        </w:rPr>
        <w:t xml:space="preserve"> </w:t>
      </w:r>
      <w:r w:rsidRPr="008D2F69">
        <w:rPr>
          <w:rFonts w:ascii="Arial" w:hAnsi="Arial" w:cs="Arial"/>
          <w:i/>
          <w:iCs/>
          <w:sz w:val="16"/>
          <w:szCs w:val="16"/>
        </w:rPr>
        <w:t xml:space="preserve">This is “as now” and will be </w:t>
      </w:r>
      <w:r w:rsidR="007D73ED">
        <w:rPr>
          <w:rFonts w:ascii="Arial" w:hAnsi="Arial" w:cs="Arial"/>
          <w:i/>
          <w:iCs/>
          <w:sz w:val="16"/>
          <w:szCs w:val="16"/>
        </w:rPr>
        <w:t>review</w:t>
      </w:r>
      <w:r w:rsidR="00176FC1">
        <w:rPr>
          <w:rFonts w:ascii="Arial" w:hAnsi="Arial" w:cs="Arial"/>
          <w:i/>
          <w:iCs/>
          <w:sz w:val="16"/>
          <w:szCs w:val="16"/>
        </w:rPr>
        <w:t>ed</w:t>
      </w:r>
      <w:r w:rsidR="007D73ED">
        <w:rPr>
          <w:rFonts w:ascii="Arial" w:hAnsi="Arial" w:cs="Arial"/>
          <w:i/>
          <w:iCs/>
          <w:sz w:val="16"/>
          <w:szCs w:val="16"/>
        </w:rPr>
        <w:t xml:space="preserve"> and </w:t>
      </w:r>
      <w:r w:rsidRPr="008D2F69">
        <w:rPr>
          <w:rFonts w:ascii="Arial" w:hAnsi="Arial" w:cs="Arial"/>
          <w:i/>
          <w:iCs/>
          <w:sz w:val="16"/>
          <w:szCs w:val="16"/>
        </w:rPr>
        <w:t xml:space="preserve">developed </w:t>
      </w:r>
      <w:r w:rsidR="00551FE0">
        <w:rPr>
          <w:rFonts w:ascii="Arial" w:hAnsi="Arial" w:cs="Arial"/>
          <w:i/>
          <w:iCs/>
          <w:sz w:val="16"/>
          <w:szCs w:val="16"/>
        </w:rPr>
        <w:t>by</w:t>
      </w:r>
      <w:r w:rsidRPr="008D2F69">
        <w:rPr>
          <w:rFonts w:ascii="Arial" w:hAnsi="Arial" w:cs="Arial"/>
          <w:i/>
          <w:iCs/>
          <w:sz w:val="16"/>
          <w:szCs w:val="16"/>
        </w:rPr>
        <w:t xml:space="preserve"> People and OD </w:t>
      </w:r>
      <w:r w:rsidR="00D026F9">
        <w:rPr>
          <w:rFonts w:ascii="Arial" w:hAnsi="Arial" w:cs="Arial"/>
          <w:i/>
          <w:iCs/>
          <w:sz w:val="16"/>
          <w:szCs w:val="16"/>
        </w:rPr>
        <w:t>in line with host</w:t>
      </w:r>
      <w:r w:rsidR="00176FC1">
        <w:rPr>
          <w:rFonts w:ascii="Arial" w:hAnsi="Arial" w:cs="Arial"/>
          <w:i/>
          <w:iCs/>
          <w:sz w:val="16"/>
          <w:szCs w:val="16"/>
        </w:rPr>
        <w:t>ing</w:t>
      </w:r>
      <w:r w:rsidR="00D026F9">
        <w:rPr>
          <w:rFonts w:ascii="Arial" w:hAnsi="Arial" w:cs="Arial"/>
          <w:i/>
          <w:iCs/>
          <w:sz w:val="16"/>
          <w:szCs w:val="16"/>
        </w:rPr>
        <w:t xml:space="preserve"> agreement reviews and</w:t>
      </w:r>
      <w:r w:rsidRPr="008D2F69">
        <w:rPr>
          <w:rFonts w:ascii="Arial" w:hAnsi="Arial" w:cs="Arial"/>
          <w:i/>
          <w:iCs/>
          <w:sz w:val="16"/>
          <w:szCs w:val="16"/>
        </w:rPr>
        <w:t xml:space="preserve"> service level agreements and KPIs (key performance indicators) in Public Health Wales</w:t>
      </w:r>
      <w:r w:rsidR="00D026F9">
        <w:rPr>
          <w:rFonts w:ascii="Arial" w:hAnsi="Arial" w:cs="Arial"/>
          <w:i/>
          <w:iCs/>
          <w:sz w:val="16"/>
          <w:szCs w:val="16"/>
        </w:rPr>
        <w:t>.</w:t>
      </w:r>
    </w:p>
    <w:p w14:paraId="6EBDB74A" w14:textId="77777777" w:rsidR="005B1C90" w:rsidRDefault="005B1C90" w:rsidP="00BB507B">
      <w:pPr>
        <w:rPr>
          <w:rFonts w:ascii="Arial" w:hAnsi="Arial" w:cs="Arial"/>
          <w:i/>
          <w:iCs/>
          <w:sz w:val="16"/>
          <w:szCs w:val="16"/>
        </w:rPr>
      </w:pPr>
    </w:p>
    <w:p w14:paraId="0E01721D" w14:textId="68838871" w:rsidR="005B1C90" w:rsidRDefault="005B1C90" w:rsidP="00BB507B">
      <w:r>
        <w:t>PHW People and OD Structure – For information</w:t>
      </w:r>
    </w:p>
    <w:p w14:paraId="25F9FDB0" w14:textId="02860DF3" w:rsidR="004352FC" w:rsidRPr="008D2F69" w:rsidRDefault="004352FC" w:rsidP="00BB507B">
      <w:pPr>
        <w:rPr>
          <w:rFonts w:ascii="Arial" w:hAnsi="Arial" w:cs="Arial"/>
          <w:i/>
          <w:iCs/>
          <w:sz w:val="16"/>
          <w:szCs w:val="16"/>
        </w:rPr>
      </w:pPr>
      <w:r>
        <w:rPr>
          <w:noProof/>
          <w:lang w:eastAsia="en-GB"/>
        </w:rPr>
        <w:drawing>
          <wp:inline distT="0" distB="0" distL="0" distR="0" wp14:anchorId="6BD1E1EA" wp14:editId="461D4352">
            <wp:extent cx="5731510" cy="3223895"/>
            <wp:effectExtent l="0" t="0" r="2540" b="0"/>
            <wp:docPr id="1934989542" name="Picture 1934989542" descr="A diagram of a 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989542" name="Picture 1934989542" descr="A diagram of a diagram&#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5731510" cy="3223895"/>
                    </a:xfrm>
                    <a:prstGeom prst="rect">
                      <a:avLst/>
                    </a:prstGeom>
                  </pic:spPr>
                </pic:pic>
              </a:graphicData>
            </a:graphic>
          </wp:inline>
        </w:drawing>
      </w:r>
    </w:p>
    <w:sectPr w:rsidR="004352FC" w:rsidRPr="008D2F6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9D672" w14:textId="77777777" w:rsidR="00100BC4" w:rsidRDefault="00100BC4" w:rsidP="00100BC4">
      <w:pPr>
        <w:spacing w:after="0" w:line="240" w:lineRule="auto"/>
      </w:pPr>
      <w:r>
        <w:separator/>
      </w:r>
    </w:p>
  </w:endnote>
  <w:endnote w:type="continuationSeparator" w:id="0">
    <w:p w14:paraId="60CFA577" w14:textId="77777777" w:rsidR="00100BC4" w:rsidRDefault="00100BC4" w:rsidP="00100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FECD" w14:textId="7E24A532" w:rsidR="00100BC4" w:rsidRDefault="00100BC4">
    <w:pPr>
      <w:pStyle w:val="Footer"/>
    </w:pPr>
    <w:r>
      <w:t>Hosting Service Schedule POD</w:t>
    </w:r>
    <w:r>
      <w:tab/>
    </w:r>
    <w:r>
      <w:tab/>
      <w:t xml:space="preserve">March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21CB" w14:textId="77777777" w:rsidR="00100BC4" w:rsidRDefault="00100BC4" w:rsidP="00100BC4">
      <w:pPr>
        <w:spacing w:after="0" w:line="240" w:lineRule="auto"/>
      </w:pPr>
      <w:r>
        <w:separator/>
      </w:r>
    </w:p>
  </w:footnote>
  <w:footnote w:type="continuationSeparator" w:id="0">
    <w:p w14:paraId="42869816" w14:textId="77777777" w:rsidR="00100BC4" w:rsidRDefault="00100BC4" w:rsidP="00100B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892888"/>
    <w:multiLevelType w:val="hybridMultilevel"/>
    <w:tmpl w:val="F16A2674"/>
    <w:lvl w:ilvl="0" w:tplc="9472755E">
      <w:numFmt w:val="bullet"/>
      <w:lvlText w:val="•"/>
      <w:lvlJc w:val="left"/>
      <w:pPr>
        <w:ind w:left="1080" w:hanging="72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8F906F"/>
    <w:multiLevelType w:val="hybridMultilevel"/>
    <w:tmpl w:val="A664D5CE"/>
    <w:lvl w:ilvl="0" w:tplc="FA6CBA2E">
      <w:start w:val="1"/>
      <w:numFmt w:val="bullet"/>
      <w:lvlText w:val=""/>
      <w:lvlJc w:val="left"/>
      <w:pPr>
        <w:ind w:left="720" w:hanging="360"/>
      </w:pPr>
      <w:rPr>
        <w:rFonts w:ascii="Symbol" w:hAnsi="Symbol" w:hint="default"/>
      </w:rPr>
    </w:lvl>
    <w:lvl w:ilvl="1" w:tplc="28C68544">
      <w:start w:val="1"/>
      <w:numFmt w:val="bullet"/>
      <w:lvlText w:val="o"/>
      <w:lvlJc w:val="left"/>
      <w:pPr>
        <w:ind w:left="1440" w:hanging="360"/>
      </w:pPr>
      <w:rPr>
        <w:rFonts w:ascii="Courier New" w:hAnsi="Courier New" w:hint="default"/>
      </w:rPr>
    </w:lvl>
    <w:lvl w:ilvl="2" w:tplc="E8522DAC">
      <w:start w:val="1"/>
      <w:numFmt w:val="bullet"/>
      <w:lvlText w:val=""/>
      <w:lvlJc w:val="left"/>
      <w:pPr>
        <w:ind w:left="2160" w:hanging="360"/>
      </w:pPr>
      <w:rPr>
        <w:rFonts w:ascii="Wingdings" w:hAnsi="Wingdings" w:hint="default"/>
      </w:rPr>
    </w:lvl>
    <w:lvl w:ilvl="3" w:tplc="86DC0B02">
      <w:start w:val="1"/>
      <w:numFmt w:val="bullet"/>
      <w:lvlText w:val=""/>
      <w:lvlJc w:val="left"/>
      <w:pPr>
        <w:ind w:left="2880" w:hanging="360"/>
      </w:pPr>
      <w:rPr>
        <w:rFonts w:ascii="Symbol" w:hAnsi="Symbol" w:hint="default"/>
      </w:rPr>
    </w:lvl>
    <w:lvl w:ilvl="4" w:tplc="916EBF08">
      <w:start w:val="1"/>
      <w:numFmt w:val="bullet"/>
      <w:lvlText w:val="o"/>
      <w:lvlJc w:val="left"/>
      <w:pPr>
        <w:ind w:left="3600" w:hanging="360"/>
      </w:pPr>
      <w:rPr>
        <w:rFonts w:ascii="Courier New" w:hAnsi="Courier New" w:hint="default"/>
      </w:rPr>
    </w:lvl>
    <w:lvl w:ilvl="5" w:tplc="1062F4DA">
      <w:start w:val="1"/>
      <w:numFmt w:val="bullet"/>
      <w:lvlText w:val=""/>
      <w:lvlJc w:val="left"/>
      <w:pPr>
        <w:ind w:left="4320" w:hanging="360"/>
      </w:pPr>
      <w:rPr>
        <w:rFonts w:ascii="Wingdings" w:hAnsi="Wingdings" w:hint="default"/>
      </w:rPr>
    </w:lvl>
    <w:lvl w:ilvl="6" w:tplc="E794D978">
      <w:start w:val="1"/>
      <w:numFmt w:val="bullet"/>
      <w:lvlText w:val=""/>
      <w:lvlJc w:val="left"/>
      <w:pPr>
        <w:ind w:left="5040" w:hanging="360"/>
      </w:pPr>
      <w:rPr>
        <w:rFonts w:ascii="Symbol" w:hAnsi="Symbol" w:hint="default"/>
      </w:rPr>
    </w:lvl>
    <w:lvl w:ilvl="7" w:tplc="649AE09C">
      <w:start w:val="1"/>
      <w:numFmt w:val="bullet"/>
      <w:lvlText w:val="o"/>
      <w:lvlJc w:val="left"/>
      <w:pPr>
        <w:ind w:left="5760" w:hanging="360"/>
      </w:pPr>
      <w:rPr>
        <w:rFonts w:ascii="Courier New" w:hAnsi="Courier New" w:hint="default"/>
      </w:rPr>
    </w:lvl>
    <w:lvl w:ilvl="8" w:tplc="6254B082">
      <w:start w:val="1"/>
      <w:numFmt w:val="bullet"/>
      <w:lvlText w:val=""/>
      <w:lvlJc w:val="left"/>
      <w:pPr>
        <w:ind w:left="6480" w:hanging="360"/>
      </w:pPr>
      <w:rPr>
        <w:rFonts w:ascii="Wingdings" w:hAnsi="Wingdings" w:hint="default"/>
      </w:rPr>
    </w:lvl>
  </w:abstractNum>
  <w:num w:numId="1" w16cid:durableId="1386025736">
    <w:abstractNumId w:val="0"/>
  </w:num>
  <w:num w:numId="2" w16cid:durableId="1558737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07B"/>
    <w:rsid w:val="00004231"/>
    <w:rsid w:val="00004DB1"/>
    <w:rsid w:val="000212E5"/>
    <w:rsid w:val="00021F3D"/>
    <w:rsid w:val="00047E5F"/>
    <w:rsid w:val="00096252"/>
    <w:rsid w:val="000A301D"/>
    <w:rsid w:val="000F2513"/>
    <w:rsid w:val="00100BC4"/>
    <w:rsid w:val="00113FDD"/>
    <w:rsid w:val="0012154A"/>
    <w:rsid w:val="001344AE"/>
    <w:rsid w:val="0014089A"/>
    <w:rsid w:val="00174817"/>
    <w:rsid w:val="00176FC1"/>
    <w:rsid w:val="00180A32"/>
    <w:rsid w:val="00190E1D"/>
    <w:rsid w:val="001919B0"/>
    <w:rsid w:val="001A5BF3"/>
    <w:rsid w:val="001C71CF"/>
    <w:rsid w:val="001E5C2C"/>
    <w:rsid w:val="00204954"/>
    <w:rsid w:val="0021063D"/>
    <w:rsid w:val="00211F85"/>
    <w:rsid w:val="00213D3A"/>
    <w:rsid w:val="00232F23"/>
    <w:rsid w:val="0023745E"/>
    <w:rsid w:val="00263FE0"/>
    <w:rsid w:val="00264DDD"/>
    <w:rsid w:val="002710B6"/>
    <w:rsid w:val="002A5DB6"/>
    <w:rsid w:val="002B41D2"/>
    <w:rsid w:val="002B4220"/>
    <w:rsid w:val="002D03AE"/>
    <w:rsid w:val="002D275B"/>
    <w:rsid w:val="002D2C2F"/>
    <w:rsid w:val="002F13AE"/>
    <w:rsid w:val="0030282B"/>
    <w:rsid w:val="003447A2"/>
    <w:rsid w:val="00365FE2"/>
    <w:rsid w:val="003C551E"/>
    <w:rsid w:val="003F4D21"/>
    <w:rsid w:val="003F7153"/>
    <w:rsid w:val="004352FC"/>
    <w:rsid w:val="0047620A"/>
    <w:rsid w:val="00482E68"/>
    <w:rsid w:val="004B51A8"/>
    <w:rsid w:val="004C036A"/>
    <w:rsid w:val="004C6977"/>
    <w:rsid w:val="004E1521"/>
    <w:rsid w:val="00507478"/>
    <w:rsid w:val="0051070F"/>
    <w:rsid w:val="00551FE0"/>
    <w:rsid w:val="00566D4E"/>
    <w:rsid w:val="00576D69"/>
    <w:rsid w:val="005800B5"/>
    <w:rsid w:val="00586C43"/>
    <w:rsid w:val="00590B34"/>
    <w:rsid w:val="00595977"/>
    <w:rsid w:val="005B1C90"/>
    <w:rsid w:val="005C2E6B"/>
    <w:rsid w:val="005D53B5"/>
    <w:rsid w:val="005F3837"/>
    <w:rsid w:val="00607EBC"/>
    <w:rsid w:val="00617020"/>
    <w:rsid w:val="00617659"/>
    <w:rsid w:val="006C658E"/>
    <w:rsid w:val="006D6BA5"/>
    <w:rsid w:val="006F3795"/>
    <w:rsid w:val="00701759"/>
    <w:rsid w:val="00722796"/>
    <w:rsid w:val="00731801"/>
    <w:rsid w:val="00743927"/>
    <w:rsid w:val="007570F6"/>
    <w:rsid w:val="0078007E"/>
    <w:rsid w:val="00787928"/>
    <w:rsid w:val="007B3E38"/>
    <w:rsid w:val="007C46CD"/>
    <w:rsid w:val="007D61F4"/>
    <w:rsid w:val="007D73ED"/>
    <w:rsid w:val="00833C70"/>
    <w:rsid w:val="008B4682"/>
    <w:rsid w:val="008F2BC6"/>
    <w:rsid w:val="008F3FEA"/>
    <w:rsid w:val="00903DBD"/>
    <w:rsid w:val="00905945"/>
    <w:rsid w:val="00945405"/>
    <w:rsid w:val="009802CC"/>
    <w:rsid w:val="0099175C"/>
    <w:rsid w:val="009A4001"/>
    <w:rsid w:val="009D72C8"/>
    <w:rsid w:val="009E2E3E"/>
    <w:rsid w:val="00A034B6"/>
    <w:rsid w:val="00A23125"/>
    <w:rsid w:val="00A32978"/>
    <w:rsid w:val="00A334D2"/>
    <w:rsid w:val="00A46134"/>
    <w:rsid w:val="00A508A3"/>
    <w:rsid w:val="00A66FD3"/>
    <w:rsid w:val="00A748D0"/>
    <w:rsid w:val="00AA5159"/>
    <w:rsid w:val="00AB35ED"/>
    <w:rsid w:val="00AD0766"/>
    <w:rsid w:val="00AE0FD7"/>
    <w:rsid w:val="00B60643"/>
    <w:rsid w:val="00B6798B"/>
    <w:rsid w:val="00B76FCC"/>
    <w:rsid w:val="00B84B7D"/>
    <w:rsid w:val="00BA4A26"/>
    <w:rsid w:val="00BB507B"/>
    <w:rsid w:val="00BE0964"/>
    <w:rsid w:val="00BF0B5C"/>
    <w:rsid w:val="00BF3A17"/>
    <w:rsid w:val="00C05BE4"/>
    <w:rsid w:val="00C1303E"/>
    <w:rsid w:val="00C33D85"/>
    <w:rsid w:val="00C42D64"/>
    <w:rsid w:val="00C45661"/>
    <w:rsid w:val="00C518BF"/>
    <w:rsid w:val="00C67C48"/>
    <w:rsid w:val="00CA0B14"/>
    <w:rsid w:val="00CF79A5"/>
    <w:rsid w:val="00D026F9"/>
    <w:rsid w:val="00D579DB"/>
    <w:rsid w:val="00D861D2"/>
    <w:rsid w:val="00DA1278"/>
    <w:rsid w:val="00DB3D7A"/>
    <w:rsid w:val="00DF7531"/>
    <w:rsid w:val="00E00079"/>
    <w:rsid w:val="00E55536"/>
    <w:rsid w:val="00E90C55"/>
    <w:rsid w:val="00E94462"/>
    <w:rsid w:val="00E9484F"/>
    <w:rsid w:val="00E96FC0"/>
    <w:rsid w:val="00EA6695"/>
    <w:rsid w:val="00EB3CE2"/>
    <w:rsid w:val="00EC1209"/>
    <w:rsid w:val="00ED7CF5"/>
    <w:rsid w:val="00EE05AD"/>
    <w:rsid w:val="00EF30F6"/>
    <w:rsid w:val="00F54733"/>
    <w:rsid w:val="00F637F5"/>
    <w:rsid w:val="00F823AE"/>
    <w:rsid w:val="00F843CB"/>
    <w:rsid w:val="00F90B0C"/>
    <w:rsid w:val="00FE7DE5"/>
    <w:rsid w:val="01A433BC"/>
    <w:rsid w:val="01C56D1B"/>
    <w:rsid w:val="048BCA3D"/>
    <w:rsid w:val="060FF85F"/>
    <w:rsid w:val="09E6D791"/>
    <w:rsid w:val="1070141F"/>
    <w:rsid w:val="127DEB2E"/>
    <w:rsid w:val="157C1E19"/>
    <w:rsid w:val="1619ECAA"/>
    <w:rsid w:val="176F1EF6"/>
    <w:rsid w:val="17CE8436"/>
    <w:rsid w:val="17D3371C"/>
    <w:rsid w:val="1AC1CA3A"/>
    <w:rsid w:val="1D78F29D"/>
    <w:rsid w:val="1E6986EE"/>
    <w:rsid w:val="1F01C265"/>
    <w:rsid w:val="2137CE75"/>
    <w:rsid w:val="21BAB6B5"/>
    <w:rsid w:val="228C8704"/>
    <w:rsid w:val="2354F9A5"/>
    <w:rsid w:val="24CAFDE7"/>
    <w:rsid w:val="267E7480"/>
    <w:rsid w:val="29BDAE18"/>
    <w:rsid w:val="2A46A0DB"/>
    <w:rsid w:val="2BAB40A3"/>
    <w:rsid w:val="30F94C8A"/>
    <w:rsid w:val="32130038"/>
    <w:rsid w:val="35A7BE1F"/>
    <w:rsid w:val="3A99830E"/>
    <w:rsid w:val="3AFDA3C3"/>
    <w:rsid w:val="3CBF889A"/>
    <w:rsid w:val="3E23A5FB"/>
    <w:rsid w:val="3E303323"/>
    <w:rsid w:val="3E701353"/>
    <w:rsid w:val="3F232244"/>
    <w:rsid w:val="3FCDC440"/>
    <w:rsid w:val="42683BD0"/>
    <w:rsid w:val="42CFDDBC"/>
    <w:rsid w:val="45177506"/>
    <w:rsid w:val="476791A7"/>
    <w:rsid w:val="4D64F478"/>
    <w:rsid w:val="4E88CD72"/>
    <w:rsid w:val="4E911AED"/>
    <w:rsid w:val="525723E3"/>
    <w:rsid w:val="52BB0D94"/>
    <w:rsid w:val="53332A42"/>
    <w:rsid w:val="53B0F668"/>
    <w:rsid w:val="5499CECC"/>
    <w:rsid w:val="555D941D"/>
    <w:rsid w:val="56E9D8A8"/>
    <w:rsid w:val="5722C724"/>
    <w:rsid w:val="5725E53D"/>
    <w:rsid w:val="582E8A0E"/>
    <w:rsid w:val="582F8221"/>
    <w:rsid w:val="5B269B73"/>
    <w:rsid w:val="5BB51136"/>
    <w:rsid w:val="5D2B3C39"/>
    <w:rsid w:val="5D98FF65"/>
    <w:rsid w:val="5DAC9D63"/>
    <w:rsid w:val="5FFD9C30"/>
    <w:rsid w:val="60E8756B"/>
    <w:rsid w:val="614D230F"/>
    <w:rsid w:val="6200335D"/>
    <w:rsid w:val="64BF55DB"/>
    <w:rsid w:val="651C1549"/>
    <w:rsid w:val="6714C8CA"/>
    <w:rsid w:val="67449D76"/>
    <w:rsid w:val="6828B5CE"/>
    <w:rsid w:val="6C05166A"/>
    <w:rsid w:val="6C84FAF4"/>
    <w:rsid w:val="70B6967A"/>
    <w:rsid w:val="71B3CDB6"/>
    <w:rsid w:val="726FE75A"/>
    <w:rsid w:val="72D27379"/>
    <w:rsid w:val="740828A6"/>
    <w:rsid w:val="782DCAB4"/>
    <w:rsid w:val="783CADC9"/>
    <w:rsid w:val="7B2207EA"/>
    <w:rsid w:val="7C93C7BA"/>
    <w:rsid w:val="7CC58F2A"/>
    <w:rsid w:val="7DCE5BE9"/>
    <w:rsid w:val="7F103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4828"/>
  <w15:chartTrackingRefBased/>
  <w15:docId w15:val="{4B392D1B-1F9C-4BA5-8F4C-B465FC67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2C8"/>
    <w:rPr>
      <w:kern w:val="0"/>
      <w14:ligatures w14:val="none"/>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07B"/>
    <w:pPr>
      <w:ind w:left="720"/>
      <w:contextualSpacing/>
    </w:pPr>
  </w:style>
  <w:style w:type="character" w:styleId="CommentReference">
    <w:name w:val="annotation reference"/>
    <w:basedOn w:val="DefaultParagraphFont"/>
    <w:uiPriority w:val="99"/>
    <w:semiHidden/>
    <w:unhideWhenUsed/>
    <w:rsid w:val="00BB507B"/>
    <w:rPr>
      <w:sz w:val="16"/>
      <w:szCs w:val="16"/>
    </w:rPr>
  </w:style>
  <w:style w:type="paragraph" w:styleId="CommentText">
    <w:name w:val="annotation text"/>
    <w:basedOn w:val="Normal"/>
    <w:link w:val="CommentTextChar"/>
    <w:uiPriority w:val="99"/>
    <w:unhideWhenUsed/>
    <w:rsid w:val="00BB507B"/>
    <w:pPr>
      <w:spacing w:line="240" w:lineRule="auto"/>
    </w:pPr>
    <w:rPr>
      <w:sz w:val="20"/>
      <w:szCs w:val="20"/>
    </w:rPr>
  </w:style>
  <w:style w:type="character" w:customStyle="1" w:styleId="CommentTextChar">
    <w:name w:val="Comment Text Char"/>
    <w:basedOn w:val="DefaultParagraphFont"/>
    <w:link w:val="CommentText"/>
    <w:uiPriority w:val="99"/>
    <w:rsid w:val="00BB507B"/>
    <w:rPr>
      <w:kern w:val="0"/>
      <w:sz w:val="20"/>
      <w:szCs w:val="20"/>
      <w14:ligatures w14:val="none"/>
    </w:rPr>
  </w:style>
  <w:style w:type="table" w:styleId="TableGrid">
    <w:name w:val="Table Grid"/>
    <w:basedOn w:val="TableNormal"/>
    <w:uiPriority w:val="39"/>
    <w:rsid w:val="00BB507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6F3795"/>
    <w:pPr>
      <w:spacing w:after="0" w:line="240" w:lineRule="auto"/>
    </w:pPr>
    <w:rPr>
      <w:kern w:val="0"/>
      <w14:ligatures w14:val="none"/>
    </w:rPr>
  </w:style>
  <w:style w:type="paragraph" w:styleId="CommentSubject">
    <w:name w:val="annotation subject"/>
    <w:basedOn w:val="CommentText"/>
    <w:next w:val="CommentText"/>
    <w:link w:val="CommentSubjectChar"/>
    <w:uiPriority w:val="99"/>
    <w:semiHidden/>
    <w:unhideWhenUsed/>
    <w:rsid w:val="001919B0"/>
    <w:rPr>
      <w:b/>
      <w:bCs/>
    </w:rPr>
  </w:style>
  <w:style w:type="character" w:customStyle="1" w:styleId="CommentSubjectChar">
    <w:name w:val="Comment Subject Char"/>
    <w:basedOn w:val="CommentTextChar"/>
    <w:link w:val="CommentSubject"/>
    <w:uiPriority w:val="99"/>
    <w:semiHidden/>
    <w:rsid w:val="001919B0"/>
    <w:rPr>
      <w:b/>
      <w:bCs/>
      <w:kern w:val="0"/>
      <w:sz w:val="20"/>
      <w:szCs w:val="20"/>
      <w14:ligatures w14:val="none"/>
    </w:rPr>
  </w:style>
  <w:style w:type="paragraph" w:styleId="Header">
    <w:name w:val="header"/>
    <w:basedOn w:val="Normal"/>
    <w:link w:val="HeaderChar"/>
    <w:uiPriority w:val="99"/>
    <w:unhideWhenUsed/>
    <w:rsid w:val="00100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0BC4"/>
    <w:rPr>
      <w:kern w:val="0"/>
      <w14:ligatures w14:val="none"/>
    </w:rPr>
  </w:style>
  <w:style w:type="paragraph" w:styleId="Footer">
    <w:name w:val="footer"/>
    <w:basedOn w:val="Normal"/>
    <w:link w:val="FooterChar"/>
    <w:uiPriority w:val="99"/>
    <w:unhideWhenUsed/>
    <w:rsid w:val="00100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0BC4"/>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33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687F77D63A8459CEFD3583C1899E6" ma:contentTypeVersion="26" ma:contentTypeDescription="Create a new document." ma:contentTypeScope="" ma:versionID="8f2947031c254f60aa925c0a6bab14bb">
  <xsd:schema xmlns:xsd="http://www.w3.org/2001/XMLSchema" xmlns:xs="http://www.w3.org/2001/XMLSchema" xmlns:p="http://schemas.microsoft.com/office/2006/metadata/properties" xmlns:ns2="74117dde-b119-4746-8562-4584e64c254c" xmlns:ns3="885d599f-0d70-42f9-bb26-1bdcfa13e79d" targetNamespace="http://schemas.microsoft.com/office/2006/metadata/properties" ma:root="true" ma:fieldsID="ff83ae6daea63112c017bbd6a01e8f19" ns2:_="" ns3:_="">
    <xsd:import namespace="74117dde-b119-4746-8562-4584e64c254c"/>
    <xsd:import namespace="885d599f-0d70-42f9-bb26-1bdcfa13e79d"/>
    <xsd:element name="properties">
      <xsd:complexType>
        <xsd:sequence>
          <xsd:element name="documentManagement">
            <xsd:complexType>
              <xsd:all>
                <xsd:element ref="ns2:MeetingSubCategory"/>
                <xsd:element ref="ns2:MeetingDate"/>
                <xsd:element ref="ns2:Open_x002f_Private"/>
                <xsd:element ref="ns2:Reason" minOccurs="0"/>
                <xsd:element ref="ns2:DocumentType" minOccurs="0"/>
                <xsd:element ref="ns2:Status" minOccurs="0"/>
                <xsd:element ref="ns2:RetentionDate" minOccurs="0"/>
                <xsd:element ref="ns2:MediaServiceMetadata" minOccurs="0"/>
                <xsd:element ref="ns2:MediaServiceFastMetadata" minOccurs="0"/>
                <xsd:element ref="ns2:MediaServiceObjectDetectorVersions" minOccurs="0"/>
                <xsd:element ref="ns2:EinancialYear" minOccurs="0"/>
                <xsd:element ref="ns2:Not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17dde-b119-4746-8562-4584e64c254c" elementFormDefault="qualified">
    <xsd:import namespace="http://schemas.microsoft.com/office/2006/documentManagement/types"/>
    <xsd:import namespace="http://schemas.microsoft.com/office/infopath/2007/PartnerControls"/>
    <xsd:element name="MeetingSubCategory" ma:index="8" ma:displayName="Meeting" ma:format="Dropdown" ma:internalName="MeetingSubCategory">
      <xsd:simpleType>
        <xsd:restriction base="dms:Choice">
          <xsd:enumeration value="ACGC (Open)"/>
          <xsd:enumeration value="ACGC (Private)"/>
          <xsd:enumeration value="BET"/>
          <xsd:enumeration value="Board"/>
          <xsd:enumeration value="Board (Private)"/>
          <xsd:enumeration value="Board Development"/>
          <xsd:enumeration value="BPL (Business and Planning Leads)"/>
          <xsd:enumeration value="KRIC"/>
          <xsd:enumeration value="KRIC (Private)"/>
          <xsd:enumeration value="LT"/>
          <xsd:enumeration value="POD"/>
          <xsd:enumeration value="POD (Private)"/>
          <xsd:enumeration value="QSIC"/>
          <xsd:enumeration value="QSIC (Private)"/>
          <xsd:enumeration value="SET"/>
          <xsd:enumeration value="AGM"/>
          <xsd:enumeration value="Board Briefing"/>
          <xsd:enumeration value="Covid-19 PI Sub-Group"/>
          <xsd:enumeration value="Cross Committee Group"/>
          <xsd:enumeration value="Chair's Meeting"/>
          <xsd:enumeration value="Rem Comm"/>
          <xsd:enumeration value="Board Business Unit Meeting"/>
          <xsd:enumeration value="Covid-19 Steering Group"/>
        </xsd:restriction>
      </xsd:simpleType>
    </xsd:element>
    <xsd:element name="MeetingDate" ma:index="9" ma:displayName="Meeting Date" ma:format="DateOnly" ma:internalName="MeetingDate">
      <xsd:simpleType>
        <xsd:restriction base="dms:DateTime"/>
      </xsd:simpleType>
    </xsd:element>
    <xsd:element name="Open_x002f_Private" ma:index="10" ma:displayName="Open/Private" ma:default="Open" ma:format="Dropdown" ma:internalName="Open_x002f_Private">
      <xsd:simpleType>
        <xsd:restriction base="dms:Choice">
          <xsd:enumeration value="Open"/>
          <xsd:enumeration value="Private"/>
        </xsd:restriction>
      </xsd:simpleType>
    </xsd:element>
    <xsd:element name="Reason" ma:index="11" nillable="true" ma:displayName="Reason" ma:format="Dropdown" ma:internalName="Reason">
      <xsd:complexType>
        <xsd:complexContent>
          <xsd:extension base="dms:MultiChoice">
            <xsd:sequence>
              <xsd:element name="Value" maxOccurs="unbounded" minOccurs="0" nillable="true">
                <xsd:simpleType>
                  <xsd:restriction base="dms:Choice">
                    <xsd:enumeration value="Commercially Sensitive – Procurement"/>
                    <xsd:enumeration value="Confidential – Information Governance"/>
                    <xsd:enumeration value="Confidential – Cyber Security"/>
                    <xsd:enumeration value="Confidential – Workforce"/>
                    <xsd:enumeration value="Confidential - Counter Fraud"/>
                    <xsd:enumeration value="Legally Privileged"/>
                    <xsd:enumeration value="Summary of Private Committee / Sub Group Meetings ‐ subject matter confidential"/>
                    <xsd:enumeration value="Undue concern or harm to the public"/>
                  </xsd:restriction>
                </xsd:simpleType>
              </xsd:element>
            </xsd:sequence>
          </xsd:extension>
        </xsd:complexContent>
      </xsd:complexType>
    </xsd:element>
    <xsd:element name="DocumentType" ma:index="12" nillable="true" ma:displayName="Document Type" ma:format="Dropdown" ma:internalName="DocumentType">
      <xsd:simpleType>
        <xsd:restriction base="dms:Choice">
          <xsd:enumeration value="Action Log"/>
          <xsd:enumeration value="Agenda"/>
          <xsd:enumeration value="Attachment"/>
          <xsd:enumeration value="Audit Tracker"/>
          <xsd:enumeration value="Chair's Brief"/>
          <xsd:enumeration value="Correspondance"/>
          <xsd:enumeration value="Minutes"/>
          <xsd:enumeration value="Plan or Register"/>
          <xsd:enumeration value="Presentation"/>
          <xsd:enumeration value="Report"/>
        </xsd:restriction>
      </xsd:simpleType>
    </xsd:element>
    <xsd:element name="Status" ma:index="13" nillable="true" ma:displayName="Status" ma:format="Dropdown" ma:internalName="Status">
      <xsd:simpleType>
        <xsd:restriction base="dms:Choice">
          <xsd:enumeration value="Draft"/>
          <xsd:enumeration value="Final"/>
          <xsd:enumeration value="Working Draft"/>
          <xsd:enumeration value="Confirmed Minutes"/>
          <xsd:enumeration value="Unconfirmed Minutes"/>
          <xsd:enumeration value="Live Document"/>
        </xsd:restriction>
      </xsd:simpleType>
    </xsd:element>
    <xsd:element name="RetentionDate" ma:index="14" nillable="true" ma:displayName="Retention Date" ma:default="Always" ma:format="Dropdown" ma:internalName="RetentionDate">
      <xsd:simpleType>
        <xsd:restriction base="dms:Choice">
          <xsd:enumeration value="Always"/>
          <xsd:enumeration value="2030"/>
          <xsd:enumeration value="2031"/>
          <xsd:enumeration value="2032"/>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EinancialYear" ma:index="18" nillable="true" ma:displayName="Year" ma:default="2024/2025" ma:format="RadioButtons" ma:internalName="EinancialYear">
      <xsd:simpleType>
        <xsd:restriction base="dms:Choice">
          <xsd:enumeration value="2025/2026"/>
          <xsd:enumeration value="2024/2025"/>
          <xsd:enumeration value="2023/2024"/>
          <xsd:enumeration value="2022/2023"/>
        </xsd:restriction>
      </xsd:simpleType>
    </xsd:element>
    <xsd:element name="Notes" ma:index="19" nillable="true" ma:displayName="Notes" ma:format="Dropdown" ma:internalName="Notes">
      <xsd:simpleType>
        <xsd:restriction base="dms:Text">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CR" ma:index="3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d599f-0d70-42f9-bb26-1bdcfa13e79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55b76c1e-88ad-4f97-8eec-da6d03f43bfa}" ma:internalName="TaxCatchAll" ma:showField="CatchAllData" ma:web="885d599f-0d70-42f9-bb26-1bdcfa13e7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4117dde-b119-4746-8562-4584e64c254c" xsi:nil="true"/>
    <Notes xmlns="74117dde-b119-4746-8562-4584e64c254c" xsi:nil="true"/>
    <lcf76f155ced4ddcb4097134ff3c332f xmlns="74117dde-b119-4746-8562-4584e64c254c">
      <Terms xmlns="http://schemas.microsoft.com/office/infopath/2007/PartnerControls"/>
    </lcf76f155ced4ddcb4097134ff3c332f>
    <Open_x002f_Private xmlns="74117dde-b119-4746-8562-4584e64c254c">Open</Open_x002f_Private>
    <TaxCatchAll xmlns="885d599f-0d70-42f9-bb26-1bdcfa13e79d" xsi:nil="true"/>
    <MeetingSubCategory xmlns="74117dde-b119-4746-8562-4584e64c254c">BET</MeetingSubCategory>
    <RetentionDate xmlns="74117dde-b119-4746-8562-4584e64c254c">Always</RetentionDate>
    <DocumentType xmlns="74117dde-b119-4746-8562-4584e64c254c" xsi:nil="true"/>
    <MeetingDate xmlns="74117dde-b119-4746-8562-4584e64c254c">2025-03-19T00:00:00+00:00</MeetingDate>
    <EinancialYear xmlns="74117dde-b119-4746-8562-4584e64c254c">2024/2025</EinancialYear>
    <Reason xmlns="74117dde-b119-4746-8562-4584e64c254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7A02D0-4D07-47B2-A2F0-A8CEB5C3F2F3}"/>
</file>

<file path=customXml/itemProps2.xml><?xml version="1.0" encoding="utf-8"?>
<ds:datastoreItem xmlns:ds="http://schemas.openxmlformats.org/officeDocument/2006/customXml" ds:itemID="{3DC17444-8518-487C-AC3C-39F76D956206}">
  <ds:schemaRefs>
    <ds:schemaRef ds:uri="http://schemas.microsoft.com/office/2006/metadata/properties"/>
    <ds:schemaRef ds:uri="http://schemas.microsoft.com/office/infopath/2007/PartnerControls"/>
    <ds:schemaRef ds:uri="e7920223-6ff4-4571-a65b-0ef398d418b3"/>
  </ds:schemaRefs>
</ds:datastoreItem>
</file>

<file path=customXml/itemProps3.xml><?xml version="1.0" encoding="utf-8"?>
<ds:datastoreItem xmlns:ds="http://schemas.openxmlformats.org/officeDocument/2006/customXml" ds:itemID="{A63244BC-E2D1-47C7-BC1C-96708AC5B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1267</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Vivienne Thorngate (Public Health Wales - No. 2 Capital Quarter)</dc:creator>
  <cp:keywords/>
  <dc:description/>
  <cp:lastModifiedBy>Rosemary Fletcher (NHS Executive)</cp:lastModifiedBy>
  <cp:revision>5</cp:revision>
  <dcterms:created xsi:type="dcterms:W3CDTF">2025-03-06T15:50:00Z</dcterms:created>
  <dcterms:modified xsi:type="dcterms:W3CDTF">2025-03-06T19:18:00Z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0x010100E01687F77D63A8459CEFD3583C1899E6</vt:lpwstr>
  </property>
</Properties>
</file>