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F73DA" w14:textId="3C5A3545" w:rsidR="00CA1DB7" w:rsidRPr="00CA1DB7" w:rsidRDefault="00CA1DB7" w:rsidP="002F4D40">
      <w:pPr>
        <w:spacing w:after="0" w:line="240" w:lineRule="auto"/>
        <w:jc w:val="center"/>
        <w:rPr>
          <w:rFonts w:ascii="Arial" w:hAnsi="Arial" w:cs="Arial"/>
          <w:b/>
          <w:bCs/>
          <w:sz w:val="32"/>
          <w:szCs w:val="32"/>
          <w:u w:val="single"/>
        </w:rPr>
      </w:pPr>
      <w:r w:rsidRPr="00CA1DB7">
        <w:rPr>
          <w:rFonts w:ascii="Arial" w:hAnsi="Arial" w:cs="Arial"/>
          <w:b/>
          <w:bCs/>
          <w:sz w:val="32"/>
          <w:szCs w:val="32"/>
          <w:u w:val="single"/>
        </w:rPr>
        <w:t>Annex B</w:t>
      </w:r>
    </w:p>
    <w:p w14:paraId="61D8F9CE" w14:textId="77777777" w:rsidR="00CA1DB7" w:rsidRDefault="00CA1DB7" w:rsidP="009F3A04">
      <w:pPr>
        <w:spacing w:after="0" w:line="240" w:lineRule="auto"/>
        <w:rPr>
          <w:rFonts w:ascii="Arial" w:hAnsi="Arial" w:cs="Arial"/>
          <w:b/>
          <w:bCs/>
          <w:sz w:val="32"/>
          <w:szCs w:val="32"/>
        </w:rPr>
      </w:pPr>
    </w:p>
    <w:p w14:paraId="4FA2BA07" w14:textId="683CF382" w:rsidR="00AA5338" w:rsidRPr="00AA5338" w:rsidRDefault="009C058A" w:rsidP="002F4D40">
      <w:pPr>
        <w:spacing w:after="0" w:line="240" w:lineRule="auto"/>
        <w:jc w:val="center"/>
        <w:rPr>
          <w:rFonts w:ascii="Arial" w:hAnsi="Arial" w:cs="Arial"/>
          <w:b/>
          <w:bCs/>
          <w:sz w:val="32"/>
          <w:szCs w:val="32"/>
        </w:rPr>
      </w:pPr>
      <w:r w:rsidRPr="00585CB4">
        <w:rPr>
          <w:rFonts w:ascii="Arial" w:hAnsi="Arial" w:cs="Arial"/>
          <w:b/>
          <w:bCs/>
          <w:sz w:val="32"/>
          <w:szCs w:val="32"/>
        </w:rPr>
        <w:t xml:space="preserve">NHS WALES PLANNING FRAMEWORK </w:t>
      </w:r>
      <w:r w:rsidR="0071714A">
        <w:rPr>
          <w:rFonts w:ascii="Arial" w:hAnsi="Arial" w:cs="Arial"/>
          <w:b/>
          <w:bCs/>
          <w:sz w:val="32"/>
          <w:szCs w:val="32"/>
        </w:rPr>
        <w:t>2</w:t>
      </w:r>
      <w:r w:rsidR="001C2897">
        <w:rPr>
          <w:rFonts w:ascii="Arial" w:hAnsi="Arial" w:cs="Arial"/>
          <w:b/>
          <w:bCs/>
          <w:sz w:val="32"/>
          <w:szCs w:val="32"/>
        </w:rPr>
        <w:t>5</w:t>
      </w:r>
      <w:r w:rsidR="0071714A">
        <w:rPr>
          <w:rFonts w:ascii="Arial" w:hAnsi="Arial" w:cs="Arial"/>
          <w:b/>
          <w:bCs/>
          <w:sz w:val="32"/>
          <w:szCs w:val="32"/>
        </w:rPr>
        <w:t>-2</w:t>
      </w:r>
      <w:r w:rsidR="001C2897">
        <w:rPr>
          <w:rFonts w:ascii="Arial" w:hAnsi="Arial" w:cs="Arial"/>
          <w:b/>
          <w:bCs/>
          <w:sz w:val="32"/>
          <w:szCs w:val="32"/>
        </w:rPr>
        <w:t>8</w:t>
      </w:r>
      <w:r w:rsidR="0071714A">
        <w:rPr>
          <w:rFonts w:ascii="Arial" w:hAnsi="Arial" w:cs="Arial"/>
          <w:b/>
          <w:bCs/>
          <w:sz w:val="32"/>
          <w:szCs w:val="32"/>
        </w:rPr>
        <w:t xml:space="preserve">- </w:t>
      </w:r>
      <w:r>
        <w:rPr>
          <w:rFonts w:ascii="Arial" w:hAnsi="Arial" w:cs="Arial"/>
          <w:b/>
          <w:bCs/>
          <w:sz w:val="32"/>
          <w:szCs w:val="32"/>
        </w:rPr>
        <w:t>TEMPLATE</w:t>
      </w:r>
      <w:r w:rsidR="00E30918">
        <w:rPr>
          <w:rFonts w:ascii="Arial" w:hAnsi="Arial" w:cs="Arial"/>
          <w:b/>
          <w:bCs/>
          <w:sz w:val="32"/>
          <w:szCs w:val="32"/>
        </w:rPr>
        <w:t>S</w:t>
      </w:r>
    </w:p>
    <w:p w14:paraId="228CA6D0" w14:textId="77777777" w:rsidR="009F3A04" w:rsidRDefault="009F3A04" w:rsidP="009F3A04">
      <w:pPr>
        <w:spacing w:after="0" w:line="240" w:lineRule="auto"/>
        <w:rPr>
          <w:rFonts w:ascii="Arial" w:hAnsi="Arial" w:cs="Arial"/>
          <w:sz w:val="24"/>
          <w:szCs w:val="24"/>
        </w:rPr>
      </w:pPr>
    </w:p>
    <w:p w14:paraId="1F1E7DEA" w14:textId="70B1BD38" w:rsidR="000A24C8" w:rsidRPr="002718DB" w:rsidRDefault="00192611">
      <w:pPr>
        <w:rPr>
          <w:rFonts w:ascii="Arial" w:hAnsi="Arial" w:cs="Arial"/>
          <w:sz w:val="24"/>
          <w:szCs w:val="24"/>
        </w:rPr>
      </w:pPr>
      <w:r w:rsidRPr="00192611">
        <w:rPr>
          <w:rFonts w:ascii="Arial" w:hAnsi="Arial" w:cs="Arial"/>
          <w:sz w:val="24"/>
          <w:szCs w:val="24"/>
        </w:rPr>
        <w:t xml:space="preserve">The development of our Strategic Plan (Integrated Medium Term Plan) has been informed by the </w:t>
      </w:r>
      <w:r>
        <w:rPr>
          <w:rFonts w:ascii="Arial" w:hAnsi="Arial" w:cs="Arial"/>
          <w:sz w:val="24"/>
          <w:szCs w:val="24"/>
        </w:rPr>
        <w:t xml:space="preserve">Cabinet </w:t>
      </w:r>
      <w:r w:rsidR="005A73B7">
        <w:rPr>
          <w:rFonts w:ascii="Arial" w:hAnsi="Arial" w:cs="Arial"/>
          <w:sz w:val="24"/>
          <w:szCs w:val="24"/>
        </w:rPr>
        <w:t>Secretary</w:t>
      </w:r>
      <w:r w:rsidR="003F54B1">
        <w:rPr>
          <w:rFonts w:ascii="Arial" w:hAnsi="Arial" w:cs="Arial"/>
          <w:sz w:val="24"/>
          <w:szCs w:val="24"/>
        </w:rPr>
        <w:t xml:space="preserve"> for</w:t>
      </w:r>
      <w:r w:rsidRPr="00192611">
        <w:rPr>
          <w:rFonts w:ascii="Arial" w:hAnsi="Arial" w:cs="Arial"/>
          <w:sz w:val="24"/>
          <w:szCs w:val="24"/>
        </w:rPr>
        <w:t xml:space="preserve"> Health and Social </w:t>
      </w:r>
      <w:r w:rsidR="009B4D99">
        <w:rPr>
          <w:rFonts w:ascii="Arial" w:hAnsi="Arial" w:cs="Arial"/>
          <w:sz w:val="24"/>
          <w:szCs w:val="24"/>
        </w:rPr>
        <w:t>Care</w:t>
      </w:r>
      <w:r w:rsidRPr="00192611">
        <w:rPr>
          <w:rFonts w:ascii="Arial" w:hAnsi="Arial" w:cs="Arial"/>
          <w:sz w:val="24"/>
          <w:szCs w:val="24"/>
        </w:rPr>
        <w:t xml:space="preserve"> priorities for NHS Wales and subsequent </w:t>
      </w:r>
      <w:r w:rsidR="004558B1">
        <w:rPr>
          <w:rFonts w:ascii="Arial" w:hAnsi="Arial" w:cs="Arial"/>
          <w:sz w:val="24"/>
          <w:szCs w:val="24"/>
        </w:rPr>
        <w:t>Remit</w:t>
      </w:r>
      <w:r w:rsidRPr="00192611">
        <w:rPr>
          <w:rFonts w:ascii="Arial" w:hAnsi="Arial" w:cs="Arial"/>
          <w:sz w:val="24"/>
          <w:szCs w:val="24"/>
        </w:rPr>
        <w:t xml:space="preserve"> Letter issued by Welsh Government to Public Health Wales</w:t>
      </w:r>
      <w:r w:rsidR="00081BE6">
        <w:rPr>
          <w:rFonts w:ascii="Arial" w:hAnsi="Arial" w:cs="Arial"/>
          <w:sz w:val="24"/>
          <w:szCs w:val="24"/>
        </w:rPr>
        <w:t xml:space="preserve"> in February 2025</w:t>
      </w:r>
      <w:r w:rsidRPr="00192611">
        <w:rPr>
          <w:rFonts w:ascii="Arial" w:hAnsi="Arial" w:cs="Arial"/>
          <w:sz w:val="24"/>
          <w:szCs w:val="24"/>
        </w:rPr>
        <w:t xml:space="preserve">. Our plan has particularly focused on the support and public health expertise that we can provide to the wider system and national programmes to help in ensure that quality, safety, prevention, and good health outcomes are at the heart of the NHS in Wales. Our role in supporting the delivery of the priorities and objectives is embedded within each of our strategic priorities. A </w:t>
      </w:r>
      <w:r w:rsidR="00B92F4C" w:rsidRPr="00192611">
        <w:rPr>
          <w:rFonts w:ascii="Arial" w:hAnsi="Arial" w:cs="Arial"/>
          <w:sz w:val="24"/>
          <w:szCs w:val="24"/>
        </w:rPr>
        <w:t>high-level</w:t>
      </w:r>
      <w:r w:rsidRPr="00192611">
        <w:rPr>
          <w:rFonts w:ascii="Arial" w:hAnsi="Arial" w:cs="Arial"/>
          <w:sz w:val="24"/>
          <w:szCs w:val="24"/>
        </w:rPr>
        <w:t xml:space="preserve"> summary</w:t>
      </w:r>
      <w:r w:rsidR="002718DB">
        <w:rPr>
          <w:rFonts w:ascii="Arial" w:hAnsi="Arial" w:cs="Arial"/>
          <w:sz w:val="24"/>
          <w:szCs w:val="24"/>
        </w:rPr>
        <w:t xml:space="preserve"> of key actions that we will deliver is provided below. further detail is included in Annex A in relation to each of our Remit Letter deliverables. </w:t>
      </w:r>
      <w:r w:rsidRPr="00192611">
        <w:rPr>
          <w:rFonts w:ascii="Arial" w:hAnsi="Arial" w:cs="Arial"/>
          <w:sz w:val="24"/>
          <w:szCs w:val="24"/>
        </w:rPr>
        <w:t xml:space="preserve"> </w:t>
      </w:r>
    </w:p>
    <w:tbl>
      <w:tblPr>
        <w:tblStyle w:val="TableGrid1"/>
        <w:tblpPr w:leftFromText="180" w:rightFromText="180" w:vertAnchor="text" w:tblpX="-147" w:tblpY="1"/>
        <w:tblOverlap w:val="never"/>
        <w:tblW w:w="5082" w:type="pct"/>
        <w:tblInd w:w="0" w:type="dxa"/>
        <w:tblLook w:val="04A0" w:firstRow="1" w:lastRow="0" w:firstColumn="1" w:lastColumn="0" w:noHBand="0" w:noVBand="1"/>
      </w:tblPr>
      <w:tblGrid>
        <w:gridCol w:w="1389"/>
        <w:gridCol w:w="591"/>
        <w:gridCol w:w="1390"/>
        <w:gridCol w:w="185"/>
        <w:gridCol w:w="587"/>
        <w:gridCol w:w="383"/>
        <w:gridCol w:w="285"/>
        <w:gridCol w:w="1507"/>
        <w:gridCol w:w="40"/>
        <w:gridCol w:w="459"/>
        <w:gridCol w:w="829"/>
        <w:gridCol w:w="502"/>
        <w:gridCol w:w="2480"/>
      </w:tblGrid>
      <w:tr w:rsidR="00D95D58" w:rsidRPr="000C3B7B" w14:paraId="4185410B" w14:textId="77777777" w:rsidTr="000C60CD">
        <w:tc>
          <w:tcPr>
            <w:tcW w:w="5000" w:type="pct"/>
            <w:gridSpan w:val="13"/>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51AD5B5" w14:textId="0A262871" w:rsidR="00D95D58" w:rsidRPr="006179A4" w:rsidRDefault="00D95D58" w:rsidP="00D95D58">
            <w:pPr>
              <w:rPr>
                <w:rFonts w:ascii="Arial" w:hAnsi="Arial"/>
              </w:rPr>
            </w:pPr>
            <w:r w:rsidRPr="006179A4">
              <w:rPr>
                <w:rFonts w:ascii="Arial" w:eastAsia="Times New Roman" w:hAnsi="Arial" w:cs="Arial"/>
                <w:b/>
                <w:bCs/>
              </w:rPr>
              <w:t xml:space="preserve">Priority area(s) to deliver 25/26:  </w:t>
            </w:r>
          </w:p>
        </w:tc>
      </w:tr>
      <w:tr w:rsidR="000C60CD" w:rsidRPr="000C3B7B" w14:paraId="2F0F04AF" w14:textId="77777777" w:rsidTr="00310ED0">
        <w:tc>
          <w:tcPr>
            <w:tcW w:w="1586" w:type="pct"/>
            <w:gridSpan w:val="3"/>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4DD3DD" w14:textId="57A076E5" w:rsidR="006179A4" w:rsidRPr="006179A4" w:rsidRDefault="006179A4" w:rsidP="00D95D58">
            <w:pPr>
              <w:rPr>
                <w:rFonts w:ascii="Arial" w:eastAsia="Times New Roman" w:hAnsi="Arial" w:cs="Arial"/>
                <w:b/>
                <w:bCs/>
              </w:rPr>
            </w:pPr>
            <w:r w:rsidRPr="006179A4">
              <w:rPr>
                <w:rFonts w:ascii="Arial" w:hAnsi="Arial" w:cs="Arial"/>
                <w:b/>
                <w:bCs/>
              </w:rPr>
              <w:t>Key focus should be on delivering</w:t>
            </w:r>
          </w:p>
        </w:tc>
        <w:tc>
          <w:tcPr>
            <w:tcW w:w="3414" w:type="pct"/>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9DE2B4" w14:textId="64164EA3" w:rsidR="006179A4" w:rsidRPr="00692337" w:rsidRDefault="00692337" w:rsidP="00692337">
            <w:pPr>
              <w:rPr>
                <w:rFonts w:ascii="Arial" w:hAnsi="Arial"/>
                <w:sz w:val="28"/>
                <w:szCs w:val="28"/>
              </w:rPr>
            </w:pPr>
            <w:r w:rsidRPr="00692337">
              <w:rPr>
                <w:rFonts w:ascii="Arial" w:hAnsi="Arial"/>
                <w:sz w:val="28"/>
                <w:szCs w:val="28"/>
              </w:rPr>
              <w:t xml:space="preserve">Timely Access to Care </w:t>
            </w:r>
          </w:p>
        </w:tc>
      </w:tr>
      <w:tr w:rsidR="001C45C7" w:rsidRPr="000C3B7B" w14:paraId="7DF0531C" w14:textId="77777777" w:rsidTr="005A3737">
        <w:trPr>
          <w:trHeight w:val="112"/>
        </w:trPr>
        <w:tc>
          <w:tcPr>
            <w:tcW w:w="932" w:type="pct"/>
            <w:gridSpan w:val="2"/>
            <w:tcBorders>
              <w:top w:val="single" w:sz="4" w:space="0" w:color="auto"/>
              <w:left w:val="single" w:sz="4" w:space="0" w:color="auto"/>
              <w:bottom w:val="single" w:sz="4" w:space="0" w:color="auto"/>
              <w:right w:val="single" w:sz="4" w:space="0" w:color="auto"/>
            </w:tcBorders>
            <w:shd w:val="clear" w:color="auto" w:fill="000000" w:themeFill="text1"/>
          </w:tcPr>
          <w:p w14:paraId="6A3146B0" w14:textId="77777777" w:rsidR="00EC4017" w:rsidRPr="000C3B7B" w:rsidRDefault="00EC4017" w:rsidP="00D95D58">
            <w:pPr>
              <w:rPr>
                <w:rFonts w:ascii="Arial" w:hAnsi="Arial" w:cs="Arial"/>
                <w:b/>
                <w:bCs/>
              </w:rPr>
            </w:pPr>
          </w:p>
        </w:tc>
        <w:tc>
          <w:tcPr>
            <w:tcW w:w="741" w:type="pct"/>
            <w:gridSpan w:val="2"/>
            <w:tcBorders>
              <w:top w:val="single" w:sz="4" w:space="0" w:color="auto"/>
              <w:left w:val="single" w:sz="4" w:space="0" w:color="auto"/>
              <w:bottom w:val="single" w:sz="4" w:space="0" w:color="auto"/>
              <w:right w:val="single" w:sz="4" w:space="0" w:color="auto"/>
            </w:tcBorders>
            <w:shd w:val="clear" w:color="auto" w:fill="000000" w:themeFill="text1"/>
          </w:tcPr>
          <w:p w14:paraId="7F71CAEA" w14:textId="77777777" w:rsidR="00EC4017" w:rsidRPr="000C3B7B" w:rsidRDefault="00EC4017" w:rsidP="00D95D58">
            <w:pPr>
              <w:rPr>
                <w:rFonts w:ascii="Arial" w:hAnsi="Arial" w:cs="Arial"/>
                <w:b/>
                <w:bCs/>
              </w:rPr>
            </w:pPr>
          </w:p>
        </w:tc>
        <w:tc>
          <w:tcPr>
            <w:tcW w:w="590" w:type="pct"/>
            <w:gridSpan w:val="3"/>
            <w:tcBorders>
              <w:top w:val="single" w:sz="4" w:space="0" w:color="auto"/>
              <w:left w:val="single" w:sz="4" w:space="0" w:color="auto"/>
              <w:bottom w:val="single" w:sz="4" w:space="0" w:color="auto"/>
              <w:right w:val="single" w:sz="4" w:space="0" w:color="auto"/>
            </w:tcBorders>
            <w:shd w:val="clear" w:color="auto" w:fill="000000" w:themeFill="text1"/>
          </w:tcPr>
          <w:p w14:paraId="4B827250" w14:textId="77777777" w:rsidR="00EC4017" w:rsidRPr="000C3B7B" w:rsidRDefault="00EC4017" w:rsidP="00D95D58">
            <w:pPr>
              <w:rPr>
                <w:rFonts w:ascii="Arial" w:hAnsi="Arial" w:cs="Arial"/>
                <w:i/>
                <w:iCs/>
              </w:rPr>
            </w:pPr>
          </w:p>
        </w:tc>
        <w:tc>
          <w:tcPr>
            <w:tcW w:w="944" w:type="pct"/>
            <w:gridSpan w:val="3"/>
            <w:tcBorders>
              <w:top w:val="single" w:sz="4" w:space="0" w:color="auto"/>
              <w:left w:val="single" w:sz="4" w:space="0" w:color="auto"/>
              <w:bottom w:val="single" w:sz="4" w:space="0" w:color="auto"/>
              <w:right w:val="single" w:sz="4" w:space="0" w:color="auto"/>
            </w:tcBorders>
            <w:shd w:val="clear" w:color="auto" w:fill="000000" w:themeFill="text1"/>
          </w:tcPr>
          <w:p w14:paraId="666831EA" w14:textId="77777777" w:rsidR="00EC4017" w:rsidRPr="000C3B7B" w:rsidRDefault="00EC4017" w:rsidP="00D95D58">
            <w:pPr>
              <w:rPr>
                <w:rFonts w:ascii="Arial" w:hAnsi="Arial" w:cs="Arial"/>
                <w:i/>
                <w:iCs/>
              </w:rPr>
            </w:pPr>
          </w:p>
        </w:tc>
        <w:tc>
          <w:tcPr>
            <w:tcW w:w="1793" w:type="pct"/>
            <w:gridSpan w:val="3"/>
            <w:tcBorders>
              <w:top w:val="single" w:sz="4" w:space="0" w:color="auto"/>
              <w:left w:val="single" w:sz="4" w:space="0" w:color="auto"/>
              <w:bottom w:val="single" w:sz="4" w:space="0" w:color="auto"/>
              <w:right w:val="single" w:sz="4" w:space="0" w:color="auto"/>
            </w:tcBorders>
            <w:shd w:val="clear" w:color="auto" w:fill="000000" w:themeFill="text1"/>
          </w:tcPr>
          <w:p w14:paraId="464FC974" w14:textId="77777777" w:rsidR="00EC4017" w:rsidRPr="000C3B7B" w:rsidRDefault="00EC4017" w:rsidP="00D95D58">
            <w:pPr>
              <w:rPr>
                <w:rFonts w:ascii="Arial" w:hAnsi="Arial" w:cs="Arial"/>
                <w:i/>
                <w:iCs/>
              </w:rPr>
            </w:pPr>
          </w:p>
        </w:tc>
      </w:tr>
      <w:tr w:rsidR="00EC4017" w:rsidRPr="000C3B7B" w14:paraId="6FA76992" w14:textId="77777777" w:rsidTr="00310ED0">
        <w:tc>
          <w:tcPr>
            <w:tcW w:w="932"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7B14F90" w14:textId="77777777" w:rsidR="00EC4017" w:rsidRPr="007469E9" w:rsidRDefault="00EC4017" w:rsidP="00D95D58">
            <w:pPr>
              <w:rPr>
                <w:rFonts w:ascii="Arial" w:hAnsi="Arial" w:cs="Arial"/>
                <w:b/>
                <w:bCs/>
                <w:sz w:val="24"/>
                <w:szCs w:val="24"/>
              </w:rPr>
            </w:pPr>
            <w:r w:rsidRPr="007469E9">
              <w:rPr>
                <w:rFonts w:ascii="Arial" w:hAnsi="Arial" w:cs="Arial"/>
                <w:b/>
                <w:bCs/>
                <w:sz w:val="24"/>
                <w:szCs w:val="24"/>
              </w:rPr>
              <w:t>Ref:</w:t>
            </w:r>
          </w:p>
        </w:tc>
        <w:tc>
          <w:tcPr>
            <w:tcW w:w="4068" w:type="pct"/>
            <w:gridSpan w:val="11"/>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0C2CD1F" w14:textId="77777777" w:rsidR="00EC4017" w:rsidRDefault="007469E9" w:rsidP="007469E9">
            <w:pPr>
              <w:rPr>
                <w:rFonts w:ascii="Arial" w:hAnsi="Arial" w:cs="Arial"/>
                <w:bCs/>
                <w:sz w:val="24"/>
                <w:szCs w:val="24"/>
              </w:rPr>
            </w:pPr>
            <w:r w:rsidRPr="007469E9">
              <w:rPr>
                <w:rFonts w:ascii="Arial" w:hAnsi="Arial" w:cs="Arial"/>
                <w:bCs/>
                <w:sz w:val="24"/>
                <w:szCs w:val="24"/>
              </w:rPr>
              <w:t>Continued Ministerial Priority</w:t>
            </w:r>
          </w:p>
          <w:p w14:paraId="3845FA7D" w14:textId="6197D401" w:rsidR="007469E9" w:rsidRPr="007469E9" w:rsidRDefault="007469E9" w:rsidP="00D95D58">
            <w:pPr>
              <w:jc w:val="center"/>
              <w:rPr>
                <w:rFonts w:ascii="Arial" w:hAnsi="Arial" w:cs="Arial"/>
                <w:b/>
                <w:iCs/>
                <w:sz w:val="24"/>
                <w:szCs w:val="24"/>
              </w:rPr>
            </w:pPr>
          </w:p>
        </w:tc>
      </w:tr>
      <w:tr w:rsidR="00506635" w:rsidRPr="000C3B7B" w14:paraId="345C2EAC" w14:textId="77777777" w:rsidTr="002718DB">
        <w:trPr>
          <w:trHeight w:val="358"/>
        </w:trPr>
        <w:tc>
          <w:tcPr>
            <w:tcW w:w="5000" w:type="pct"/>
            <w:gridSpan w:val="13"/>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4E5F104" w14:textId="517FE85F" w:rsidR="00506635" w:rsidRPr="002718DB" w:rsidRDefault="00506635" w:rsidP="00D95D58">
            <w:pPr>
              <w:rPr>
                <w:rFonts w:ascii="Arial" w:hAnsi="Arial" w:cs="Arial"/>
                <w:b/>
                <w:bCs/>
                <w:sz w:val="24"/>
                <w:szCs w:val="24"/>
              </w:rPr>
            </w:pPr>
            <w:r>
              <w:rPr>
                <w:rFonts w:ascii="Arial" w:hAnsi="Arial" w:cs="Arial"/>
                <w:b/>
                <w:bCs/>
              </w:rPr>
              <w:t xml:space="preserve"> </w:t>
            </w:r>
            <w:r w:rsidRPr="007469E9">
              <w:rPr>
                <w:rFonts w:ascii="Arial" w:hAnsi="Arial" w:cs="Arial"/>
                <w:b/>
                <w:bCs/>
                <w:sz w:val="24"/>
                <w:szCs w:val="24"/>
              </w:rPr>
              <w:t xml:space="preserve">Resume of planning Milestones 24/25: </w:t>
            </w:r>
          </w:p>
        </w:tc>
      </w:tr>
      <w:tr w:rsidR="00442455" w:rsidRPr="000C3B7B" w14:paraId="57E1CFDC" w14:textId="77777777" w:rsidTr="005A3737">
        <w:trPr>
          <w:trHeight w:val="252"/>
        </w:trPr>
        <w:tc>
          <w:tcPr>
            <w:tcW w:w="932"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1AB4A27" w14:textId="77777777" w:rsidR="00F355BC" w:rsidRDefault="00F355BC" w:rsidP="00D95D58">
            <w:pPr>
              <w:rPr>
                <w:rFonts w:ascii="Arial" w:hAnsi="Arial" w:cs="Arial"/>
                <w:b/>
              </w:rPr>
            </w:pPr>
          </w:p>
        </w:tc>
        <w:tc>
          <w:tcPr>
            <w:tcW w:w="1197"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613319" w14:textId="7D0308CD" w:rsidR="00F355BC" w:rsidRPr="00506635" w:rsidRDefault="00F355BC" w:rsidP="00D95D58">
            <w:pPr>
              <w:rPr>
                <w:rFonts w:ascii="Arial" w:hAnsi="Arial" w:cs="Arial"/>
                <w:b/>
                <w:bCs/>
              </w:rPr>
            </w:pPr>
            <w:r w:rsidRPr="00506635">
              <w:rPr>
                <w:rFonts w:ascii="Arial" w:hAnsi="Arial" w:cs="Arial"/>
                <w:b/>
                <w:bCs/>
              </w:rPr>
              <w:t>Quarter 2</w:t>
            </w:r>
          </w:p>
        </w:tc>
        <w:tc>
          <w:tcPr>
            <w:tcW w:w="1468" w:type="pct"/>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F220D3" w14:textId="7D579CED" w:rsidR="00F355BC" w:rsidRPr="00506635" w:rsidRDefault="00F355BC" w:rsidP="00D95D58">
            <w:pPr>
              <w:rPr>
                <w:rFonts w:ascii="Arial" w:hAnsi="Arial" w:cs="Arial"/>
                <w:b/>
                <w:bCs/>
              </w:rPr>
            </w:pPr>
            <w:r w:rsidRPr="00506635">
              <w:rPr>
                <w:rFonts w:ascii="Arial" w:hAnsi="Arial" w:cs="Arial"/>
                <w:b/>
                <w:bCs/>
              </w:rPr>
              <w:t>Quarter 3</w:t>
            </w:r>
          </w:p>
        </w:tc>
        <w:tc>
          <w:tcPr>
            <w:tcW w:w="1403"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E1F0DA" w14:textId="3AEE361B" w:rsidR="00F355BC" w:rsidRPr="00506635" w:rsidRDefault="00F355BC" w:rsidP="00D95D58">
            <w:pPr>
              <w:rPr>
                <w:rFonts w:ascii="Arial" w:hAnsi="Arial" w:cs="Arial"/>
                <w:b/>
                <w:bCs/>
              </w:rPr>
            </w:pPr>
            <w:r w:rsidRPr="00506635">
              <w:rPr>
                <w:rFonts w:ascii="Arial" w:hAnsi="Arial" w:cs="Arial"/>
                <w:b/>
                <w:bCs/>
              </w:rPr>
              <w:t>Quarter 4</w:t>
            </w:r>
          </w:p>
        </w:tc>
      </w:tr>
      <w:tr w:rsidR="00F355BC" w:rsidRPr="000C3B7B" w14:paraId="0DD91F27" w14:textId="77777777" w:rsidTr="005A3737">
        <w:trPr>
          <w:trHeight w:val="513"/>
        </w:trPr>
        <w:tc>
          <w:tcPr>
            <w:tcW w:w="932"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723F845" w14:textId="78CB30D1" w:rsidR="00F355BC" w:rsidRPr="000C3B7B" w:rsidRDefault="00F355BC" w:rsidP="00D95D58">
            <w:pPr>
              <w:rPr>
                <w:rFonts w:ascii="Arial" w:hAnsi="Arial" w:cs="Arial"/>
                <w:b/>
              </w:rPr>
            </w:pPr>
            <w:r>
              <w:rPr>
                <w:rFonts w:ascii="Arial" w:hAnsi="Arial" w:cs="Arial"/>
                <w:b/>
              </w:rPr>
              <w:t>Ref:</w:t>
            </w:r>
          </w:p>
        </w:tc>
        <w:tc>
          <w:tcPr>
            <w:tcW w:w="1197"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E09FC6" w14:textId="118FD693" w:rsidR="00AB5A5A" w:rsidRPr="0043296E" w:rsidRDefault="00F355BC" w:rsidP="0043296E">
            <w:pPr>
              <w:pStyle w:val="ListParagraph"/>
              <w:numPr>
                <w:ilvl w:val="0"/>
                <w:numId w:val="8"/>
              </w:numPr>
              <w:rPr>
                <w:rFonts w:ascii="Arial" w:hAnsi="Arial" w:cs="Arial"/>
              </w:rPr>
            </w:pPr>
            <w:r w:rsidRPr="0043296E">
              <w:rPr>
                <w:rFonts w:ascii="Arial" w:hAnsi="Arial" w:cs="Arial"/>
                <w:sz w:val="20"/>
                <w:szCs w:val="20"/>
              </w:rPr>
              <w:t xml:space="preserve">Implemented new cancer data flows from the Welsh clinical portal </w:t>
            </w:r>
            <w:proofErr w:type="spellStart"/>
            <w:r w:rsidRPr="0043296E">
              <w:rPr>
                <w:rFonts w:ascii="Arial" w:hAnsi="Arial" w:cs="Arial"/>
                <w:sz w:val="20"/>
                <w:szCs w:val="20"/>
              </w:rPr>
              <w:t>eForms</w:t>
            </w:r>
            <w:proofErr w:type="spellEnd"/>
            <w:r w:rsidR="0043296E" w:rsidRPr="0043296E">
              <w:rPr>
                <w:rFonts w:ascii="Arial" w:hAnsi="Arial" w:cs="Arial"/>
                <w:sz w:val="20"/>
                <w:szCs w:val="20"/>
              </w:rPr>
              <w:t xml:space="preserve"> (</w:t>
            </w:r>
            <w:r w:rsidR="0043296E" w:rsidRPr="002718DB">
              <w:rPr>
                <w:rFonts w:ascii="Arial" w:hAnsi="Arial" w:cs="Arial"/>
                <w:b/>
                <w:bCs/>
                <w:color w:val="000000" w:themeColor="text1"/>
                <w:sz w:val="20"/>
                <w:szCs w:val="20"/>
              </w:rPr>
              <w:t>completed</w:t>
            </w:r>
            <w:r w:rsidR="0043296E" w:rsidRPr="0043296E">
              <w:rPr>
                <w:rFonts w:ascii="Arial" w:hAnsi="Arial" w:cs="Arial"/>
                <w:sz w:val="20"/>
                <w:szCs w:val="20"/>
              </w:rPr>
              <w:t>)</w:t>
            </w:r>
          </w:p>
        </w:tc>
        <w:tc>
          <w:tcPr>
            <w:tcW w:w="1468" w:type="pct"/>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18460D" w14:textId="5C314C3F" w:rsidR="00F355BC" w:rsidRDefault="00F355BC" w:rsidP="0043296E">
            <w:pPr>
              <w:pStyle w:val="ListParagraph"/>
              <w:numPr>
                <w:ilvl w:val="0"/>
                <w:numId w:val="8"/>
              </w:numPr>
              <w:rPr>
                <w:rFonts w:ascii="Arial" w:hAnsi="Arial" w:cs="Arial"/>
                <w:sz w:val="20"/>
                <w:szCs w:val="20"/>
              </w:rPr>
            </w:pPr>
            <w:r w:rsidRPr="001C45C7">
              <w:rPr>
                <w:rFonts w:ascii="Arial" w:hAnsi="Arial" w:cs="Arial"/>
                <w:sz w:val="20"/>
                <w:szCs w:val="20"/>
              </w:rPr>
              <w:t>Continued roll out of bowel screening age extension to offer screening to people aged 50 years old. Improve sensitivity of the screening FIT by reducing the cut off</w:t>
            </w:r>
            <w:r w:rsidR="0043296E">
              <w:rPr>
                <w:rFonts w:ascii="Arial" w:hAnsi="Arial" w:cs="Arial"/>
                <w:sz w:val="20"/>
                <w:szCs w:val="20"/>
              </w:rPr>
              <w:t xml:space="preserve"> </w:t>
            </w:r>
            <w:r w:rsidR="0043296E" w:rsidRPr="0043296E">
              <w:rPr>
                <w:rFonts w:ascii="Arial" w:hAnsi="Arial" w:cs="Arial"/>
                <w:sz w:val="20"/>
                <w:szCs w:val="20"/>
              </w:rPr>
              <w:t>(</w:t>
            </w:r>
            <w:r w:rsidR="0043296E" w:rsidRPr="002718DB">
              <w:rPr>
                <w:rFonts w:ascii="Arial" w:hAnsi="Arial" w:cs="Arial"/>
                <w:b/>
                <w:bCs/>
                <w:color w:val="000000" w:themeColor="text1"/>
                <w:sz w:val="20"/>
                <w:szCs w:val="20"/>
              </w:rPr>
              <w:t>completed</w:t>
            </w:r>
            <w:r w:rsidR="0043296E" w:rsidRPr="0043296E">
              <w:rPr>
                <w:rFonts w:ascii="Arial" w:hAnsi="Arial" w:cs="Arial"/>
                <w:sz w:val="20"/>
                <w:szCs w:val="20"/>
              </w:rPr>
              <w:t>)</w:t>
            </w:r>
          </w:p>
          <w:p w14:paraId="55B64089" w14:textId="3C73063A" w:rsidR="00F355BC" w:rsidRPr="001C45C7" w:rsidRDefault="00F355BC" w:rsidP="0043296E">
            <w:pPr>
              <w:pStyle w:val="ListParagraph"/>
              <w:numPr>
                <w:ilvl w:val="0"/>
                <w:numId w:val="8"/>
              </w:numPr>
              <w:rPr>
                <w:rFonts w:ascii="Arial" w:hAnsi="Arial" w:cs="Arial"/>
                <w:sz w:val="20"/>
                <w:szCs w:val="20"/>
              </w:rPr>
            </w:pPr>
            <w:r w:rsidRPr="00F355BC">
              <w:rPr>
                <w:rFonts w:ascii="Arial" w:hAnsi="Arial" w:cs="Arial"/>
                <w:sz w:val="20"/>
                <w:szCs w:val="20"/>
              </w:rPr>
              <w:t>Published our work on cancer and ethnicity and look at creating a sustainable model for analysis of inequalities.</w:t>
            </w:r>
            <w:r w:rsidR="0043296E">
              <w:rPr>
                <w:rFonts w:ascii="Arial" w:hAnsi="Arial" w:cs="Arial"/>
                <w:sz w:val="20"/>
                <w:szCs w:val="20"/>
              </w:rPr>
              <w:t xml:space="preserve"> </w:t>
            </w:r>
            <w:r w:rsidR="0043296E" w:rsidRPr="0043296E">
              <w:rPr>
                <w:rFonts w:ascii="Arial" w:hAnsi="Arial" w:cs="Arial"/>
                <w:sz w:val="20"/>
                <w:szCs w:val="20"/>
              </w:rPr>
              <w:t>(</w:t>
            </w:r>
            <w:r w:rsidR="0043296E" w:rsidRPr="002718DB">
              <w:rPr>
                <w:rFonts w:ascii="Arial" w:hAnsi="Arial" w:cs="Arial"/>
                <w:b/>
                <w:bCs/>
                <w:color w:val="000000" w:themeColor="text1"/>
                <w:sz w:val="20"/>
                <w:szCs w:val="20"/>
              </w:rPr>
              <w:t>completed</w:t>
            </w:r>
            <w:r w:rsidR="0043296E" w:rsidRPr="0043296E">
              <w:rPr>
                <w:rFonts w:ascii="Arial" w:hAnsi="Arial" w:cs="Arial"/>
                <w:sz w:val="20"/>
                <w:szCs w:val="20"/>
              </w:rPr>
              <w:t>)</w:t>
            </w:r>
          </w:p>
          <w:p w14:paraId="67EEB32D" w14:textId="77777777" w:rsidR="00F355BC" w:rsidRDefault="00F355BC" w:rsidP="00D95D58">
            <w:pPr>
              <w:rPr>
                <w:rFonts w:ascii="Arial" w:hAnsi="Arial" w:cs="Arial"/>
              </w:rPr>
            </w:pPr>
          </w:p>
        </w:tc>
        <w:tc>
          <w:tcPr>
            <w:tcW w:w="1403"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446B773" w14:textId="5B20A50B" w:rsidR="004C6D48" w:rsidRPr="004C6D48" w:rsidRDefault="004C6D48" w:rsidP="0043296E">
            <w:pPr>
              <w:pStyle w:val="ListParagraph"/>
              <w:numPr>
                <w:ilvl w:val="0"/>
                <w:numId w:val="11"/>
              </w:numPr>
              <w:rPr>
                <w:rFonts w:ascii="Arial" w:hAnsi="Arial" w:cs="Arial"/>
                <w:sz w:val="20"/>
                <w:szCs w:val="20"/>
              </w:rPr>
            </w:pPr>
            <w:r w:rsidRPr="004C6D48">
              <w:rPr>
                <w:rFonts w:ascii="Arial" w:hAnsi="Arial" w:cs="Arial"/>
                <w:sz w:val="20"/>
                <w:szCs w:val="20"/>
              </w:rPr>
              <w:t>Redeveloped the Cervical Screening Wales Audit of Cervical Cancers (CSWACC) database to meet needs of Duty of Quality and Duty of Candour.</w:t>
            </w:r>
            <w:r w:rsidR="007831E9">
              <w:rPr>
                <w:rFonts w:ascii="Arial" w:hAnsi="Arial" w:cs="Arial"/>
                <w:sz w:val="20"/>
                <w:szCs w:val="20"/>
              </w:rPr>
              <w:t xml:space="preserve"> </w:t>
            </w:r>
            <w:r w:rsidR="007831E9" w:rsidRPr="007831E9">
              <w:rPr>
                <w:rFonts w:ascii="Arial" w:hAnsi="Arial" w:cs="Arial"/>
                <w:sz w:val="20"/>
                <w:szCs w:val="20"/>
              </w:rPr>
              <w:t>(</w:t>
            </w:r>
            <w:r w:rsidR="007831E9" w:rsidRPr="002718DB">
              <w:rPr>
                <w:rFonts w:ascii="Arial" w:hAnsi="Arial" w:cs="Arial"/>
                <w:b/>
                <w:bCs/>
                <w:sz w:val="20"/>
                <w:szCs w:val="20"/>
              </w:rPr>
              <w:t>on track</w:t>
            </w:r>
            <w:r w:rsidR="007831E9" w:rsidRPr="007831E9">
              <w:rPr>
                <w:rFonts w:ascii="Arial" w:hAnsi="Arial" w:cs="Arial"/>
                <w:sz w:val="20"/>
                <w:szCs w:val="20"/>
              </w:rPr>
              <w:t>)</w:t>
            </w:r>
          </w:p>
          <w:p w14:paraId="27F86E14" w14:textId="0E687EA0" w:rsidR="004C6D48" w:rsidRPr="004C6D48" w:rsidRDefault="006D1CF5" w:rsidP="0043296E">
            <w:pPr>
              <w:pStyle w:val="ListParagraph"/>
              <w:numPr>
                <w:ilvl w:val="0"/>
                <w:numId w:val="11"/>
              </w:numPr>
              <w:rPr>
                <w:rFonts w:ascii="Arial" w:hAnsi="Arial" w:cs="Arial"/>
                <w:sz w:val="20"/>
                <w:szCs w:val="20"/>
              </w:rPr>
            </w:pPr>
            <w:r>
              <w:rPr>
                <w:rFonts w:ascii="Arial" w:hAnsi="Arial" w:cs="Arial"/>
                <w:sz w:val="20"/>
                <w:szCs w:val="20"/>
              </w:rPr>
              <w:t>S</w:t>
            </w:r>
            <w:r w:rsidR="004C6D48" w:rsidRPr="004C6D48">
              <w:rPr>
                <w:rFonts w:ascii="Arial" w:hAnsi="Arial" w:cs="Arial"/>
                <w:sz w:val="20"/>
                <w:szCs w:val="20"/>
              </w:rPr>
              <w:t>upported the development and delivery of a cervical cancer elimination action plan with a focus on improving uptake of the Human papillomavirus virus vaccine amongst the Welsh population</w:t>
            </w:r>
            <w:r w:rsidR="00D402CC">
              <w:rPr>
                <w:rFonts w:ascii="Arial" w:hAnsi="Arial" w:cs="Arial"/>
                <w:sz w:val="20"/>
                <w:szCs w:val="20"/>
              </w:rPr>
              <w:t xml:space="preserve"> </w:t>
            </w:r>
            <w:r w:rsidR="00D402CC" w:rsidRPr="00D402CC">
              <w:rPr>
                <w:rFonts w:ascii="Arial" w:hAnsi="Arial" w:cs="Arial"/>
                <w:sz w:val="20"/>
                <w:szCs w:val="20"/>
              </w:rPr>
              <w:t>(</w:t>
            </w:r>
            <w:r w:rsidR="00D402CC" w:rsidRPr="002718DB">
              <w:rPr>
                <w:rFonts w:ascii="Arial" w:hAnsi="Arial" w:cs="Arial"/>
                <w:b/>
                <w:bCs/>
                <w:sz w:val="20"/>
                <w:szCs w:val="20"/>
              </w:rPr>
              <w:t>on track</w:t>
            </w:r>
            <w:r w:rsidR="00D402CC" w:rsidRPr="00D402CC">
              <w:rPr>
                <w:rFonts w:ascii="Arial" w:hAnsi="Arial" w:cs="Arial"/>
                <w:sz w:val="20"/>
                <w:szCs w:val="20"/>
              </w:rPr>
              <w:t>)</w:t>
            </w:r>
          </w:p>
          <w:p w14:paraId="00A3AAB2" w14:textId="59CE7B9E" w:rsidR="004C6D48" w:rsidRPr="004C6D48" w:rsidRDefault="004C6D48" w:rsidP="0043296E">
            <w:pPr>
              <w:pStyle w:val="ListParagraph"/>
              <w:numPr>
                <w:ilvl w:val="0"/>
                <w:numId w:val="11"/>
              </w:numPr>
              <w:rPr>
                <w:rFonts w:ascii="Arial" w:hAnsi="Arial" w:cs="Arial"/>
                <w:sz w:val="20"/>
                <w:szCs w:val="20"/>
              </w:rPr>
            </w:pPr>
            <w:r w:rsidRPr="004C6D48">
              <w:rPr>
                <w:rFonts w:ascii="Arial" w:hAnsi="Arial" w:cs="Arial"/>
                <w:sz w:val="20"/>
                <w:szCs w:val="20"/>
              </w:rPr>
              <w:t>Supported the delivery of the National Immunisation framework for Wales and the six priority areas, with a focus on providing national leadership and expertise to improve the utilisation of epidemiological data and increasing vaccine literacy.</w:t>
            </w:r>
            <w:r w:rsidR="00C9261F">
              <w:rPr>
                <w:rFonts w:ascii="Arial" w:hAnsi="Arial" w:cs="Arial"/>
                <w:sz w:val="20"/>
                <w:szCs w:val="20"/>
              </w:rPr>
              <w:t xml:space="preserve"> </w:t>
            </w:r>
            <w:r w:rsidR="00C9261F" w:rsidRPr="007831E9">
              <w:rPr>
                <w:rFonts w:ascii="Arial" w:hAnsi="Arial" w:cs="Arial"/>
                <w:sz w:val="20"/>
                <w:szCs w:val="20"/>
              </w:rPr>
              <w:t>(</w:t>
            </w:r>
            <w:r w:rsidR="00C9261F" w:rsidRPr="002718DB">
              <w:rPr>
                <w:rFonts w:ascii="Arial" w:hAnsi="Arial" w:cs="Arial"/>
                <w:b/>
                <w:bCs/>
                <w:sz w:val="20"/>
                <w:szCs w:val="20"/>
              </w:rPr>
              <w:t>on track</w:t>
            </w:r>
            <w:r w:rsidR="00C9261F" w:rsidRPr="007831E9">
              <w:rPr>
                <w:rFonts w:ascii="Arial" w:hAnsi="Arial" w:cs="Arial"/>
                <w:sz w:val="20"/>
                <w:szCs w:val="20"/>
              </w:rPr>
              <w:t>)</w:t>
            </w:r>
          </w:p>
          <w:p w14:paraId="1512D098" w14:textId="0F06C276" w:rsidR="00F355BC" w:rsidRPr="004C6D48" w:rsidRDefault="004C6D48" w:rsidP="0043296E">
            <w:pPr>
              <w:pStyle w:val="ListParagraph"/>
              <w:numPr>
                <w:ilvl w:val="0"/>
                <w:numId w:val="11"/>
              </w:numPr>
              <w:rPr>
                <w:rFonts w:ascii="Arial" w:hAnsi="Arial" w:cs="Arial"/>
                <w:sz w:val="20"/>
                <w:szCs w:val="20"/>
              </w:rPr>
            </w:pPr>
            <w:r w:rsidRPr="004C6D48">
              <w:rPr>
                <w:rFonts w:ascii="Arial" w:hAnsi="Arial" w:cs="Arial"/>
                <w:sz w:val="20"/>
                <w:szCs w:val="20"/>
              </w:rPr>
              <w:t>Developed a divisional research strategy that enables effective research activity to improve screening programmes and facilitates academic collaboration</w:t>
            </w:r>
            <w:r w:rsidR="00C9261F">
              <w:rPr>
                <w:rFonts w:ascii="Arial" w:hAnsi="Arial" w:cs="Arial"/>
                <w:sz w:val="20"/>
                <w:szCs w:val="20"/>
              </w:rPr>
              <w:t xml:space="preserve"> </w:t>
            </w:r>
            <w:r w:rsidR="00C9261F" w:rsidRPr="007831E9">
              <w:rPr>
                <w:rFonts w:ascii="Arial" w:hAnsi="Arial" w:cs="Arial"/>
                <w:sz w:val="20"/>
                <w:szCs w:val="20"/>
              </w:rPr>
              <w:t>(</w:t>
            </w:r>
            <w:r w:rsidR="00C9261F" w:rsidRPr="002718DB">
              <w:rPr>
                <w:rFonts w:ascii="Arial" w:hAnsi="Arial" w:cs="Arial"/>
                <w:b/>
                <w:bCs/>
                <w:sz w:val="20"/>
                <w:szCs w:val="20"/>
              </w:rPr>
              <w:t>on track</w:t>
            </w:r>
            <w:r w:rsidR="00C9261F" w:rsidRPr="007831E9">
              <w:rPr>
                <w:rFonts w:ascii="Arial" w:hAnsi="Arial" w:cs="Arial"/>
                <w:sz w:val="20"/>
                <w:szCs w:val="20"/>
              </w:rPr>
              <w:t>)</w:t>
            </w:r>
          </w:p>
        </w:tc>
      </w:tr>
      <w:tr w:rsidR="00F355BC" w:rsidRPr="000C3B7B" w14:paraId="085BC643" w14:textId="77777777" w:rsidTr="005A3737">
        <w:tc>
          <w:tcPr>
            <w:tcW w:w="932"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8CDD07" w14:textId="77777777" w:rsidR="00F355BC" w:rsidRPr="000C3B7B" w:rsidRDefault="00F355BC" w:rsidP="00D95D58">
            <w:pPr>
              <w:rPr>
                <w:rFonts w:ascii="Arial" w:hAnsi="Arial" w:cs="Arial"/>
                <w:b/>
              </w:rPr>
            </w:pPr>
            <w:r>
              <w:rPr>
                <w:rFonts w:ascii="Arial" w:hAnsi="Arial" w:cs="Arial"/>
                <w:b/>
              </w:rPr>
              <w:t>Progress synopsis</w:t>
            </w:r>
          </w:p>
        </w:tc>
        <w:tc>
          <w:tcPr>
            <w:tcW w:w="1197"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135DB4" w14:textId="67DB2E3E" w:rsidR="00F355BC" w:rsidRPr="000C3B7B" w:rsidRDefault="003A409B" w:rsidP="00D95D58">
            <w:pPr>
              <w:rPr>
                <w:rFonts w:ascii="Arial" w:hAnsi="Arial" w:cs="Arial"/>
              </w:rPr>
            </w:pPr>
            <w:r>
              <w:rPr>
                <w:rFonts w:ascii="Arial" w:hAnsi="Arial" w:cs="Arial"/>
              </w:rPr>
              <w:t>Complete</w:t>
            </w:r>
            <w:r w:rsidR="0043296E">
              <w:rPr>
                <w:rFonts w:ascii="Arial" w:hAnsi="Arial" w:cs="Arial"/>
              </w:rPr>
              <w:t>d</w:t>
            </w:r>
          </w:p>
        </w:tc>
        <w:tc>
          <w:tcPr>
            <w:tcW w:w="1468" w:type="pct"/>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60F2ED4" w14:textId="5E89DEA2" w:rsidR="00F355BC" w:rsidRPr="000C3B7B" w:rsidRDefault="003A409B" w:rsidP="00D95D58">
            <w:pPr>
              <w:rPr>
                <w:rFonts w:ascii="Arial" w:hAnsi="Arial" w:cs="Arial"/>
              </w:rPr>
            </w:pPr>
            <w:r>
              <w:rPr>
                <w:rFonts w:ascii="Arial" w:hAnsi="Arial" w:cs="Arial"/>
              </w:rPr>
              <w:t>Complete</w:t>
            </w:r>
            <w:r w:rsidR="0043296E">
              <w:rPr>
                <w:rFonts w:ascii="Arial" w:hAnsi="Arial" w:cs="Arial"/>
              </w:rPr>
              <w:t>d</w:t>
            </w:r>
          </w:p>
        </w:tc>
        <w:tc>
          <w:tcPr>
            <w:tcW w:w="1403"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2EFAE4" w14:textId="0DCC0991" w:rsidR="00F355BC" w:rsidRPr="000C3B7B" w:rsidRDefault="006D1CF5" w:rsidP="00D95D58">
            <w:pPr>
              <w:rPr>
                <w:rFonts w:ascii="Arial" w:hAnsi="Arial" w:cs="Arial"/>
              </w:rPr>
            </w:pPr>
            <w:r>
              <w:rPr>
                <w:rFonts w:ascii="Arial" w:hAnsi="Arial" w:cs="Arial"/>
              </w:rPr>
              <w:t>On Track</w:t>
            </w:r>
            <w:r w:rsidR="006F36E2">
              <w:rPr>
                <w:rFonts w:ascii="Arial" w:hAnsi="Arial" w:cs="Arial"/>
              </w:rPr>
              <w:t xml:space="preserve"> to deliver by 31/03/2025</w:t>
            </w:r>
          </w:p>
        </w:tc>
      </w:tr>
      <w:tr w:rsidR="00603272" w:rsidRPr="000C3B7B" w14:paraId="5EC6A354" w14:textId="77777777" w:rsidTr="000C60CD">
        <w:tc>
          <w:tcPr>
            <w:tcW w:w="5000" w:type="pct"/>
            <w:gridSpan w:val="1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4B609F" w14:textId="11E441FC" w:rsidR="00603272" w:rsidRPr="00603272" w:rsidRDefault="00603272" w:rsidP="00D95D58">
            <w:pPr>
              <w:rPr>
                <w:rFonts w:ascii="Arial" w:hAnsi="Arial" w:cs="Arial"/>
              </w:rPr>
            </w:pPr>
            <w:r w:rsidRPr="00603272">
              <w:rPr>
                <w:rFonts w:ascii="Arial" w:hAnsi="Arial" w:cs="Arial"/>
                <w:b/>
                <w:bCs/>
              </w:rPr>
              <w:lastRenderedPageBreak/>
              <w:t>Outcomes of delivering Ministerial Priorities:</w:t>
            </w:r>
          </w:p>
        </w:tc>
      </w:tr>
      <w:tr w:rsidR="000C60CD" w:rsidRPr="000C3B7B" w14:paraId="43148754" w14:textId="77777777" w:rsidTr="00442455">
        <w:tc>
          <w:tcPr>
            <w:tcW w:w="6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6AE4F3E" w14:textId="77777777" w:rsidR="006179A4" w:rsidRDefault="006179A4" w:rsidP="00D95D58">
            <w:pPr>
              <w:rPr>
                <w:rFonts w:ascii="Arial" w:hAnsi="Arial" w:cs="Arial"/>
                <w:b/>
              </w:rPr>
            </w:pPr>
            <w:r w:rsidRPr="00603272">
              <w:rPr>
                <w:rFonts w:ascii="Arial" w:hAnsi="Arial" w:cs="Arial"/>
                <w:b/>
              </w:rPr>
              <w:t>Ref:</w:t>
            </w:r>
          </w:p>
        </w:tc>
        <w:tc>
          <w:tcPr>
            <w:tcW w:w="4346" w:type="pct"/>
            <w:gridSpan w:val="1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4E909D" w14:textId="77777777" w:rsidR="00EB6560" w:rsidRPr="00F737E1" w:rsidRDefault="00EB6560" w:rsidP="00D95D58">
            <w:pPr>
              <w:rPr>
                <w:rFonts w:ascii="Arial" w:hAnsi="Arial" w:cs="Arial"/>
                <w:b/>
                <w:bCs/>
              </w:rPr>
            </w:pPr>
            <w:r w:rsidRPr="00F737E1">
              <w:rPr>
                <w:rFonts w:ascii="Arial" w:hAnsi="Arial" w:cs="Arial"/>
                <w:b/>
                <w:bCs/>
              </w:rPr>
              <w:t xml:space="preserve">Overarching outcome measures/ metrics: </w:t>
            </w:r>
          </w:p>
          <w:p w14:paraId="616B0124" w14:textId="77777777" w:rsidR="00EB6560" w:rsidRPr="00F737E1" w:rsidRDefault="00EB6560" w:rsidP="00D95D58">
            <w:pPr>
              <w:rPr>
                <w:rFonts w:ascii="Arial" w:hAnsi="Arial" w:cs="Arial"/>
              </w:rPr>
            </w:pPr>
          </w:p>
          <w:p w14:paraId="6B5FA7FE" w14:textId="06200EE8" w:rsidR="00EB6560" w:rsidRPr="00F737E1" w:rsidRDefault="00EB6560" w:rsidP="00D95D58">
            <w:pPr>
              <w:rPr>
                <w:rFonts w:ascii="Arial" w:hAnsi="Arial" w:cs="Arial"/>
              </w:rPr>
            </w:pPr>
            <w:r w:rsidRPr="00F737E1">
              <w:rPr>
                <w:rFonts w:ascii="Arial" w:hAnsi="Arial" w:cs="Arial"/>
              </w:rPr>
              <w:t xml:space="preserve">Our work </w:t>
            </w:r>
            <w:r w:rsidR="00F737E1">
              <w:rPr>
                <w:rFonts w:ascii="Arial" w:hAnsi="Arial" w:cs="Arial"/>
              </w:rPr>
              <w:t xml:space="preserve">during 24/25 </w:t>
            </w:r>
            <w:r w:rsidR="00832891">
              <w:rPr>
                <w:rFonts w:ascii="Arial" w:hAnsi="Arial" w:cs="Arial"/>
              </w:rPr>
              <w:t>aimed to</w:t>
            </w:r>
            <w:r w:rsidRPr="00F737E1">
              <w:rPr>
                <w:rFonts w:ascii="Arial" w:hAnsi="Arial" w:cs="Arial"/>
              </w:rPr>
              <w:t xml:space="preserve"> support</w:t>
            </w:r>
            <w:r w:rsidR="00832891">
              <w:rPr>
                <w:rFonts w:ascii="Arial" w:hAnsi="Arial" w:cs="Arial"/>
              </w:rPr>
              <w:t xml:space="preserve"> </w:t>
            </w:r>
            <w:r w:rsidRPr="00F737E1">
              <w:rPr>
                <w:rFonts w:ascii="Arial" w:hAnsi="Arial" w:cs="Arial"/>
              </w:rPr>
              <w:t xml:space="preserve">the achievement of the following systems wide outcomes: </w:t>
            </w:r>
          </w:p>
          <w:p w14:paraId="49AA96AC" w14:textId="640D9DEF" w:rsidR="00EB6560" w:rsidRPr="002B3260" w:rsidRDefault="00EB6560" w:rsidP="00F737E1">
            <w:pPr>
              <w:pStyle w:val="ListParagraph"/>
              <w:numPr>
                <w:ilvl w:val="0"/>
                <w:numId w:val="15"/>
              </w:numPr>
              <w:rPr>
                <w:rFonts w:ascii="Arial" w:hAnsi="Arial" w:cs="Arial"/>
              </w:rPr>
            </w:pPr>
            <w:r w:rsidRPr="002B3260">
              <w:rPr>
                <w:rFonts w:ascii="Arial" w:hAnsi="Arial" w:cs="Arial"/>
              </w:rPr>
              <w:t xml:space="preserve">Reduction of the incidence of cervical cancers </w:t>
            </w:r>
          </w:p>
          <w:p w14:paraId="4E69E0E1" w14:textId="77777777" w:rsidR="002B3260" w:rsidRDefault="00EB6560" w:rsidP="002B3260">
            <w:pPr>
              <w:pStyle w:val="ListParagraph"/>
              <w:numPr>
                <w:ilvl w:val="0"/>
                <w:numId w:val="15"/>
              </w:numPr>
              <w:rPr>
                <w:rFonts w:ascii="Arial" w:hAnsi="Arial" w:cs="Arial"/>
              </w:rPr>
            </w:pPr>
            <w:r w:rsidRPr="002B3260">
              <w:rPr>
                <w:rFonts w:ascii="Arial" w:hAnsi="Arial" w:cs="Arial"/>
              </w:rPr>
              <w:t xml:space="preserve">Increase vaccination rates for all vaccine preventable diseases </w:t>
            </w:r>
            <w:r w:rsidR="008E7203" w:rsidRPr="002B3260">
              <w:rPr>
                <w:rFonts w:ascii="Arial" w:hAnsi="Arial" w:cs="Arial"/>
              </w:rPr>
              <w:t xml:space="preserve"> </w:t>
            </w:r>
          </w:p>
          <w:p w14:paraId="03F1114F" w14:textId="77777777" w:rsidR="00EB6560" w:rsidRDefault="00F737E1" w:rsidP="002B3260">
            <w:pPr>
              <w:pStyle w:val="ListParagraph"/>
              <w:numPr>
                <w:ilvl w:val="1"/>
                <w:numId w:val="15"/>
              </w:numPr>
              <w:rPr>
                <w:rFonts w:ascii="Arial" w:hAnsi="Arial" w:cs="Arial"/>
              </w:rPr>
            </w:pPr>
            <w:r w:rsidRPr="002B3260">
              <w:rPr>
                <w:rFonts w:ascii="Arial" w:hAnsi="Arial" w:cs="Arial"/>
              </w:rPr>
              <w:t>90% uptake of HPV by age 15</w:t>
            </w:r>
          </w:p>
          <w:p w14:paraId="78C19C03" w14:textId="77777777" w:rsidR="00417721" w:rsidRDefault="00417721" w:rsidP="00417721">
            <w:pPr>
              <w:rPr>
                <w:rFonts w:ascii="Arial" w:hAnsi="Arial" w:cs="Arial"/>
              </w:rPr>
            </w:pPr>
          </w:p>
          <w:tbl>
            <w:tblPr>
              <w:tblW w:w="8443" w:type="dxa"/>
              <w:tblCellMar>
                <w:left w:w="0" w:type="dxa"/>
                <w:right w:w="0" w:type="dxa"/>
              </w:tblCellMar>
              <w:tblLook w:val="04A0" w:firstRow="1" w:lastRow="0" w:firstColumn="1" w:lastColumn="0" w:noHBand="0" w:noVBand="1"/>
            </w:tblPr>
            <w:tblGrid>
              <w:gridCol w:w="2907"/>
              <w:gridCol w:w="1015"/>
              <w:gridCol w:w="1102"/>
              <w:gridCol w:w="1110"/>
              <w:gridCol w:w="1110"/>
              <w:gridCol w:w="1199"/>
            </w:tblGrid>
            <w:tr w:rsidR="00417721" w:rsidRPr="00C00E6D" w14:paraId="30D6853A" w14:textId="77777777" w:rsidTr="00417721">
              <w:trPr>
                <w:trHeight w:val="214"/>
              </w:trPr>
              <w:tc>
                <w:tcPr>
                  <w:tcW w:w="3173" w:type="dxa"/>
                  <w:tcBorders>
                    <w:top w:val="single" w:sz="8" w:space="0" w:color="FFFFFF"/>
                    <w:left w:val="single" w:sz="8" w:space="0" w:color="FFFFFF"/>
                    <w:bottom w:val="single" w:sz="24" w:space="0" w:color="8EAADB"/>
                    <w:right w:val="single" w:sz="8" w:space="0" w:color="FFFFFF"/>
                  </w:tcBorders>
                  <w:shd w:val="clear" w:color="auto" w:fill="324F82"/>
                  <w:tcMar>
                    <w:top w:w="72" w:type="dxa"/>
                    <w:left w:w="144" w:type="dxa"/>
                    <w:bottom w:w="72" w:type="dxa"/>
                    <w:right w:w="144" w:type="dxa"/>
                  </w:tcMar>
                  <w:hideMark/>
                </w:tcPr>
                <w:p w14:paraId="39FF1059" w14:textId="77777777" w:rsidR="00417721" w:rsidRPr="00C00E6D" w:rsidRDefault="00417721" w:rsidP="000C2AB9">
                  <w:pPr>
                    <w:framePr w:hSpace="180" w:wrap="around" w:vAnchor="text" w:hAnchor="text" w:x="-147" w:y="1"/>
                    <w:spacing w:after="0" w:line="240" w:lineRule="auto"/>
                    <w:suppressOverlap/>
                    <w:rPr>
                      <w:rFonts w:ascii="Ubuntu Light" w:eastAsia="Calibri" w:hAnsi="Ubuntu Light" w:cs="Arial"/>
                      <w:lang w:eastAsia="en-GB"/>
                    </w:rPr>
                  </w:pPr>
                  <w:r w:rsidRPr="00C00E6D">
                    <w:rPr>
                      <w:rFonts w:ascii="Ubuntu Light" w:eastAsia="Times New Roman" w:hAnsi="Ubuntu Light" w:cs="Arial"/>
                      <w:color w:val="000000"/>
                    </w:rPr>
                    <w:br w:type="page"/>
                  </w:r>
                  <w:r w:rsidRPr="00C00E6D">
                    <w:rPr>
                      <w:rFonts w:ascii="Ubuntu Light" w:eastAsia="Times New Roman" w:hAnsi="Ubuntu Light" w:cs="Arial"/>
                      <w:color w:val="000000"/>
                    </w:rPr>
                    <w:br w:type="page"/>
                  </w:r>
                  <w:r w:rsidRPr="00C00E6D">
                    <w:rPr>
                      <w:rFonts w:ascii="Ubuntu Light" w:eastAsia="Calibri" w:hAnsi="Ubuntu Light" w:cs="Arial"/>
                      <w:b/>
                      <w:bCs/>
                      <w:color w:val="FFFFFF"/>
                      <w:lang w:eastAsia="en-GB"/>
                    </w:rPr>
                    <w:t>Indicator</w:t>
                  </w:r>
                </w:p>
              </w:tc>
              <w:tc>
                <w:tcPr>
                  <w:tcW w:w="951" w:type="dxa"/>
                  <w:tcBorders>
                    <w:top w:val="single" w:sz="8" w:space="0" w:color="FFFFFF"/>
                    <w:left w:val="nil"/>
                    <w:bottom w:val="single" w:sz="24" w:space="0" w:color="8EAADB"/>
                    <w:right w:val="single" w:sz="8" w:space="0" w:color="FFFFFF"/>
                  </w:tcBorders>
                  <w:shd w:val="clear" w:color="auto" w:fill="324F82"/>
                  <w:tcMar>
                    <w:top w:w="72" w:type="dxa"/>
                    <w:left w:w="144" w:type="dxa"/>
                    <w:bottom w:w="72" w:type="dxa"/>
                    <w:right w:w="144" w:type="dxa"/>
                  </w:tcMar>
                  <w:hideMark/>
                </w:tcPr>
                <w:p w14:paraId="0922FA2E" w14:textId="77777777" w:rsidR="00417721" w:rsidRPr="00C00E6D" w:rsidRDefault="00417721"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b/>
                      <w:bCs/>
                      <w:color w:val="FFFFFF"/>
                      <w:lang w:eastAsia="en-GB"/>
                    </w:rPr>
                    <w:t>Earliest date</w:t>
                  </w:r>
                </w:p>
              </w:tc>
              <w:tc>
                <w:tcPr>
                  <w:tcW w:w="1115" w:type="dxa"/>
                  <w:tcBorders>
                    <w:top w:val="single" w:sz="8" w:space="0" w:color="FFFFFF"/>
                    <w:left w:val="nil"/>
                    <w:bottom w:val="single" w:sz="24" w:space="0" w:color="8EAADB"/>
                    <w:right w:val="single" w:sz="8" w:space="0" w:color="FFFFFF"/>
                  </w:tcBorders>
                  <w:shd w:val="clear" w:color="auto" w:fill="324F82"/>
                  <w:tcMar>
                    <w:top w:w="72" w:type="dxa"/>
                    <w:left w:w="144" w:type="dxa"/>
                    <w:bottom w:w="72" w:type="dxa"/>
                    <w:right w:w="144" w:type="dxa"/>
                  </w:tcMar>
                  <w:hideMark/>
                </w:tcPr>
                <w:p w14:paraId="1DE47401" w14:textId="77777777" w:rsidR="00417721" w:rsidRPr="00C00E6D" w:rsidRDefault="00417721"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b/>
                      <w:bCs/>
                      <w:color w:val="FFFFFF"/>
                      <w:lang w:eastAsia="en-GB"/>
                    </w:rPr>
                    <w:t>Earliest</w:t>
                  </w:r>
                </w:p>
              </w:tc>
              <w:tc>
                <w:tcPr>
                  <w:tcW w:w="1040" w:type="dxa"/>
                  <w:tcBorders>
                    <w:top w:val="single" w:sz="8" w:space="0" w:color="FFFFFF"/>
                    <w:left w:val="nil"/>
                    <w:bottom w:val="single" w:sz="24" w:space="0" w:color="8EAADB"/>
                    <w:right w:val="single" w:sz="8" w:space="0" w:color="FFFFFF"/>
                  </w:tcBorders>
                  <w:shd w:val="clear" w:color="auto" w:fill="324F82"/>
                  <w:tcMar>
                    <w:top w:w="72" w:type="dxa"/>
                    <w:left w:w="144" w:type="dxa"/>
                    <w:bottom w:w="72" w:type="dxa"/>
                    <w:right w:w="144" w:type="dxa"/>
                  </w:tcMar>
                  <w:hideMark/>
                </w:tcPr>
                <w:p w14:paraId="6043142A" w14:textId="77777777" w:rsidR="00417721" w:rsidRPr="00C00E6D" w:rsidRDefault="00417721"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b/>
                      <w:bCs/>
                      <w:color w:val="FFFFFF"/>
                      <w:lang w:eastAsia="en-GB"/>
                    </w:rPr>
                    <w:t>Baseline date</w:t>
                  </w:r>
                </w:p>
              </w:tc>
              <w:tc>
                <w:tcPr>
                  <w:tcW w:w="1040" w:type="dxa"/>
                  <w:tcBorders>
                    <w:top w:val="single" w:sz="8" w:space="0" w:color="FFFFFF"/>
                    <w:left w:val="nil"/>
                    <w:bottom w:val="single" w:sz="24" w:space="0" w:color="8EAADB"/>
                    <w:right w:val="single" w:sz="8" w:space="0" w:color="FFFFFF"/>
                  </w:tcBorders>
                  <w:shd w:val="clear" w:color="auto" w:fill="324F82"/>
                  <w:tcMar>
                    <w:top w:w="72" w:type="dxa"/>
                    <w:left w:w="144" w:type="dxa"/>
                    <w:bottom w:w="72" w:type="dxa"/>
                    <w:right w:w="144" w:type="dxa"/>
                  </w:tcMar>
                  <w:hideMark/>
                </w:tcPr>
                <w:p w14:paraId="08698C3E" w14:textId="77777777" w:rsidR="00417721" w:rsidRPr="00C00E6D" w:rsidRDefault="00417721"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b/>
                      <w:bCs/>
                      <w:color w:val="FFFFFF"/>
                      <w:lang w:eastAsia="en-GB"/>
                    </w:rPr>
                    <w:t>Baseline</w:t>
                  </w:r>
                </w:p>
              </w:tc>
              <w:tc>
                <w:tcPr>
                  <w:tcW w:w="0" w:type="auto"/>
                  <w:tcBorders>
                    <w:top w:val="single" w:sz="8" w:space="0" w:color="FFFFFF"/>
                    <w:left w:val="nil"/>
                    <w:bottom w:val="single" w:sz="24" w:space="0" w:color="8EAADB"/>
                    <w:right w:val="single" w:sz="8" w:space="0" w:color="FFFFFF"/>
                  </w:tcBorders>
                  <w:shd w:val="clear" w:color="auto" w:fill="324F82"/>
                  <w:tcMar>
                    <w:top w:w="72" w:type="dxa"/>
                    <w:left w:w="144" w:type="dxa"/>
                    <w:bottom w:w="72" w:type="dxa"/>
                    <w:right w:w="144" w:type="dxa"/>
                  </w:tcMar>
                  <w:hideMark/>
                </w:tcPr>
                <w:p w14:paraId="5435D919" w14:textId="77777777" w:rsidR="00417721" w:rsidRPr="00C00E6D" w:rsidRDefault="00417721" w:rsidP="000C2AB9">
                  <w:pPr>
                    <w:framePr w:hSpace="180" w:wrap="around" w:vAnchor="text" w:hAnchor="text" w:x="-147" w:y="1"/>
                    <w:spacing w:after="0" w:line="240" w:lineRule="auto"/>
                    <w:suppressOverlap/>
                    <w:jc w:val="center"/>
                    <w:rPr>
                      <w:rFonts w:ascii="Ubuntu Light" w:eastAsia="Calibri" w:hAnsi="Ubuntu Light" w:cs="Arial"/>
                      <w:lang w:eastAsia="en-GB"/>
                    </w:rPr>
                  </w:pPr>
                  <w:proofErr w:type="gramStart"/>
                  <w:r w:rsidRPr="00C00E6D">
                    <w:rPr>
                      <w:rFonts w:ascii="Ubuntu Light" w:eastAsia="Calibri" w:hAnsi="Ubuntu Light" w:cs="Arial"/>
                      <w:b/>
                      <w:bCs/>
                      <w:color w:val="FFFFFF"/>
                      <w:lang w:eastAsia="en-GB"/>
                    </w:rPr>
                    <w:t>Change</w:t>
                  </w:r>
                  <w:r w:rsidRPr="00C00E6D">
                    <w:rPr>
                      <w:rFonts w:ascii="Ubuntu Light" w:eastAsia="Calibri" w:hAnsi="Ubuntu Light" w:cs="Arial"/>
                      <w:b/>
                      <w:bCs/>
                      <w:color w:val="FFFFFF"/>
                      <w:vertAlign w:val="superscript"/>
                      <w:lang w:eastAsia="en-GB"/>
                    </w:rPr>
                    <w:footnoteReference w:customMarkFollows="1" w:id="2"/>
                    <w:t>[</w:t>
                  </w:r>
                  <w:proofErr w:type="gramEnd"/>
                  <w:r w:rsidRPr="00C00E6D">
                    <w:rPr>
                      <w:rFonts w:ascii="Ubuntu Light" w:eastAsia="Calibri" w:hAnsi="Ubuntu Light" w:cs="Arial"/>
                      <w:b/>
                      <w:bCs/>
                      <w:color w:val="FFFFFF"/>
                      <w:vertAlign w:val="superscript"/>
                      <w:lang w:eastAsia="en-GB"/>
                    </w:rPr>
                    <w:t>1]</w:t>
                  </w:r>
                </w:p>
              </w:tc>
            </w:tr>
            <w:tr w:rsidR="00417721" w:rsidRPr="00C00E6D" w14:paraId="560AECA1" w14:textId="77777777" w:rsidTr="00417721">
              <w:trPr>
                <w:trHeight w:val="188"/>
              </w:trPr>
              <w:tc>
                <w:tcPr>
                  <w:tcW w:w="3173" w:type="dxa"/>
                  <w:tcBorders>
                    <w:top w:val="nil"/>
                    <w:left w:val="single" w:sz="24" w:space="0" w:color="FEC6D7"/>
                    <w:bottom w:val="single" w:sz="8" w:space="0" w:color="F2F2F2"/>
                    <w:right w:val="single" w:sz="8" w:space="0" w:color="F2F2F2"/>
                  </w:tcBorders>
                  <w:shd w:val="clear" w:color="auto" w:fill="FFFFFF"/>
                  <w:tcMar>
                    <w:top w:w="72" w:type="dxa"/>
                    <w:left w:w="144" w:type="dxa"/>
                    <w:bottom w:w="72" w:type="dxa"/>
                    <w:right w:w="144" w:type="dxa"/>
                  </w:tcMar>
                  <w:hideMark/>
                </w:tcPr>
                <w:p w14:paraId="30C1C030" w14:textId="77777777" w:rsidR="00417721" w:rsidRPr="00C00E6D" w:rsidRDefault="00417721" w:rsidP="000C2AB9">
                  <w:pPr>
                    <w:framePr w:hSpace="180" w:wrap="around" w:vAnchor="text" w:hAnchor="text" w:x="-147" w:y="1"/>
                    <w:spacing w:after="0" w:line="240" w:lineRule="auto"/>
                    <w:suppressOverlap/>
                    <w:rPr>
                      <w:rFonts w:ascii="Ubuntu Light" w:eastAsia="Calibri" w:hAnsi="Ubuntu Light" w:cs="Arial"/>
                      <w:lang w:eastAsia="en-GB"/>
                    </w:rPr>
                  </w:pPr>
                  <w:r w:rsidRPr="00C00E6D">
                    <w:rPr>
                      <w:rFonts w:ascii="Ubuntu Light" w:eastAsia="Calibri" w:hAnsi="Ubuntu Light" w:cs="Arial"/>
                      <w:color w:val="000000"/>
                      <w:lang w:eastAsia="en-GB"/>
                    </w:rPr>
                    <w:t>MMR at age 2</w:t>
                  </w:r>
                </w:p>
              </w:tc>
              <w:tc>
                <w:tcPr>
                  <w:tcW w:w="951" w:type="dxa"/>
                  <w:tcBorders>
                    <w:top w:val="nil"/>
                    <w:left w:val="nil"/>
                    <w:bottom w:val="single" w:sz="8" w:space="0" w:color="F2F2F2"/>
                    <w:right w:val="single" w:sz="8" w:space="0" w:color="F2F2F2"/>
                  </w:tcBorders>
                  <w:shd w:val="clear" w:color="auto" w:fill="FFFFFF"/>
                  <w:tcMar>
                    <w:top w:w="72" w:type="dxa"/>
                    <w:left w:w="144" w:type="dxa"/>
                    <w:bottom w:w="72" w:type="dxa"/>
                    <w:right w:w="144" w:type="dxa"/>
                  </w:tcMar>
                  <w:hideMark/>
                </w:tcPr>
                <w:p w14:paraId="13F6BB2C" w14:textId="77777777" w:rsidR="00417721" w:rsidRPr="00C00E6D" w:rsidRDefault="00417721"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color w:val="000000"/>
                      <w:lang w:eastAsia="en-GB"/>
                    </w:rPr>
                    <w:t>2011 Q3</w:t>
                  </w:r>
                </w:p>
              </w:tc>
              <w:tc>
                <w:tcPr>
                  <w:tcW w:w="1115" w:type="dxa"/>
                  <w:tcBorders>
                    <w:top w:val="nil"/>
                    <w:left w:val="nil"/>
                    <w:bottom w:val="single" w:sz="8" w:space="0" w:color="F2F2F2"/>
                    <w:right w:val="single" w:sz="8" w:space="0" w:color="F2F2F2"/>
                  </w:tcBorders>
                  <w:shd w:val="clear" w:color="auto" w:fill="FFFFFF"/>
                  <w:tcMar>
                    <w:top w:w="72" w:type="dxa"/>
                    <w:left w:w="144" w:type="dxa"/>
                    <w:bottom w:w="72" w:type="dxa"/>
                    <w:right w:w="144" w:type="dxa"/>
                  </w:tcMar>
                  <w:hideMark/>
                </w:tcPr>
                <w:p w14:paraId="7B773044" w14:textId="77777777" w:rsidR="00417721" w:rsidRPr="00C00E6D" w:rsidRDefault="00417721"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color w:val="000000"/>
                      <w:lang w:eastAsia="en-GB"/>
                    </w:rPr>
                    <w:t>92.0 %</w:t>
                  </w:r>
                </w:p>
              </w:tc>
              <w:tc>
                <w:tcPr>
                  <w:tcW w:w="1040" w:type="dxa"/>
                  <w:tcBorders>
                    <w:top w:val="nil"/>
                    <w:left w:val="nil"/>
                    <w:bottom w:val="single" w:sz="8" w:space="0" w:color="F2F2F2"/>
                    <w:right w:val="single" w:sz="8" w:space="0" w:color="F2F2F2"/>
                  </w:tcBorders>
                  <w:shd w:val="clear" w:color="auto" w:fill="FFFFFF"/>
                  <w:tcMar>
                    <w:top w:w="72" w:type="dxa"/>
                    <w:left w:w="144" w:type="dxa"/>
                    <w:bottom w:w="72" w:type="dxa"/>
                    <w:right w:w="144" w:type="dxa"/>
                  </w:tcMar>
                  <w:hideMark/>
                </w:tcPr>
                <w:p w14:paraId="2683A421" w14:textId="77777777" w:rsidR="00417721" w:rsidRPr="00C00E6D" w:rsidRDefault="00417721"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color w:val="000000"/>
                      <w:lang w:eastAsia="en-GB"/>
                    </w:rPr>
                    <w:t>2024 Q3</w:t>
                  </w:r>
                </w:p>
              </w:tc>
              <w:tc>
                <w:tcPr>
                  <w:tcW w:w="1040" w:type="dxa"/>
                  <w:tcBorders>
                    <w:top w:val="nil"/>
                    <w:left w:val="nil"/>
                    <w:bottom w:val="single" w:sz="8" w:space="0" w:color="F2F2F2"/>
                    <w:right w:val="single" w:sz="8" w:space="0" w:color="F2F2F2"/>
                  </w:tcBorders>
                  <w:shd w:val="clear" w:color="auto" w:fill="FFFFFF"/>
                  <w:tcMar>
                    <w:top w:w="72" w:type="dxa"/>
                    <w:left w:w="144" w:type="dxa"/>
                    <w:bottom w:w="72" w:type="dxa"/>
                    <w:right w:w="144" w:type="dxa"/>
                  </w:tcMar>
                  <w:hideMark/>
                </w:tcPr>
                <w:p w14:paraId="233C508B" w14:textId="77777777" w:rsidR="00417721" w:rsidRPr="00C00E6D" w:rsidRDefault="00417721"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color w:val="000000"/>
                      <w:lang w:eastAsia="en-GB"/>
                    </w:rPr>
                    <w:t>93.0 %</w:t>
                  </w:r>
                </w:p>
              </w:tc>
              <w:tc>
                <w:tcPr>
                  <w:tcW w:w="0" w:type="auto"/>
                  <w:tcBorders>
                    <w:top w:val="nil"/>
                    <w:left w:val="nil"/>
                    <w:bottom w:val="single" w:sz="8" w:space="0" w:color="F2F2F2"/>
                    <w:right w:val="single" w:sz="24" w:space="0" w:color="FEC6D7"/>
                  </w:tcBorders>
                  <w:shd w:val="clear" w:color="auto" w:fill="FFFFFF"/>
                  <w:tcMar>
                    <w:top w:w="72" w:type="dxa"/>
                    <w:left w:w="144" w:type="dxa"/>
                    <w:bottom w:w="72" w:type="dxa"/>
                    <w:right w:w="144" w:type="dxa"/>
                  </w:tcMar>
                  <w:hideMark/>
                </w:tcPr>
                <w:p w14:paraId="5BEAB412" w14:textId="77777777" w:rsidR="00417721" w:rsidRPr="00C00E6D" w:rsidRDefault="00417721"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20001D">
                    <w:rPr>
                      <w:rFonts w:ascii="Ubuntu Light" w:eastAsia="Calibri" w:hAnsi="Ubuntu Light" w:cs="Arial"/>
                      <w:b/>
                      <w:bCs/>
                      <w:color w:val="70AD47" w:themeColor="accent6"/>
                      <w:lang w:eastAsia="en-GB"/>
                    </w:rPr>
                    <w:t>+ 1 %</w:t>
                  </w:r>
                </w:p>
              </w:tc>
            </w:tr>
            <w:tr w:rsidR="00417721" w:rsidRPr="00C00E6D" w14:paraId="6014E593" w14:textId="77777777" w:rsidTr="00417721">
              <w:trPr>
                <w:trHeight w:val="188"/>
              </w:trPr>
              <w:tc>
                <w:tcPr>
                  <w:tcW w:w="3173" w:type="dxa"/>
                  <w:tcBorders>
                    <w:top w:val="nil"/>
                    <w:left w:val="single" w:sz="24" w:space="0" w:color="FEC6D7"/>
                    <w:bottom w:val="single" w:sz="24" w:space="0" w:color="FEC6D7"/>
                    <w:right w:val="single" w:sz="8" w:space="0" w:color="F2F2F2"/>
                  </w:tcBorders>
                  <w:shd w:val="clear" w:color="auto" w:fill="FFFFFF"/>
                  <w:tcMar>
                    <w:top w:w="72" w:type="dxa"/>
                    <w:left w:w="144" w:type="dxa"/>
                    <w:bottom w:w="72" w:type="dxa"/>
                    <w:right w:w="144" w:type="dxa"/>
                  </w:tcMar>
                  <w:hideMark/>
                </w:tcPr>
                <w:p w14:paraId="7C24D160" w14:textId="77777777" w:rsidR="00417721" w:rsidRPr="00C00E6D" w:rsidRDefault="00417721" w:rsidP="000C2AB9">
                  <w:pPr>
                    <w:framePr w:hSpace="180" w:wrap="around" w:vAnchor="text" w:hAnchor="text" w:x="-147" w:y="1"/>
                    <w:spacing w:after="0" w:line="240" w:lineRule="auto"/>
                    <w:suppressOverlap/>
                    <w:rPr>
                      <w:rFonts w:ascii="Ubuntu Light" w:eastAsia="Calibri" w:hAnsi="Ubuntu Light" w:cs="Arial"/>
                      <w:lang w:eastAsia="en-GB"/>
                    </w:rPr>
                  </w:pPr>
                  <w:r w:rsidRPr="00C00E6D">
                    <w:rPr>
                      <w:rFonts w:ascii="Ubuntu Light" w:eastAsia="Calibri" w:hAnsi="Ubuntu Light" w:cs="Arial"/>
                      <w:color w:val="000000"/>
                      <w:lang w:eastAsia="en-GB"/>
                    </w:rPr>
                    <w:t>HPV by 15</w:t>
                  </w:r>
                </w:p>
              </w:tc>
              <w:tc>
                <w:tcPr>
                  <w:tcW w:w="951" w:type="dxa"/>
                  <w:tcBorders>
                    <w:top w:val="nil"/>
                    <w:left w:val="nil"/>
                    <w:bottom w:val="single" w:sz="24" w:space="0" w:color="FEC6D7"/>
                    <w:right w:val="single" w:sz="8" w:space="0" w:color="F2F2F2"/>
                  </w:tcBorders>
                  <w:shd w:val="clear" w:color="auto" w:fill="FFFFFF"/>
                  <w:tcMar>
                    <w:top w:w="72" w:type="dxa"/>
                    <w:left w:w="144" w:type="dxa"/>
                    <w:bottom w:w="72" w:type="dxa"/>
                    <w:right w:w="144" w:type="dxa"/>
                  </w:tcMar>
                  <w:hideMark/>
                </w:tcPr>
                <w:p w14:paraId="2B813781" w14:textId="77777777" w:rsidR="00417721" w:rsidRPr="00C00E6D" w:rsidRDefault="00417721"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color w:val="000000"/>
                      <w:lang w:eastAsia="en-GB"/>
                    </w:rPr>
                    <w:t>2011 Q3</w:t>
                  </w:r>
                </w:p>
              </w:tc>
              <w:tc>
                <w:tcPr>
                  <w:tcW w:w="1115" w:type="dxa"/>
                  <w:tcBorders>
                    <w:top w:val="nil"/>
                    <w:left w:val="nil"/>
                    <w:bottom w:val="single" w:sz="24" w:space="0" w:color="FEC6D7"/>
                    <w:right w:val="single" w:sz="8" w:space="0" w:color="F2F2F2"/>
                  </w:tcBorders>
                  <w:shd w:val="clear" w:color="auto" w:fill="FFFFFF"/>
                  <w:tcMar>
                    <w:top w:w="72" w:type="dxa"/>
                    <w:left w:w="144" w:type="dxa"/>
                    <w:bottom w:w="72" w:type="dxa"/>
                    <w:right w:w="144" w:type="dxa"/>
                  </w:tcMar>
                  <w:hideMark/>
                </w:tcPr>
                <w:p w14:paraId="173B0B6F" w14:textId="77777777" w:rsidR="00417721" w:rsidRPr="00C00E6D" w:rsidRDefault="00417721"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color w:val="000000"/>
                      <w:lang w:eastAsia="en-GB"/>
                    </w:rPr>
                    <w:t>87.0 %</w:t>
                  </w:r>
                </w:p>
              </w:tc>
              <w:tc>
                <w:tcPr>
                  <w:tcW w:w="1040" w:type="dxa"/>
                  <w:tcBorders>
                    <w:top w:val="nil"/>
                    <w:left w:val="nil"/>
                    <w:bottom w:val="single" w:sz="24" w:space="0" w:color="FEC6D7"/>
                    <w:right w:val="single" w:sz="8" w:space="0" w:color="F2F2F2"/>
                  </w:tcBorders>
                  <w:shd w:val="clear" w:color="auto" w:fill="FFFFFF"/>
                  <w:tcMar>
                    <w:top w:w="72" w:type="dxa"/>
                    <w:left w:w="144" w:type="dxa"/>
                    <w:bottom w:w="72" w:type="dxa"/>
                    <w:right w:w="144" w:type="dxa"/>
                  </w:tcMar>
                  <w:hideMark/>
                </w:tcPr>
                <w:p w14:paraId="4F32644F" w14:textId="77777777" w:rsidR="00417721" w:rsidRPr="00C00E6D" w:rsidRDefault="00417721"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color w:val="000000"/>
                      <w:lang w:eastAsia="en-GB"/>
                    </w:rPr>
                    <w:t>2024 Q3</w:t>
                  </w:r>
                </w:p>
              </w:tc>
              <w:tc>
                <w:tcPr>
                  <w:tcW w:w="1040" w:type="dxa"/>
                  <w:tcBorders>
                    <w:top w:val="nil"/>
                    <w:left w:val="nil"/>
                    <w:bottom w:val="single" w:sz="24" w:space="0" w:color="FEC6D7"/>
                    <w:right w:val="single" w:sz="8" w:space="0" w:color="F2F2F2"/>
                  </w:tcBorders>
                  <w:shd w:val="clear" w:color="auto" w:fill="FFFFFF"/>
                  <w:tcMar>
                    <w:top w:w="72" w:type="dxa"/>
                    <w:left w:w="144" w:type="dxa"/>
                    <w:bottom w:w="72" w:type="dxa"/>
                    <w:right w:w="144" w:type="dxa"/>
                  </w:tcMar>
                  <w:hideMark/>
                </w:tcPr>
                <w:p w14:paraId="5B3F135F" w14:textId="77777777" w:rsidR="00417721" w:rsidRPr="00C00E6D" w:rsidRDefault="00417721"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color w:val="000000"/>
                      <w:lang w:eastAsia="en-GB"/>
                    </w:rPr>
                    <w:t>74.0 %</w:t>
                  </w:r>
                </w:p>
              </w:tc>
              <w:tc>
                <w:tcPr>
                  <w:tcW w:w="0" w:type="auto"/>
                  <w:tcBorders>
                    <w:top w:val="nil"/>
                    <w:left w:val="nil"/>
                    <w:bottom w:val="single" w:sz="24" w:space="0" w:color="FEC6D7"/>
                    <w:right w:val="single" w:sz="24" w:space="0" w:color="FEC6D7"/>
                  </w:tcBorders>
                  <w:shd w:val="clear" w:color="auto" w:fill="FFFFFF"/>
                  <w:tcMar>
                    <w:top w:w="72" w:type="dxa"/>
                    <w:left w:w="144" w:type="dxa"/>
                    <w:bottom w:w="72" w:type="dxa"/>
                    <w:right w:w="144" w:type="dxa"/>
                  </w:tcMar>
                  <w:hideMark/>
                </w:tcPr>
                <w:p w14:paraId="1DD71A33" w14:textId="77777777" w:rsidR="00417721" w:rsidRPr="00C00E6D" w:rsidRDefault="00417721"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20001D">
                    <w:rPr>
                      <w:rFonts w:ascii="Ubuntu Light" w:eastAsia="Calibri" w:hAnsi="Ubuntu Light" w:cs="Arial"/>
                      <w:b/>
                      <w:bCs/>
                      <w:color w:val="FF0000"/>
                      <w:lang w:eastAsia="en-GB"/>
                    </w:rPr>
                    <w:t>- 15 %</w:t>
                  </w:r>
                </w:p>
              </w:tc>
            </w:tr>
          </w:tbl>
          <w:p w14:paraId="3C772D60" w14:textId="4FA6D5EE" w:rsidR="00417721" w:rsidRPr="00417721" w:rsidRDefault="00417721" w:rsidP="00417721">
            <w:pPr>
              <w:rPr>
                <w:rFonts w:ascii="Arial" w:hAnsi="Arial" w:cs="Arial"/>
              </w:rPr>
            </w:pPr>
          </w:p>
        </w:tc>
      </w:tr>
      <w:tr w:rsidR="00831227" w:rsidRPr="000C3B7B" w14:paraId="1B4C8D32" w14:textId="77777777" w:rsidTr="000C60CD">
        <w:tc>
          <w:tcPr>
            <w:tcW w:w="5000" w:type="pct"/>
            <w:gridSpan w:val="13"/>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ED1A2DE" w14:textId="77777777" w:rsidR="00831227" w:rsidRPr="00831227" w:rsidRDefault="00831227" w:rsidP="00D95D58">
            <w:pPr>
              <w:rPr>
                <w:rFonts w:ascii="Arial" w:hAnsi="Arial" w:cs="Arial"/>
                <w:b/>
                <w:bCs/>
              </w:rPr>
            </w:pPr>
          </w:p>
          <w:p w14:paraId="0EC41757" w14:textId="314AF906" w:rsidR="00506A36" w:rsidRPr="00310ED0" w:rsidRDefault="00603272" w:rsidP="004601D5">
            <w:pPr>
              <w:rPr>
                <w:rFonts w:ascii="Arial" w:hAnsi="Arial" w:cs="Arial"/>
                <w:b/>
                <w:bCs/>
              </w:rPr>
            </w:pPr>
            <w:r>
              <w:rPr>
                <w:rFonts w:ascii="Arial" w:hAnsi="Arial" w:cs="Arial"/>
                <w:b/>
                <w:bCs/>
              </w:rPr>
              <w:t xml:space="preserve">Planned milestones for </w:t>
            </w:r>
            <w:r w:rsidR="00831227" w:rsidRPr="00831227">
              <w:rPr>
                <w:rFonts w:ascii="Arial" w:hAnsi="Arial" w:cs="Arial"/>
                <w:b/>
                <w:bCs/>
              </w:rPr>
              <w:t>Priority area to deliver 2025/26</w:t>
            </w:r>
          </w:p>
          <w:p w14:paraId="6FC608CD" w14:textId="718B2439" w:rsidR="004601D5" w:rsidRPr="00831227" w:rsidRDefault="004601D5" w:rsidP="00D95D58">
            <w:pPr>
              <w:rPr>
                <w:rFonts w:ascii="Arial" w:hAnsi="Arial" w:cs="Arial"/>
                <w:b/>
                <w:bCs/>
              </w:rPr>
            </w:pPr>
          </w:p>
        </w:tc>
      </w:tr>
      <w:tr w:rsidR="001C45C7" w:rsidRPr="000C3B7B" w14:paraId="6D2BFBB3" w14:textId="77777777" w:rsidTr="00310ED0">
        <w:tc>
          <w:tcPr>
            <w:tcW w:w="932"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794E49" w14:textId="77777777" w:rsidR="0030760B" w:rsidRPr="003A420C" w:rsidRDefault="0030760B" w:rsidP="0030760B">
            <w:pPr>
              <w:rPr>
                <w:rFonts w:ascii="Arial" w:hAnsi="Arial" w:cs="Arial"/>
              </w:rPr>
            </w:pPr>
          </w:p>
        </w:tc>
        <w:tc>
          <w:tcPr>
            <w:tcW w:w="1017" w:type="pct"/>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4FFB91F" w14:textId="76637110" w:rsidR="0030760B" w:rsidRPr="000C3B7B" w:rsidRDefault="0030760B" w:rsidP="0030760B">
            <w:pPr>
              <w:rPr>
                <w:rFonts w:ascii="Arial" w:hAnsi="Arial" w:cs="Arial"/>
                <w:b/>
                <w:bCs/>
              </w:rPr>
            </w:pPr>
            <w:r w:rsidRPr="00506635">
              <w:rPr>
                <w:rFonts w:ascii="Arial" w:hAnsi="Arial" w:cs="Arial"/>
                <w:b/>
                <w:bCs/>
              </w:rPr>
              <w:t>Quarter 1</w:t>
            </w:r>
          </w:p>
        </w:tc>
        <w:tc>
          <w:tcPr>
            <w:tcW w:w="1023" w:type="pct"/>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16D9AC7" w14:textId="5FF57184" w:rsidR="0030760B" w:rsidRPr="000C3B7B" w:rsidRDefault="0030760B" w:rsidP="0030760B">
            <w:pPr>
              <w:rPr>
                <w:rFonts w:ascii="Arial" w:hAnsi="Arial" w:cs="Arial"/>
                <w:b/>
                <w:bCs/>
              </w:rPr>
            </w:pPr>
            <w:r w:rsidRPr="00506635">
              <w:rPr>
                <w:rFonts w:ascii="Arial" w:hAnsi="Arial" w:cs="Arial"/>
                <w:b/>
                <w:bCs/>
              </w:rPr>
              <w:t>Quarter 2</w:t>
            </w:r>
          </w:p>
        </w:tc>
        <w:tc>
          <w:tcPr>
            <w:tcW w:w="861"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4D79DD5" w14:textId="6610B4C9" w:rsidR="0030760B" w:rsidRPr="000C3B7B" w:rsidRDefault="0030760B" w:rsidP="0030760B">
            <w:pPr>
              <w:rPr>
                <w:rFonts w:ascii="Arial" w:hAnsi="Arial" w:cs="Arial"/>
                <w:b/>
                <w:bCs/>
              </w:rPr>
            </w:pPr>
            <w:r w:rsidRPr="00506635">
              <w:rPr>
                <w:rFonts w:ascii="Arial" w:hAnsi="Arial" w:cs="Arial"/>
                <w:b/>
                <w:bCs/>
              </w:rPr>
              <w:t>Quarter 3</w:t>
            </w:r>
          </w:p>
        </w:tc>
        <w:tc>
          <w:tcPr>
            <w:tcW w:w="116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FBCE863" w14:textId="29F46913" w:rsidR="0030760B" w:rsidRPr="000C3B7B" w:rsidRDefault="0030760B" w:rsidP="0030760B">
            <w:pPr>
              <w:rPr>
                <w:rFonts w:ascii="Arial" w:hAnsi="Arial" w:cs="Arial"/>
                <w:b/>
                <w:bCs/>
              </w:rPr>
            </w:pPr>
            <w:r w:rsidRPr="00506635">
              <w:rPr>
                <w:rFonts w:ascii="Arial" w:hAnsi="Arial" w:cs="Arial"/>
                <w:b/>
                <w:bCs/>
              </w:rPr>
              <w:t>Quarter 4</w:t>
            </w:r>
          </w:p>
        </w:tc>
      </w:tr>
      <w:tr w:rsidR="001C45C7" w:rsidRPr="000C3B7B" w14:paraId="3C85F69D" w14:textId="77777777" w:rsidTr="00310ED0">
        <w:tc>
          <w:tcPr>
            <w:tcW w:w="932"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ECF8435" w14:textId="77777777" w:rsidR="0030760B" w:rsidRPr="003A420C" w:rsidRDefault="0030760B" w:rsidP="0030760B">
            <w:pPr>
              <w:rPr>
                <w:rFonts w:ascii="Arial" w:hAnsi="Arial" w:cs="Arial"/>
              </w:rPr>
            </w:pPr>
          </w:p>
          <w:p w14:paraId="2F865B59" w14:textId="206FC084" w:rsidR="0030760B" w:rsidRPr="003A420C" w:rsidRDefault="0030760B" w:rsidP="0030760B">
            <w:pPr>
              <w:rPr>
                <w:rFonts w:ascii="Arial" w:hAnsi="Arial" w:cs="Arial"/>
                <w:b/>
                <w:bCs/>
              </w:rPr>
            </w:pPr>
            <w:r w:rsidRPr="003A420C">
              <w:rPr>
                <w:rFonts w:ascii="Arial" w:hAnsi="Arial" w:cs="Arial"/>
                <w:b/>
                <w:bCs/>
              </w:rPr>
              <w:t>Ref:</w:t>
            </w:r>
          </w:p>
        </w:tc>
        <w:tc>
          <w:tcPr>
            <w:tcW w:w="1017" w:type="pct"/>
            <w:gridSpan w:val="3"/>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CA1D07C" w14:textId="19E6F398" w:rsidR="003C7B03" w:rsidRDefault="003C7B03" w:rsidP="004601D5">
            <w:pPr>
              <w:rPr>
                <w:rFonts w:ascii="Arial" w:hAnsi="Arial" w:cs="Arial"/>
                <w:sz w:val="20"/>
                <w:szCs w:val="20"/>
              </w:rPr>
            </w:pPr>
            <w:r>
              <w:rPr>
                <w:rFonts w:ascii="Arial" w:hAnsi="Arial" w:cs="Arial"/>
                <w:sz w:val="20"/>
                <w:szCs w:val="20"/>
              </w:rPr>
              <w:t xml:space="preserve">Full 4 yearly </w:t>
            </w:r>
            <w:r w:rsidR="00250096">
              <w:rPr>
                <w:rFonts w:ascii="Arial" w:hAnsi="Arial" w:cs="Arial"/>
                <w:sz w:val="20"/>
                <w:szCs w:val="20"/>
              </w:rPr>
              <w:t>assessment for transition to the new Quality UKAS Standards (ISO15189:</w:t>
            </w:r>
            <w:r w:rsidR="005A3558">
              <w:rPr>
                <w:rFonts w:ascii="Arial" w:hAnsi="Arial" w:cs="Arial"/>
                <w:sz w:val="20"/>
                <w:szCs w:val="20"/>
              </w:rPr>
              <w:t>22) (SO5.1)</w:t>
            </w:r>
          </w:p>
          <w:p w14:paraId="6BB1E895" w14:textId="77777777" w:rsidR="00B61DFD" w:rsidRDefault="00B61DFD" w:rsidP="004601D5">
            <w:pPr>
              <w:rPr>
                <w:rFonts w:ascii="Arial" w:hAnsi="Arial" w:cs="Arial"/>
                <w:sz w:val="20"/>
                <w:szCs w:val="20"/>
              </w:rPr>
            </w:pPr>
          </w:p>
          <w:p w14:paraId="42166467" w14:textId="77777777" w:rsidR="00AB5A5A" w:rsidRDefault="00AB5A5A" w:rsidP="004601D5">
            <w:pPr>
              <w:rPr>
                <w:rFonts w:ascii="Arial" w:hAnsi="Arial" w:cs="Arial"/>
                <w:sz w:val="20"/>
                <w:szCs w:val="20"/>
              </w:rPr>
            </w:pPr>
          </w:p>
          <w:p w14:paraId="0813A996" w14:textId="7ABED8A9" w:rsidR="00AB5A5A" w:rsidRPr="00C554C7" w:rsidRDefault="00AB5A5A" w:rsidP="004601D5">
            <w:pPr>
              <w:rPr>
                <w:rFonts w:ascii="Arial" w:hAnsi="Arial" w:cs="Arial"/>
                <w:sz w:val="20"/>
                <w:szCs w:val="20"/>
              </w:rPr>
            </w:pPr>
          </w:p>
        </w:tc>
        <w:tc>
          <w:tcPr>
            <w:tcW w:w="1023" w:type="pct"/>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2F6310" w14:textId="77777777" w:rsidR="00FE379A" w:rsidRDefault="00FE379A" w:rsidP="00FE379A">
            <w:pPr>
              <w:rPr>
                <w:rFonts w:ascii="Arial" w:hAnsi="Arial" w:cs="Arial"/>
                <w:sz w:val="20"/>
                <w:szCs w:val="20"/>
              </w:rPr>
            </w:pPr>
            <w:r>
              <w:rPr>
                <w:rFonts w:ascii="Arial" w:hAnsi="Arial" w:cs="Arial"/>
                <w:sz w:val="20"/>
                <w:szCs w:val="20"/>
              </w:rPr>
              <w:t>Completed the final year of bowel screening optimisation by offering screening to people aged 50 and improved the sensitivity of the screening FIT by reducing the cut off level of the test. (SO5.4)</w:t>
            </w:r>
          </w:p>
          <w:p w14:paraId="6E08118E" w14:textId="77777777" w:rsidR="009D4F5D" w:rsidRDefault="009D4F5D" w:rsidP="009D4F5D">
            <w:pPr>
              <w:rPr>
                <w:rFonts w:ascii="Arial" w:hAnsi="Arial" w:cs="Arial"/>
                <w:sz w:val="20"/>
                <w:szCs w:val="20"/>
              </w:rPr>
            </w:pPr>
          </w:p>
          <w:p w14:paraId="2FA8CFB4" w14:textId="18CC3B35" w:rsidR="009D4F5D" w:rsidRDefault="009D4F5D" w:rsidP="009D4F5D">
            <w:pPr>
              <w:rPr>
                <w:rFonts w:ascii="Arial" w:hAnsi="Arial" w:cs="Arial"/>
                <w:sz w:val="20"/>
                <w:szCs w:val="20"/>
              </w:rPr>
            </w:pPr>
            <w:r w:rsidRPr="009D4F5D">
              <w:rPr>
                <w:rFonts w:ascii="Arial" w:hAnsi="Arial" w:cs="Arial"/>
                <w:sz w:val="20"/>
                <w:szCs w:val="20"/>
              </w:rPr>
              <w:t>Developed the final report providing an options appraisal and recommendation on how a national lung cancer screening programme can be delivered in Wales. (SO5.4)</w:t>
            </w:r>
          </w:p>
          <w:p w14:paraId="7FE04F9A" w14:textId="77777777" w:rsidR="00770C80" w:rsidRDefault="00770C80" w:rsidP="009D4F5D">
            <w:pPr>
              <w:rPr>
                <w:rFonts w:ascii="Arial" w:hAnsi="Arial" w:cs="Arial"/>
                <w:sz w:val="20"/>
                <w:szCs w:val="20"/>
              </w:rPr>
            </w:pPr>
          </w:p>
          <w:p w14:paraId="78AEE0F2" w14:textId="77777777" w:rsidR="00770C80" w:rsidRPr="00770C80" w:rsidRDefault="00770C80" w:rsidP="00770C80">
            <w:pPr>
              <w:rPr>
                <w:rFonts w:ascii="Arial" w:hAnsi="Arial" w:cs="Arial"/>
                <w:sz w:val="20"/>
                <w:szCs w:val="20"/>
              </w:rPr>
            </w:pPr>
            <w:r w:rsidRPr="00770C80">
              <w:rPr>
                <w:rFonts w:ascii="Arial" w:hAnsi="Arial" w:cs="Arial"/>
                <w:sz w:val="20"/>
                <w:szCs w:val="20"/>
              </w:rPr>
              <w:t>Aligned Healthcare Associated Infection, Antimicrobial Resistance &amp; Prescribing Programme (HARP) programme initiatives with the objectives of the UK National Action Plan (NAP) 2024-2029 (SO5.2)</w:t>
            </w:r>
          </w:p>
          <w:p w14:paraId="41FBEC8E" w14:textId="77777777" w:rsidR="00770C80" w:rsidRPr="009D4F5D" w:rsidRDefault="00770C80" w:rsidP="009D4F5D">
            <w:pPr>
              <w:rPr>
                <w:rFonts w:ascii="Arial" w:hAnsi="Arial" w:cs="Arial"/>
                <w:sz w:val="20"/>
                <w:szCs w:val="20"/>
              </w:rPr>
            </w:pPr>
          </w:p>
          <w:p w14:paraId="13E0BC69" w14:textId="77777777" w:rsidR="009D4F5D" w:rsidRDefault="009D4F5D" w:rsidP="00FE379A">
            <w:pPr>
              <w:rPr>
                <w:rFonts w:ascii="Arial" w:hAnsi="Arial" w:cs="Arial"/>
                <w:sz w:val="20"/>
                <w:szCs w:val="20"/>
              </w:rPr>
            </w:pPr>
          </w:p>
          <w:p w14:paraId="755D9AD5" w14:textId="631DB1E9" w:rsidR="0030760B" w:rsidRPr="00C554C7" w:rsidRDefault="0030760B" w:rsidP="009E65B9">
            <w:pPr>
              <w:rPr>
                <w:rFonts w:ascii="Arial" w:hAnsi="Arial" w:cs="Arial"/>
                <w:sz w:val="20"/>
                <w:szCs w:val="20"/>
              </w:rPr>
            </w:pPr>
          </w:p>
        </w:tc>
        <w:tc>
          <w:tcPr>
            <w:tcW w:w="861"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289C8A" w14:textId="6726D944" w:rsidR="0030760B" w:rsidRDefault="00A003D9" w:rsidP="0030760B">
            <w:pPr>
              <w:rPr>
                <w:rFonts w:ascii="Arial" w:hAnsi="Arial" w:cs="Arial"/>
                <w:sz w:val="20"/>
                <w:szCs w:val="20"/>
              </w:rPr>
            </w:pPr>
            <w:r w:rsidRPr="00A003D9">
              <w:rPr>
                <w:rFonts w:ascii="Arial" w:hAnsi="Arial" w:cs="Arial"/>
                <w:sz w:val="20"/>
                <w:szCs w:val="20"/>
              </w:rPr>
              <w:t>Implement</w:t>
            </w:r>
            <w:r w:rsidR="000275F0">
              <w:rPr>
                <w:rFonts w:ascii="Arial" w:hAnsi="Arial" w:cs="Arial"/>
                <w:sz w:val="20"/>
                <w:szCs w:val="20"/>
              </w:rPr>
              <w:t>ed</w:t>
            </w:r>
            <w:r w:rsidRPr="00A003D9">
              <w:rPr>
                <w:rFonts w:ascii="Arial" w:hAnsi="Arial" w:cs="Arial"/>
                <w:sz w:val="20"/>
                <w:szCs w:val="20"/>
              </w:rPr>
              <w:t xml:space="preserve"> LIMS 2 for Infection Services as part of the All Wales Programme</w:t>
            </w:r>
            <w:r w:rsidR="00176D84">
              <w:rPr>
                <w:rFonts w:ascii="Arial" w:hAnsi="Arial" w:cs="Arial"/>
                <w:sz w:val="20"/>
                <w:szCs w:val="20"/>
              </w:rPr>
              <w:t>.</w:t>
            </w:r>
            <w:r w:rsidR="0027044A">
              <w:rPr>
                <w:rFonts w:ascii="Arial" w:hAnsi="Arial" w:cs="Arial"/>
                <w:sz w:val="20"/>
                <w:szCs w:val="20"/>
              </w:rPr>
              <w:t xml:space="preserve"> (SO5.1)</w:t>
            </w:r>
          </w:p>
          <w:p w14:paraId="0E9AE5F9" w14:textId="77777777" w:rsidR="00176D84" w:rsidRDefault="00176D84" w:rsidP="0030760B">
            <w:pPr>
              <w:rPr>
                <w:rFonts w:ascii="Arial" w:hAnsi="Arial" w:cs="Arial"/>
                <w:sz w:val="20"/>
                <w:szCs w:val="20"/>
              </w:rPr>
            </w:pPr>
          </w:p>
          <w:p w14:paraId="114A6CF3" w14:textId="75542BE0" w:rsidR="00411EC4" w:rsidRDefault="00411EC4" w:rsidP="0030760B">
            <w:pPr>
              <w:rPr>
                <w:rFonts w:ascii="Arial" w:hAnsi="Arial" w:cs="Arial"/>
                <w:sz w:val="20"/>
                <w:szCs w:val="20"/>
              </w:rPr>
            </w:pPr>
            <w:r w:rsidRPr="00176D84">
              <w:rPr>
                <w:rFonts w:ascii="Arial" w:hAnsi="Arial" w:cs="Arial"/>
                <w:sz w:val="20"/>
                <w:szCs w:val="20"/>
              </w:rPr>
              <w:t>Implemented LIMS 2 for screening as part of the All Wales Programme.</w:t>
            </w:r>
            <w:r w:rsidR="00FE379A">
              <w:rPr>
                <w:rFonts w:ascii="Arial" w:hAnsi="Arial" w:cs="Arial"/>
                <w:sz w:val="20"/>
                <w:szCs w:val="20"/>
              </w:rPr>
              <w:t xml:space="preserve"> (SO5.4)</w:t>
            </w:r>
          </w:p>
          <w:p w14:paraId="7521EA7A" w14:textId="77777777" w:rsidR="00A003D9" w:rsidRDefault="00A003D9" w:rsidP="0030760B">
            <w:pPr>
              <w:rPr>
                <w:rFonts w:ascii="Arial" w:hAnsi="Arial" w:cs="Arial"/>
                <w:sz w:val="20"/>
                <w:szCs w:val="20"/>
              </w:rPr>
            </w:pPr>
          </w:p>
          <w:p w14:paraId="26F958A8" w14:textId="1AE90CFF" w:rsidR="00947E40" w:rsidRPr="00947E40" w:rsidRDefault="00947E40" w:rsidP="00947E40">
            <w:pPr>
              <w:rPr>
                <w:rFonts w:ascii="Arial" w:hAnsi="Arial" w:cs="Arial"/>
                <w:sz w:val="20"/>
                <w:szCs w:val="20"/>
              </w:rPr>
            </w:pPr>
            <w:r w:rsidRPr="00947E40">
              <w:rPr>
                <w:rFonts w:ascii="Arial" w:hAnsi="Arial" w:cs="Arial"/>
                <w:sz w:val="20"/>
                <w:szCs w:val="20"/>
              </w:rPr>
              <w:t xml:space="preserve">Improved patient outcomes through uptake and identification of Herpes, </w:t>
            </w:r>
            <w:proofErr w:type="spellStart"/>
            <w:r w:rsidRPr="00947E40">
              <w:rPr>
                <w:rFonts w:ascii="Arial" w:hAnsi="Arial" w:cs="Arial"/>
                <w:sz w:val="20"/>
                <w:szCs w:val="20"/>
              </w:rPr>
              <w:t>Syphillis</w:t>
            </w:r>
            <w:proofErr w:type="spellEnd"/>
            <w:r w:rsidRPr="00947E40">
              <w:rPr>
                <w:rFonts w:ascii="Arial" w:hAnsi="Arial" w:cs="Arial"/>
                <w:sz w:val="20"/>
                <w:szCs w:val="20"/>
              </w:rPr>
              <w:t>, MPOX and LGV through introduction of the ULCER panel as a routine diagnostic test available to Health Boards across Wales</w:t>
            </w:r>
            <w:r w:rsidR="00A042DB">
              <w:rPr>
                <w:rFonts w:ascii="Arial" w:hAnsi="Arial" w:cs="Arial"/>
                <w:sz w:val="20"/>
                <w:szCs w:val="20"/>
              </w:rPr>
              <w:t>. (SO5.1)</w:t>
            </w:r>
          </w:p>
          <w:p w14:paraId="3F2F65E6" w14:textId="77777777" w:rsidR="00947E40" w:rsidRDefault="00947E40" w:rsidP="00947E40">
            <w:pPr>
              <w:rPr>
                <w:rFonts w:ascii="Arial" w:hAnsi="Arial" w:cs="Arial"/>
                <w:sz w:val="20"/>
                <w:szCs w:val="20"/>
              </w:rPr>
            </w:pPr>
          </w:p>
          <w:p w14:paraId="54087BF0" w14:textId="77777777" w:rsidR="005B0DA8" w:rsidRDefault="005B0DA8" w:rsidP="00947E40">
            <w:pPr>
              <w:rPr>
                <w:rFonts w:ascii="Arial" w:hAnsi="Arial" w:cs="Arial"/>
                <w:sz w:val="20"/>
                <w:szCs w:val="20"/>
              </w:rPr>
            </w:pPr>
          </w:p>
          <w:p w14:paraId="2309D830" w14:textId="37A0E3ED" w:rsidR="005B0DA8" w:rsidRPr="00C554C7" w:rsidRDefault="005B0DA8" w:rsidP="00947E40">
            <w:pPr>
              <w:rPr>
                <w:rFonts w:ascii="Arial" w:hAnsi="Arial" w:cs="Arial"/>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A2C6AA6" w14:textId="3DFAFE99" w:rsidR="006E3622" w:rsidRDefault="006E3622" w:rsidP="0030760B">
            <w:pPr>
              <w:rPr>
                <w:rFonts w:ascii="Arial" w:hAnsi="Arial" w:cs="Arial"/>
                <w:sz w:val="20"/>
                <w:szCs w:val="20"/>
              </w:rPr>
            </w:pPr>
            <w:r w:rsidRPr="006E3622">
              <w:rPr>
                <w:rFonts w:ascii="Arial" w:hAnsi="Arial" w:cs="Arial"/>
                <w:sz w:val="20"/>
                <w:szCs w:val="20"/>
              </w:rPr>
              <w:t xml:space="preserve">Progressed implementation of the framework for healthcare public health - 'Population Health and Care in </w:t>
            </w:r>
            <w:proofErr w:type="spellStart"/>
            <w:r w:rsidRPr="006E3622">
              <w:rPr>
                <w:rFonts w:ascii="Arial" w:hAnsi="Arial" w:cs="Arial"/>
                <w:sz w:val="20"/>
                <w:szCs w:val="20"/>
              </w:rPr>
              <w:t>Wales'</w:t>
            </w:r>
            <w:proofErr w:type="spellEnd"/>
            <w:r w:rsidRPr="006E3622">
              <w:rPr>
                <w:rFonts w:ascii="Arial" w:hAnsi="Arial" w:cs="Arial"/>
                <w:sz w:val="20"/>
                <w:szCs w:val="20"/>
              </w:rPr>
              <w:t xml:space="preserve"> in collaboration with key stakeholders</w:t>
            </w:r>
            <w:r w:rsidR="002D1592">
              <w:rPr>
                <w:rFonts w:ascii="Arial" w:hAnsi="Arial" w:cs="Arial"/>
                <w:sz w:val="20"/>
                <w:szCs w:val="20"/>
              </w:rPr>
              <w:t>.</w:t>
            </w:r>
            <w:r w:rsidR="00EC4C97">
              <w:rPr>
                <w:rFonts w:ascii="Arial" w:hAnsi="Arial" w:cs="Arial"/>
                <w:sz w:val="20"/>
                <w:szCs w:val="20"/>
              </w:rPr>
              <w:t xml:space="preserve"> (SO4.2)</w:t>
            </w:r>
          </w:p>
          <w:p w14:paraId="2C27C418" w14:textId="77777777" w:rsidR="00F63341" w:rsidRDefault="00F63341" w:rsidP="0030760B">
            <w:pPr>
              <w:rPr>
                <w:rFonts w:ascii="Arial" w:hAnsi="Arial" w:cs="Arial"/>
                <w:sz w:val="20"/>
                <w:szCs w:val="20"/>
              </w:rPr>
            </w:pPr>
          </w:p>
          <w:p w14:paraId="0F9662AB" w14:textId="36E1B914" w:rsidR="00F63341" w:rsidRDefault="00F63341" w:rsidP="00F63341">
            <w:pPr>
              <w:rPr>
                <w:rFonts w:ascii="Arial" w:hAnsi="Arial" w:cs="Arial"/>
                <w:sz w:val="20"/>
                <w:szCs w:val="20"/>
              </w:rPr>
            </w:pPr>
            <w:r w:rsidRPr="00880D80">
              <w:rPr>
                <w:rFonts w:ascii="Arial" w:hAnsi="Arial" w:cs="Arial"/>
                <w:sz w:val="20"/>
                <w:szCs w:val="20"/>
              </w:rPr>
              <w:t>Provided evidence for current pressures including waiting lists to be implemented with an equity lens</w:t>
            </w:r>
            <w:r w:rsidR="002D1592">
              <w:rPr>
                <w:rFonts w:ascii="Arial" w:hAnsi="Arial" w:cs="Arial"/>
                <w:sz w:val="20"/>
                <w:szCs w:val="20"/>
              </w:rPr>
              <w:t>.</w:t>
            </w:r>
            <w:r w:rsidR="00CA389F">
              <w:rPr>
                <w:rFonts w:ascii="Arial" w:hAnsi="Arial" w:cs="Arial"/>
                <w:sz w:val="20"/>
                <w:szCs w:val="20"/>
              </w:rPr>
              <w:t xml:space="preserve"> (SO4.2)</w:t>
            </w:r>
          </w:p>
          <w:p w14:paraId="6AB21F66" w14:textId="77777777" w:rsidR="00C64CD9" w:rsidRDefault="00C64CD9" w:rsidP="0030760B">
            <w:pPr>
              <w:rPr>
                <w:rFonts w:ascii="Arial" w:hAnsi="Arial" w:cs="Arial"/>
                <w:sz w:val="20"/>
                <w:szCs w:val="20"/>
              </w:rPr>
            </w:pPr>
          </w:p>
          <w:p w14:paraId="4E043D56" w14:textId="7044B5A4" w:rsidR="00C64CD9" w:rsidRDefault="00C64CD9" w:rsidP="00C64CD9">
            <w:pPr>
              <w:rPr>
                <w:rFonts w:ascii="Arial" w:hAnsi="Arial" w:cs="Arial"/>
                <w:sz w:val="20"/>
                <w:szCs w:val="20"/>
              </w:rPr>
            </w:pPr>
            <w:r w:rsidRPr="006C23D8">
              <w:rPr>
                <w:rFonts w:ascii="Arial" w:hAnsi="Arial" w:cs="Arial"/>
                <w:sz w:val="20"/>
                <w:szCs w:val="20"/>
              </w:rPr>
              <w:t>Deliver</w:t>
            </w:r>
            <w:r>
              <w:rPr>
                <w:rFonts w:ascii="Arial" w:hAnsi="Arial" w:cs="Arial"/>
                <w:sz w:val="20"/>
                <w:szCs w:val="20"/>
              </w:rPr>
              <w:t>ed</w:t>
            </w:r>
            <w:r w:rsidRPr="006C23D8">
              <w:rPr>
                <w:rFonts w:ascii="Arial" w:hAnsi="Arial" w:cs="Arial"/>
                <w:sz w:val="20"/>
                <w:szCs w:val="20"/>
              </w:rPr>
              <w:t xml:space="preserve"> a refreshed Screening Equity Strategy to reduce inequity in uptake of screening</w:t>
            </w:r>
            <w:r w:rsidR="002D1592">
              <w:rPr>
                <w:rFonts w:ascii="Arial" w:hAnsi="Arial" w:cs="Arial"/>
                <w:sz w:val="20"/>
                <w:szCs w:val="20"/>
              </w:rPr>
              <w:t>.</w:t>
            </w:r>
            <w:r w:rsidR="000D1A65">
              <w:rPr>
                <w:rFonts w:ascii="Arial" w:hAnsi="Arial" w:cs="Arial"/>
                <w:sz w:val="20"/>
                <w:szCs w:val="20"/>
              </w:rPr>
              <w:t xml:space="preserve"> (SO5.4)</w:t>
            </w:r>
          </w:p>
          <w:p w14:paraId="416F877D" w14:textId="77777777" w:rsidR="006E3622" w:rsidRDefault="006E3622" w:rsidP="0030760B">
            <w:pPr>
              <w:rPr>
                <w:rFonts w:ascii="Arial" w:hAnsi="Arial" w:cs="Arial"/>
                <w:sz w:val="20"/>
                <w:szCs w:val="20"/>
              </w:rPr>
            </w:pPr>
          </w:p>
          <w:p w14:paraId="29460574" w14:textId="71B70AF1" w:rsidR="00AA6EC4" w:rsidRDefault="00AA6EC4" w:rsidP="00AA6EC4">
            <w:pPr>
              <w:rPr>
                <w:rFonts w:ascii="Arial" w:hAnsi="Arial" w:cs="Arial"/>
                <w:sz w:val="20"/>
                <w:szCs w:val="20"/>
              </w:rPr>
            </w:pPr>
            <w:r w:rsidRPr="00AA6EC4">
              <w:rPr>
                <w:rFonts w:ascii="Arial" w:hAnsi="Arial" w:cs="Arial"/>
                <w:sz w:val="20"/>
                <w:szCs w:val="20"/>
              </w:rPr>
              <w:t>Regional Structure Realignment to include Rapid Hot Labs to support expansion of test repertoire based on population needs</w:t>
            </w:r>
            <w:r w:rsidR="00133B32">
              <w:rPr>
                <w:rFonts w:ascii="Arial" w:hAnsi="Arial" w:cs="Arial"/>
                <w:sz w:val="20"/>
                <w:szCs w:val="20"/>
              </w:rPr>
              <w:t xml:space="preserve"> (SO5.1)</w:t>
            </w:r>
          </w:p>
          <w:p w14:paraId="57BE14C5" w14:textId="77777777" w:rsidR="00AA6EC4" w:rsidRPr="00AA6EC4" w:rsidRDefault="00AA6EC4" w:rsidP="00AA6EC4">
            <w:pPr>
              <w:rPr>
                <w:rFonts w:ascii="Arial" w:hAnsi="Arial" w:cs="Arial"/>
                <w:sz w:val="20"/>
                <w:szCs w:val="20"/>
              </w:rPr>
            </w:pPr>
          </w:p>
          <w:p w14:paraId="1936D1C0" w14:textId="65038013" w:rsidR="00703D64" w:rsidRPr="000F4B7C" w:rsidRDefault="00AA6EC4" w:rsidP="00BC6359">
            <w:pPr>
              <w:rPr>
                <w:rFonts w:ascii="Arial" w:hAnsi="Arial" w:cs="Arial"/>
                <w:sz w:val="20"/>
                <w:szCs w:val="20"/>
              </w:rPr>
            </w:pPr>
            <w:r w:rsidRPr="000F4B7C">
              <w:rPr>
                <w:rFonts w:ascii="Arial" w:hAnsi="Arial" w:cs="Arial"/>
                <w:sz w:val="20"/>
                <w:szCs w:val="20"/>
              </w:rPr>
              <w:t>Implement</w:t>
            </w:r>
            <w:r w:rsidR="004358DD" w:rsidRPr="000F4B7C">
              <w:rPr>
                <w:rFonts w:ascii="Arial" w:hAnsi="Arial" w:cs="Arial"/>
                <w:sz w:val="20"/>
                <w:szCs w:val="20"/>
              </w:rPr>
              <w:t>ed</w:t>
            </w:r>
            <w:r w:rsidRPr="000F4B7C">
              <w:rPr>
                <w:rFonts w:ascii="Arial" w:hAnsi="Arial" w:cs="Arial"/>
                <w:sz w:val="20"/>
                <w:szCs w:val="20"/>
              </w:rPr>
              <w:t xml:space="preserve"> fit-for-purpose structure for the Welsh Specialist Virology Centre to provide Diagnostic and Sexual Health Services</w:t>
            </w:r>
            <w:r w:rsidR="00E47D16">
              <w:rPr>
                <w:rFonts w:ascii="Arial" w:hAnsi="Arial" w:cs="Arial"/>
                <w:sz w:val="20"/>
                <w:szCs w:val="20"/>
              </w:rPr>
              <w:t xml:space="preserve"> (SO5.1)</w:t>
            </w:r>
          </w:p>
          <w:p w14:paraId="6EA3F0DC" w14:textId="77777777" w:rsidR="005B315B" w:rsidRDefault="005B315B" w:rsidP="00F77DEA">
            <w:pPr>
              <w:rPr>
                <w:rFonts w:ascii="Arial" w:hAnsi="Arial" w:cs="Arial"/>
                <w:sz w:val="20"/>
                <w:szCs w:val="20"/>
              </w:rPr>
            </w:pPr>
          </w:p>
          <w:p w14:paraId="506B3967" w14:textId="59EFFDFB" w:rsidR="00F77DEA" w:rsidRPr="00C554C7" w:rsidRDefault="00F77DEA" w:rsidP="00F77DEA">
            <w:pPr>
              <w:rPr>
                <w:rFonts w:ascii="Arial" w:hAnsi="Arial" w:cs="Arial"/>
                <w:sz w:val="20"/>
                <w:szCs w:val="20"/>
              </w:rPr>
            </w:pPr>
          </w:p>
        </w:tc>
      </w:tr>
      <w:tr w:rsidR="0030760B" w:rsidRPr="000C3B7B" w14:paraId="5B59431C" w14:textId="77777777" w:rsidTr="000C60CD">
        <w:tc>
          <w:tcPr>
            <w:tcW w:w="5000" w:type="pct"/>
            <w:gridSpan w:val="1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59F2B7" w14:textId="51A2C40B" w:rsidR="0030760B" w:rsidRDefault="0030760B" w:rsidP="0030760B">
            <w:pPr>
              <w:rPr>
                <w:rFonts w:ascii="Arial" w:hAnsi="Arial" w:cs="Arial"/>
                <w:b/>
                <w:bCs/>
              </w:rPr>
            </w:pPr>
            <w:r w:rsidRPr="00A8552E">
              <w:rPr>
                <w:rFonts w:ascii="Arial" w:hAnsi="Arial" w:cs="Arial"/>
                <w:b/>
                <w:bCs/>
              </w:rPr>
              <w:lastRenderedPageBreak/>
              <w:t>Overarching outcome measures/ metrics:</w:t>
            </w:r>
          </w:p>
          <w:p w14:paraId="5ABE5D84" w14:textId="77777777" w:rsidR="00D745C0" w:rsidRDefault="00D745C0" w:rsidP="0030760B">
            <w:pPr>
              <w:rPr>
                <w:rFonts w:ascii="Arial" w:hAnsi="Arial" w:cs="Arial"/>
                <w:b/>
                <w:bCs/>
              </w:rPr>
            </w:pPr>
          </w:p>
          <w:p w14:paraId="7D9B21EE" w14:textId="58890962" w:rsidR="00D745C0" w:rsidRPr="00D745C0" w:rsidRDefault="00D745C0" w:rsidP="0030760B">
            <w:pPr>
              <w:rPr>
                <w:rFonts w:ascii="Arial" w:hAnsi="Arial" w:cs="Arial"/>
              </w:rPr>
            </w:pPr>
            <w:r w:rsidRPr="00D745C0">
              <w:rPr>
                <w:rFonts w:ascii="Arial" w:hAnsi="Arial" w:cs="Arial"/>
              </w:rPr>
              <w:t>We will work to support the achievement of the following systems wide outcomes:</w:t>
            </w:r>
          </w:p>
          <w:p w14:paraId="67BE16BE" w14:textId="77777777" w:rsidR="00A8552E" w:rsidRPr="00B000F9" w:rsidRDefault="00A8552E" w:rsidP="00A04F61">
            <w:pPr>
              <w:pStyle w:val="NormalText"/>
              <w:numPr>
                <w:ilvl w:val="0"/>
                <w:numId w:val="23"/>
              </w:numPr>
              <w:spacing w:before="240" w:after="0"/>
              <w:ind w:left="426" w:right="-249"/>
              <w:jc w:val="both"/>
              <w:rPr>
                <w:rFonts w:ascii="Arial" w:hAnsi="Arial" w:cs="Arial"/>
                <w:b/>
                <w:color w:val="auto"/>
                <w:sz w:val="22"/>
              </w:rPr>
            </w:pPr>
            <w:r w:rsidRPr="00B000F9">
              <w:rPr>
                <w:rFonts w:ascii="Arial" w:hAnsi="Arial" w:cs="Arial"/>
                <w:b/>
                <w:color w:val="auto"/>
                <w:sz w:val="22"/>
              </w:rPr>
              <w:t xml:space="preserve">Increased childhood immunisation coverage </w:t>
            </w:r>
          </w:p>
          <w:p w14:paraId="027B5CDB" w14:textId="77777777" w:rsidR="00A8552E" w:rsidRPr="00B000F9" w:rsidRDefault="00A8552E" w:rsidP="00A8552E">
            <w:pPr>
              <w:pStyle w:val="NormalText"/>
              <w:spacing w:before="240" w:after="0"/>
              <w:ind w:left="360" w:right="-249"/>
              <w:jc w:val="both"/>
              <w:rPr>
                <w:rFonts w:ascii="Arial" w:eastAsiaTheme="minorHAnsi" w:hAnsi="Arial" w:cs="Arial"/>
                <w:b/>
                <w:bCs/>
                <w:color w:val="auto"/>
                <w:sz w:val="22"/>
              </w:rPr>
            </w:pPr>
            <w:r w:rsidRPr="00B000F9">
              <w:rPr>
                <w:rFonts w:ascii="Arial" w:hAnsi="Arial" w:cs="Arial"/>
                <w:color w:val="auto"/>
                <w:sz w:val="22"/>
              </w:rPr>
              <w:t>The percentage of children receiving routine immunisations at different ages has seen little improvement in recent years. In 2023/24, the proportion of children fully up to date with their immunisations by ages 4, 5 and 15 decreased</w:t>
            </w:r>
            <w:r w:rsidRPr="00B000F9">
              <w:rPr>
                <w:rStyle w:val="FootnoteReference"/>
                <w:rFonts w:ascii="Arial" w:hAnsi="Arial" w:cs="Arial"/>
                <w:color w:val="auto"/>
                <w:sz w:val="22"/>
              </w:rPr>
              <w:footnoteReference w:id="3"/>
            </w:r>
            <w:r w:rsidRPr="00B000F9">
              <w:rPr>
                <w:rFonts w:ascii="Arial" w:hAnsi="Arial" w:cs="Arial"/>
                <w:color w:val="auto"/>
                <w:sz w:val="22"/>
              </w:rPr>
              <w:t>, and the gap in coverage between the most and least deprived areas widened</w:t>
            </w:r>
            <w:r w:rsidRPr="00B000F9">
              <w:rPr>
                <w:rStyle w:val="FootnoteReference"/>
                <w:rFonts w:ascii="Arial" w:hAnsi="Arial" w:cs="Arial"/>
                <w:color w:val="auto"/>
                <w:sz w:val="22"/>
              </w:rPr>
              <w:footnoteReference w:id="4"/>
            </w:r>
            <w:r w:rsidRPr="00B000F9">
              <w:rPr>
                <w:rFonts w:ascii="Arial" w:hAnsi="Arial" w:cs="Arial"/>
                <w:color w:val="auto"/>
                <w:sz w:val="22"/>
              </w:rPr>
              <w:t>. We will work towards increasing coverage of:</w:t>
            </w:r>
          </w:p>
          <w:p w14:paraId="51A5EB44" w14:textId="77777777" w:rsidR="00A8552E" w:rsidRPr="00B000F9" w:rsidRDefault="00A8552E" w:rsidP="00A04F61">
            <w:pPr>
              <w:pStyle w:val="NormalText"/>
              <w:numPr>
                <w:ilvl w:val="1"/>
                <w:numId w:val="23"/>
              </w:numPr>
              <w:spacing w:after="0"/>
              <w:ind w:left="1080" w:right="-249"/>
              <w:jc w:val="both"/>
              <w:rPr>
                <w:rFonts w:ascii="Arial" w:eastAsiaTheme="minorHAnsi" w:hAnsi="Arial" w:cs="Arial"/>
                <w:b/>
                <w:color w:val="auto"/>
                <w:sz w:val="22"/>
              </w:rPr>
            </w:pPr>
            <w:r w:rsidRPr="00B000F9">
              <w:rPr>
                <w:rFonts w:ascii="Arial" w:eastAsiaTheme="minorHAnsi" w:hAnsi="Arial" w:cs="Arial"/>
                <w:b/>
                <w:bCs/>
                <w:color w:val="auto"/>
                <w:sz w:val="22"/>
              </w:rPr>
              <w:t>‘6 in 1’ vaccination at age 1 (</w:t>
            </w:r>
            <w:r w:rsidRPr="00B000F9">
              <w:rPr>
                <w:rFonts w:ascii="Arial" w:eastAsiaTheme="minorHAnsi" w:hAnsi="Arial" w:cs="Arial"/>
                <w:b/>
                <w:color w:val="auto"/>
                <w:sz w:val="22"/>
              </w:rPr>
              <w:t>2023/24, 94.2% of children had received all three doses of the ‘6 in 1’ diphtheria, tetanus, pertussis, polio, Hib and hepatitis B vaccination</w:t>
            </w:r>
            <w:r w:rsidRPr="00B000F9">
              <w:rPr>
                <w:rFonts w:ascii="Arial" w:eastAsiaTheme="minorHAnsi" w:hAnsi="Arial" w:cs="Arial"/>
                <w:b/>
                <w:bCs/>
                <w:color w:val="auto"/>
                <w:sz w:val="22"/>
              </w:rPr>
              <w:t>)</w:t>
            </w:r>
          </w:p>
          <w:p w14:paraId="653F61E6" w14:textId="77777777" w:rsidR="00A8552E" w:rsidRPr="00B000F9" w:rsidRDefault="00A8552E" w:rsidP="00A04F61">
            <w:pPr>
              <w:pStyle w:val="NormalText"/>
              <w:spacing w:after="0"/>
              <w:ind w:left="1080" w:right="-249"/>
              <w:jc w:val="both"/>
              <w:rPr>
                <w:rFonts w:ascii="Arial" w:eastAsiaTheme="minorHAnsi" w:hAnsi="Arial" w:cs="Arial"/>
                <w:b/>
                <w:bCs/>
                <w:color w:val="auto"/>
                <w:sz w:val="22"/>
              </w:rPr>
            </w:pPr>
            <w:r w:rsidRPr="00B000F9">
              <w:rPr>
                <w:rFonts w:ascii="Arial" w:eastAsiaTheme="minorHAnsi" w:hAnsi="Arial" w:cs="Arial"/>
                <w:color w:val="auto"/>
                <w:sz w:val="22"/>
              </w:rPr>
              <w:t>A slight decrease on the previous year, and below the target of 95%.</w:t>
            </w:r>
          </w:p>
          <w:p w14:paraId="4B9BAF5D" w14:textId="77777777" w:rsidR="00A8552E" w:rsidRPr="00B000F9" w:rsidRDefault="00A8552E" w:rsidP="00A04F61">
            <w:pPr>
              <w:pStyle w:val="NormalText"/>
              <w:numPr>
                <w:ilvl w:val="1"/>
                <w:numId w:val="23"/>
              </w:numPr>
              <w:spacing w:after="0"/>
              <w:ind w:left="1080" w:right="-249"/>
              <w:jc w:val="both"/>
              <w:rPr>
                <w:rFonts w:ascii="Arial" w:eastAsiaTheme="minorHAnsi" w:hAnsi="Arial" w:cs="Arial"/>
                <w:b/>
                <w:color w:val="auto"/>
                <w:sz w:val="22"/>
              </w:rPr>
            </w:pPr>
            <w:r w:rsidRPr="00B000F9">
              <w:rPr>
                <w:rFonts w:ascii="Arial" w:eastAsiaTheme="minorHAnsi" w:hAnsi="Arial" w:cs="Arial"/>
                <w:b/>
                <w:bCs/>
                <w:color w:val="auto"/>
                <w:sz w:val="22"/>
              </w:rPr>
              <w:t xml:space="preserve">MMR coverage at age 2 </w:t>
            </w:r>
            <w:r w:rsidRPr="00B000F9">
              <w:rPr>
                <w:rFonts w:ascii="Arial" w:eastAsiaTheme="minorHAnsi" w:hAnsi="Arial" w:cs="Arial"/>
                <w:b/>
                <w:bCs/>
                <w:color w:val="auto"/>
                <w:sz w:val="22"/>
              </w:rPr>
              <w:softHyphen/>
              <w:t>(</w:t>
            </w:r>
            <w:r w:rsidRPr="00B000F9">
              <w:rPr>
                <w:rFonts w:ascii="Arial" w:eastAsiaTheme="minorHAnsi" w:hAnsi="Arial" w:cs="Arial"/>
                <w:b/>
                <w:color w:val="auto"/>
                <w:sz w:val="22"/>
              </w:rPr>
              <w:t>2023/24, 92.9% of children had received at least one dose of MMR vaccination by age 2</w:t>
            </w:r>
            <w:r w:rsidRPr="00B000F9">
              <w:rPr>
                <w:rFonts w:ascii="Arial" w:eastAsiaTheme="minorHAnsi" w:hAnsi="Arial" w:cs="Arial"/>
                <w:b/>
                <w:bCs/>
                <w:color w:val="auto"/>
                <w:sz w:val="22"/>
              </w:rPr>
              <w:t>)</w:t>
            </w:r>
          </w:p>
          <w:p w14:paraId="2EA35176" w14:textId="77777777" w:rsidR="00A8552E" w:rsidRPr="00B000F9" w:rsidRDefault="00A8552E" w:rsidP="00A04F61">
            <w:pPr>
              <w:pStyle w:val="NormalText"/>
              <w:spacing w:after="0"/>
              <w:ind w:left="1080" w:right="-249"/>
              <w:jc w:val="both"/>
              <w:rPr>
                <w:rFonts w:ascii="Arial" w:eastAsiaTheme="minorHAnsi" w:hAnsi="Arial" w:cs="Arial"/>
                <w:color w:val="auto"/>
                <w:sz w:val="22"/>
              </w:rPr>
            </w:pPr>
            <w:r w:rsidRPr="00B000F9">
              <w:rPr>
                <w:rFonts w:ascii="Arial" w:eastAsiaTheme="minorHAnsi" w:hAnsi="Arial" w:cs="Arial"/>
                <w:color w:val="auto"/>
                <w:sz w:val="22"/>
              </w:rPr>
              <w:t>The target is</w:t>
            </w:r>
            <w:r w:rsidRPr="00B000F9">
              <w:rPr>
                <w:rFonts w:ascii="Arial" w:eastAsiaTheme="minorHAnsi" w:hAnsi="Arial" w:cs="Arial"/>
                <w:b/>
                <w:color w:val="auto"/>
                <w:sz w:val="22"/>
              </w:rPr>
              <w:t xml:space="preserve"> </w:t>
            </w:r>
            <w:r w:rsidRPr="00B000F9">
              <w:rPr>
                <w:rFonts w:ascii="Arial" w:eastAsiaTheme="minorHAnsi" w:hAnsi="Arial" w:cs="Arial"/>
                <w:color w:val="auto"/>
                <w:sz w:val="22"/>
              </w:rPr>
              <w:t xml:space="preserve">95%. </w:t>
            </w:r>
          </w:p>
          <w:p w14:paraId="0DF12FDC" w14:textId="77777777" w:rsidR="002341F5" w:rsidRPr="00B000F9" w:rsidRDefault="002341F5" w:rsidP="00A04F61">
            <w:pPr>
              <w:pStyle w:val="NormalText"/>
              <w:numPr>
                <w:ilvl w:val="1"/>
                <w:numId w:val="23"/>
              </w:numPr>
              <w:spacing w:after="0"/>
              <w:ind w:left="1080" w:right="-249"/>
              <w:jc w:val="both"/>
              <w:rPr>
                <w:rFonts w:ascii="Arial" w:eastAsiaTheme="minorHAnsi" w:hAnsi="Arial" w:cs="Arial"/>
                <w:b/>
                <w:color w:val="auto"/>
                <w:sz w:val="22"/>
              </w:rPr>
            </w:pPr>
            <w:r w:rsidRPr="00B000F9">
              <w:rPr>
                <w:rFonts w:ascii="Arial" w:eastAsiaTheme="minorHAnsi" w:hAnsi="Arial" w:cs="Arial"/>
                <w:b/>
                <w:bCs/>
                <w:color w:val="auto"/>
                <w:sz w:val="22"/>
              </w:rPr>
              <w:t>HPV coverage at age 15 (</w:t>
            </w:r>
            <w:r w:rsidRPr="00B000F9">
              <w:rPr>
                <w:rFonts w:ascii="Arial" w:eastAsiaTheme="minorHAnsi" w:hAnsi="Arial" w:cs="Arial"/>
                <w:b/>
                <w:color w:val="auto"/>
                <w:sz w:val="22"/>
              </w:rPr>
              <w:t>2023/24, coverage of the one-dose course of HPV vaccination was 74.1% in children turning 15</w:t>
            </w:r>
            <w:r w:rsidRPr="00B000F9">
              <w:rPr>
                <w:rFonts w:ascii="Arial" w:eastAsiaTheme="minorHAnsi" w:hAnsi="Arial" w:cs="Arial"/>
                <w:b/>
                <w:bCs/>
                <w:color w:val="auto"/>
                <w:sz w:val="22"/>
              </w:rPr>
              <w:t>.)</w:t>
            </w:r>
          </w:p>
          <w:p w14:paraId="78C5C19E" w14:textId="77777777" w:rsidR="002341F5" w:rsidRPr="00B000F9" w:rsidRDefault="002341F5" w:rsidP="00A04F61">
            <w:pPr>
              <w:pStyle w:val="NormalText"/>
              <w:spacing w:after="0"/>
              <w:ind w:left="1080" w:right="-249"/>
              <w:jc w:val="both"/>
              <w:rPr>
                <w:rFonts w:ascii="Arial" w:eastAsiaTheme="minorHAnsi" w:hAnsi="Arial" w:cs="Arial"/>
                <w:b/>
                <w:bCs/>
                <w:color w:val="auto"/>
                <w:sz w:val="22"/>
              </w:rPr>
            </w:pPr>
            <w:r w:rsidRPr="00B000F9">
              <w:rPr>
                <w:rFonts w:ascii="Arial" w:eastAsiaTheme="minorHAnsi" w:hAnsi="Arial" w:cs="Arial"/>
                <w:color w:val="auto"/>
                <w:sz w:val="22"/>
              </w:rPr>
              <w:t>HPV coverage has decreased in recent years and is much lower than the 90% target.</w:t>
            </w:r>
          </w:p>
          <w:p w14:paraId="55A1BB2A" w14:textId="77777777" w:rsidR="002341F5" w:rsidRPr="00B000F9" w:rsidRDefault="002341F5" w:rsidP="00A04F61">
            <w:pPr>
              <w:pStyle w:val="NormalText"/>
              <w:numPr>
                <w:ilvl w:val="1"/>
                <w:numId w:val="23"/>
              </w:numPr>
              <w:spacing w:after="0"/>
              <w:ind w:left="1077" w:right="-249" w:hanging="357"/>
              <w:jc w:val="both"/>
              <w:rPr>
                <w:rFonts w:ascii="Arial" w:hAnsi="Arial" w:cs="Arial"/>
                <w:b/>
                <w:color w:val="auto"/>
                <w:sz w:val="22"/>
              </w:rPr>
            </w:pPr>
            <w:r w:rsidRPr="00B000F9">
              <w:rPr>
                <w:rFonts w:ascii="Arial" w:hAnsi="Arial" w:cs="Arial"/>
                <w:b/>
                <w:color w:val="auto"/>
                <w:sz w:val="22"/>
              </w:rPr>
              <w:t>Coverage of all routine immunisations by age 1 (93.1% in 2023/24)</w:t>
            </w:r>
          </w:p>
          <w:p w14:paraId="38962256" w14:textId="77777777" w:rsidR="002341F5" w:rsidRPr="00B000F9" w:rsidRDefault="002341F5" w:rsidP="002341F5">
            <w:pPr>
              <w:pStyle w:val="NormalText"/>
              <w:numPr>
                <w:ilvl w:val="1"/>
                <w:numId w:val="23"/>
              </w:numPr>
              <w:spacing w:after="0"/>
              <w:ind w:left="1077" w:right="-249" w:hanging="357"/>
              <w:jc w:val="both"/>
              <w:rPr>
                <w:rFonts w:ascii="Arial" w:hAnsi="Arial" w:cs="Arial"/>
                <w:b/>
                <w:color w:val="auto"/>
                <w:sz w:val="22"/>
              </w:rPr>
            </w:pPr>
            <w:r w:rsidRPr="00B000F9">
              <w:rPr>
                <w:rFonts w:ascii="Arial" w:hAnsi="Arial" w:cs="Arial"/>
                <w:b/>
                <w:color w:val="auto"/>
                <w:sz w:val="22"/>
              </w:rPr>
              <w:t>Coverage of all routine immunisations by age 2 (90.8% in 2023/24)</w:t>
            </w:r>
          </w:p>
          <w:p w14:paraId="72AFFC2E" w14:textId="77777777" w:rsidR="002341F5" w:rsidRPr="00B000F9" w:rsidRDefault="002341F5" w:rsidP="002341F5">
            <w:pPr>
              <w:pStyle w:val="NormalText"/>
              <w:numPr>
                <w:ilvl w:val="1"/>
                <w:numId w:val="23"/>
              </w:numPr>
              <w:spacing w:after="0"/>
              <w:ind w:left="1077" w:right="-249" w:hanging="357"/>
              <w:jc w:val="both"/>
              <w:rPr>
                <w:rFonts w:ascii="Arial" w:hAnsi="Arial" w:cs="Arial"/>
                <w:b/>
                <w:color w:val="auto"/>
                <w:sz w:val="22"/>
              </w:rPr>
            </w:pPr>
            <w:r w:rsidRPr="00B000F9">
              <w:rPr>
                <w:rFonts w:ascii="Arial" w:hAnsi="Arial" w:cs="Arial"/>
                <w:b/>
                <w:color w:val="auto"/>
                <w:sz w:val="22"/>
              </w:rPr>
              <w:t>Coverage of all routine immunisations by age 4 (84.6% in 2023/24)</w:t>
            </w:r>
          </w:p>
          <w:p w14:paraId="646A60BA" w14:textId="77777777" w:rsidR="002341F5" w:rsidRPr="00B000F9" w:rsidRDefault="002341F5" w:rsidP="002341F5">
            <w:pPr>
              <w:pStyle w:val="NormalText"/>
              <w:numPr>
                <w:ilvl w:val="1"/>
                <w:numId w:val="23"/>
              </w:numPr>
              <w:spacing w:after="0"/>
              <w:ind w:left="1077" w:right="-249" w:hanging="357"/>
              <w:jc w:val="both"/>
              <w:rPr>
                <w:rFonts w:ascii="Arial" w:hAnsi="Arial" w:cs="Arial"/>
                <w:b/>
                <w:color w:val="auto"/>
                <w:sz w:val="22"/>
              </w:rPr>
            </w:pPr>
            <w:r w:rsidRPr="00B000F9">
              <w:rPr>
                <w:rFonts w:ascii="Arial" w:hAnsi="Arial" w:cs="Arial"/>
                <w:b/>
                <w:color w:val="auto"/>
                <w:sz w:val="22"/>
              </w:rPr>
              <w:t>Coverage of all routine immunisations by age 5 (87.8% in 2023/24)</w:t>
            </w:r>
          </w:p>
          <w:p w14:paraId="5932D3B8" w14:textId="22052C0B" w:rsidR="002341F5" w:rsidRPr="00B000F9" w:rsidRDefault="002341F5" w:rsidP="002341F5">
            <w:pPr>
              <w:pStyle w:val="NormalText"/>
              <w:numPr>
                <w:ilvl w:val="1"/>
                <w:numId w:val="23"/>
              </w:numPr>
              <w:spacing w:after="0"/>
              <w:ind w:left="1077" w:right="-249" w:hanging="357"/>
              <w:jc w:val="both"/>
              <w:rPr>
                <w:rFonts w:ascii="Arial" w:hAnsi="Arial" w:cs="Arial"/>
                <w:b/>
                <w:color w:val="auto"/>
                <w:sz w:val="22"/>
              </w:rPr>
            </w:pPr>
            <w:r w:rsidRPr="00B000F9">
              <w:rPr>
                <w:rFonts w:ascii="Arial" w:hAnsi="Arial" w:cs="Arial"/>
                <w:b/>
                <w:color w:val="auto"/>
                <w:sz w:val="22"/>
              </w:rPr>
              <w:t>Coverage of all routine immunisations by age 15 (62.2% in 2023/24)</w:t>
            </w:r>
          </w:p>
          <w:p w14:paraId="31C12FF3" w14:textId="28F734AE" w:rsidR="0030760B" w:rsidRPr="00A04F61" w:rsidRDefault="00A04F61" w:rsidP="00A04F61">
            <w:pPr>
              <w:pStyle w:val="NormalText"/>
              <w:numPr>
                <w:ilvl w:val="0"/>
                <w:numId w:val="23"/>
              </w:numPr>
              <w:spacing w:before="240" w:after="0"/>
              <w:ind w:left="426" w:right="-249"/>
              <w:jc w:val="both"/>
              <w:rPr>
                <w:rFonts w:ascii="Arial" w:hAnsi="Arial" w:cs="Arial"/>
                <w:b/>
                <w:color w:val="auto"/>
              </w:rPr>
            </w:pPr>
            <w:r w:rsidRPr="00B000F9">
              <w:rPr>
                <w:rFonts w:ascii="Arial" w:hAnsi="Arial" w:cs="Arial"/>
                <w:b/>
                <w:color w:val="auto"/>
                <w:sz w:val="22"/>
              </w:rPr>
              <w:t xml:space="preserve">Increased proportion of cancers detected at an early stage </w:t>
            </w:r>
          </w:p>
        </w:tc>
      </w:tr>
      <w:tr w:rsidR="00F355BC" w:rsidRPr="000C3B7B" w14:paraId="27B955B6" w14:textId="77777777" w:rsidTr="00310ED0">
        <w:trPr>
          <w:trHeight w:val="370"/>
        </w:trPr>
        <w:tc>
          <w:tcPr>
            <w:tcW w:w="932" w:type="pct"/>
            <w:gridSpan w:val="2"/>
            <w:vMerge w:val="restart"/>
            <w:tcBorders>
              <w:top w:val="single" w:sz="4" w:space="0" w:color="auto"/>
              <w:left w:val="single" w:sz="4" w:space="0" w:color="auto"/>
              <w:right w:val="single" w:sz="4" w:space="0" w:color="auto"/>
            </w:tcBorders>
            <w:shd w:val="clear" w:color="auto" w:fill="FFE599" w:themeFill="accent4" w:themeFillTint="66"/>
            <w:vAlign w:val="center"/>
          </w:tcPr>
          <w:p w14:paraId="13878F6F" w14:textId="55A5143B" w:rsidR="000C60CD" w:rsidRPr="000C3B7B" w:rsidRDefault="000C60CD" w:rsidP="000C60CD">
            <w:pPr>
              <w:rPr>
                <w:rFonts w:ascii="Arial" w:hAnsi="Arial" w:cs="Arial"/>
                <w:b/>
              </w:rPr>
            </w:pPr>
            <w:r>
              <w:rPr>
                <w:rFonts w:ascii="Arial" w:hAnsi="Arial" w:cs="Arial"/>
                <w:b/>
              </w:rPr>
              <w:t>Risks</w:t>
            </w:r>
          </w:p>
        </w:tc>
        <w:tc>
          <w:tcPr>
            <w:tcW w:w="2059" w:type="pct"/>
            <w:gridSpan w:val="7"/>
            <w:tcBorders>
              <w:top w:val="single" w:sz="4" w:space="0" w:color="auto"/>
              <w:left w:val="single" w:sz="4" w:space="0" w:color="auto"/>
              <w:right w:val="single" w:sz="4" w:space="0" w:color="auto"/>
            </w:tcBorders>
            <w:shd w:val="clear" w:color="auto" w:fill="FFE599" w:themeFill="accent4" w:themeFillTint="66"/>
            <w:vAlign w:val="center"/>
          </w:tcPr>
          <w:p w14:paraId="52965071" w14:textId="3537F73B" w:rsidR="000C60CD" w:rsidRPr="000C3B7B" w:rsidRDefault="000C60CD" w:rsidP="000C60CD">
            <w:pPr>
              <w:rPr>
                <w:rFonts w:ascii="Arial" w:hAnsi="Arial" w:cs="Arial"/>
                <w:b/>
              </w:rPr>
            </w:pPr>
            <w:r w:rsidRPr="000C3B7B">
              <w:rPr>
                <w:rFonts w:ascii="Arial" w:hAnsi="Arial" w:cs="Arial"/>
                <w:b/>
              </w:rPr>
              <w:t xml:space="preserve">Risks </w:t>
            </w:r>
            <w:r>
              <w:rPr>
                <w:rFonts w:ascii="Arial" w:hAnsi="Arial" w:cs="Arial"/>
                <w:b/>
              </w:rPr>
              <w:t xml:space="preserve">of </w:t>
            </w:r>
            <w:proofErr w:type="gramStart"/>
            <w:r w:rsidRPr="000C3B7B">
              <w:rPr>
                <w:rFonts w:ascii="Arial" w:hAnsi="Arial" w:cs="Arial"/>
                <w:b/>
              </w:rPr>
              <w:t>Non-Delivery</w:t>
            </w:r>
            <w:proofErr w:type="gramEnd"/>
          </w:p>
        </w:tc>
        <w:tc>
          <w:tcPr>
            <w:tcW w:w="2009" w:type="pct"/>
            <w:gridSpan w:val="4"/>
            <w:tcBorders>
              <w:top w:val="single" w:sz="4" w:space="0" w:color="auto"/>
              <w:left w:val="single" w:sz="4" w:space="0" w:color="auto"/>
              <w:right w:val="single" w:sz="4" w:space="0" w:color="auto"/>
            </w:tcBorders>
            <w:shd w:val="clear" w:color="auto" w:fill="FFE599" w:themeFill="accent4" w:themeFillTint="66"/>
            <w:vAlign w:val="center"/>
          </w:tcPr>
          <w:p w14:paraId="4EC2F18C" w14:textId="3F14624F" w:rsidR="000C60CD" w:rsidRPr="000C3B7B" w:rsidRDefault="000C60CD" w:rsidP="000C60CD">
            <w:pPr>
              <w:rPr>
                <w:rFonts w:ascii="Arial" w:hAnsi="Arial" w:cs="Arial"/>
                <w:b/>
              </w:rPr>
            </w:pPr>
            <w:r w:rsidRPr="000C3B7B">
              <w:rPr>
                <w:rFonts w:ascii="Arial" w:hAnsi="Arial" w:cs="Arial"/>
                <w:b/>
              </w:rPr>
              <w:t>Mitigations</w:t>
            </w:r>
          </w:p>
        </w:tc>
      </w:tr>
      <w:tr w:rsidR="005A3737" w:rsidRPr="000C3B7B" w14:paraId="3ECB7E00" w14:textId="77777777" w:rsidTr="005A3737">
        <w:trPr>
          <w:trHeight w:val="370"/>
        </w:trPr>
        <w:tc>
          <w:tcPr>
            <w:tcW w:w="932" w:type="pct"/>
            <w:gridSpan w:val="2"/>
            <w:vMerge/>
            <w:tcBorders>
              <w:left w:val="single" w:sz="4" w:space="0" w:color="auto"/>
              <w:right w:val="single" w:sz="4" w:space="0" w:color="auto"/>
            </w:tcBorders>
            <w:shd w:val="clear" w:color="auto" w:fill="FFE599" w:themeFill="accent4" w:themeFillTint="66"/>
            <w:vAlign w:val="center"/>
          </w:tcPr>
          <w:p w14:paraId="7D8A6144" w14:textId="77777777" w:rsidR="005A3737" w:rsidRPr="000C3B7B" w:rsidRDefault="005A3737" w:rsidP="000C60CD">
            <w:pPr>
              <w:rPr>
                <w:rFonts w:ascii="Arial" w:hAnsi="Arial" w:cs="Arial"/>
                <w:b/>
              </w:rPr>
            </w:pPr>
          </w:p>
        </w:tc>
        <w:tc>
          <w:tcPr>
            <w:tcW w:w="4068" w:type="pct"/>
            <w:gridSpan w:val="11"/>
            <w:tcBorders>
              <w:top w:val="single" w:sz="4" w:space="0" w:color="auto"/>
              <w:left w:val="single" w:sz="4" w:space="0" w:color="auto"/>
              <w:right w:val="single" w:sz="4" w:space="0" w:color="auto"/>
            </w:tcBorders>
            <w:shd w:val="clear" w:color="auto" w:fill="FFF2CC" w:themeFill="accent4" w:themeFillTint="33"/>
            <w:vAlign w:val="center"/>
          </w:tcPr>
          <w:p w14:paraId="4E30BCE5" w14:textId="38D4E692" w:rsidR="005A3737" w:rsidRPr="000C3B7B" w:rsidRDefault="005A3737" w:rsidP="000C60CD">
            <w:pPr>
              <w:rPr>
                <w:rFonts w:ascii="Arial" w:hAnsi="Arial" w:cs="Arial"/>
                <w:b/>
              </w:rPr>
            </w:pPr>
            <w:r w:rsidRPr="00674F4A">
              <w:rPr>
                <w:rFonts w:ascii="Arial" w:hAnsi="Arial" w:cs="Arial"/>
                <w:bCs/>
              </w:rPr>
              <w:t xml:space="preserve">Detail on our refreshed strategic risks that have been identified is provided within our Risk section of our IMTP (section </w:t>
            </w:r>
            <w:r>
              <w:rPr>
                <w:rFonts w:ascii="Arial" w:hAnsi="Arial" w:cs="Arial"/>
                <w:bCs/>
              </w:rPr>
              <w:t>4.4)</w:t>
            </w:r>
          </w:p>
        </w:tc>
      </w:tr>
      <w:tr w:rsidR="000C60CD" w:rsidRPr="000C3B7B" w14:paraId="2B02C43E" w14:textId="77777777" w:rsidTr="00310ED0">
        <w:trPr>
          <w:trHeight w:val="370"/>
        </w:trPr>
        <w:tc>
          <w:tcPr>
            <w:tcW w:w="932" w:type="pct"/>
            <w:gridSpan w:val="2"/>
            <w:vMerge w:val="restart"/>
            <w:tcBorders>
              <w:top w:val="single" w:sz="4" w:space="0" w:color="auto"/>
              <w:left w:val="single" w:sz="4" w:space="0" w:color="auto"/>
              <w:right w:val="single" w:sz="4" w:space="0" w:color="auto"/>
            </w:tcBorders>
            <w:shd w:val="clear" w:color="auto" w:fill="FFE599" w:themeFill="accent4" w:themeFillTint="66"/>
            <w:vAlign w:val="center"/>
          </w:tcPr>
          <w:p w14:paraId="0D5C52C9" w14:textId="77777777" w:rsidR="000C60CD" w:rsidRPr="000C3B7B" w:rsidRDefault="000C60CD" w:rsidP="000C60CD">
            <w:pPr>
              <w:rPr>
                <w:rFonts w:ascii="Arial" w:hAnsi="Arial" w:cs="Arial"/>
                <w:b/>
              </w:rPr>
            </w:pPr>
            <w:r w:rsidRPr="000C3B7B">
              <w:rPr>
                <w:rFonts w:ascii="Arial" w:hAnsi="Arial" w:cs="Arial"/>
                <w:b/>
              </w:rPr>
              <w:t>Critical Enablers</w:t>
            </w:r>
          </w:p>
        </w:tc>
        <w:tc>
          <w:tcPr>
            <w:tcW w:w="4068" w:type="pct"/>
            <w:gridSpan w:val="11"/>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9E0AABC" w14:textId="77777777" w:rsidR="000C60CD" w:rsidRPr="000C3B7B" w:rsidRDefault="000C60CD" w:rsidP="000C60CD">
            <w:pPr>
              <w:rPr>
                <w:rFonts w:ascii="Arial" w:hAnsi="Arial" w:cs="Arial"/>
                <w:b/>
              </w:rPr>
            </w:pPr>
            <w:r w:rsidRPr="000C3B7B">
              <w:rPr>
                <w:rFonts w:ascii="Arial" w:hAnsi="Arial" w:cs="Arial"/>
                <w:b/>
              </w:rPr>
              <w:t xml:space="preserve">Finance </w:t>
            </w:r>
          </w:p>
        </w:tc>
      </w:tr>
      <w:tr w:rsidR="000C60CD" w:rsidRPr="000C3B7B" w14:paraId="46EF31BD" w14:textId="77777777" w:rsidTr="00310ED0">
        <w:trPr>
          <w:trHeight w:val="370"/>
        </w:trPr>
        <w:tc>
          <w:tcPr>
            <w:tcW w:w="932" w:type="pct"/>
            <w:gridSpan w:val="2"/>
            <w:vMerge/>
            <w:tcBorders>
              <w:left w:val="single" w:sz="4" w:space="0" w:color="auto"/>
              <w:right w:val="single" w:sz="4" w:space="0" w:color="auto"/>
            </w:tcBorders>
            <w:shd w:val="clear" w:color="auto" w:fill="FFE599" w:themeFill="accent4" w:themeFillTint="66"/>
            <w:vAlign w:val="center"/>
          </w:tcPr>
          <w:p w14:paraId="242F3F1D" w14:textId="77777777" w:rsidR="000C60CD" w:rsidRPr="000C3B7B" w:rsidRDefault="000C60CD" w:rsidP="000C60CD">
            <w:pPr>
              <w:rPr>
                <w:rFonts w:ascii="Arial" w:hAnsi="Arial" w:cs="Arial"/>
                <w:bCs/>
              </w:rPr>
            </w:pPr>
          </w:p>
        </w:tc>
        <w:tc>
          <w:tcPr>
            <w:tcW w:w="4068" w:type="pct"/>
            <w:gridSpan w:val="11"/>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395050A" w14:textId="2E392D36" w:rsidR="000C60CD" w:rsidRDefault="0001659C" w:rsidP="000C60CD">
            <w:pPr>
              <w:rPr>
                <w:rFonts w:ascii="Arial" w:hAnsi="Arial" w:cs="Arial"/>
                <w:bCs/>
              </w:rPr>
            </w:pPr>
            <w:r w:rsidRPr="0001659C">
              <w:rPr>
                <w:rFonts w:ascii="Arial" w:hAnsi="Arial" w:cs="Arial"/>
                <w:bCs/>
              </w:rPr>
              <w:t>Detail on finance is provided within the Finance section of our IMTP (section 4.1)</w:t>
            </w:r>
          </w:p>
        </w:tc>
      </w:tr>
      <w:tr w:rsidR="000C60CD" w:rsidRPr="000C3B7B" w14:paraId="7FACFBA1" w14:textId="77777777" w:rsidTr="00310ED0">
        <w:trPr>
          <w:trHeight w:val="370"/>
        </w:trPr>
        <w:tc>
          <w:tcPr>
            <w:tcW w:w="932" w:type="pct"/>
            <w:gridSpan w:val="2"/>
            <w:vMerge/>
            <w:tcBorders>
              <w:left w:val="single" w:sz="4" w:space="0" w:color="auto"/>
              <w:right w:val="single" w:sz="4" w:space="0" w:color="auto"/>
            </w:tcBorders>
            <w:shd w:val="clear" w:color="auto" w:fill="FFE599" w:themeFill="accent4" w:themeFillTint="66"/>
            <w:vAlign w:val="center"/>
          </w:tcPr>
          <w:p w14:paraId="61540915" w14:textId="77777777" w:rsidR="000C60CD" w:rsidRPr="000C3B7B" w:rsidRDefault="000C60CD" w:rsidP="000C60CD">
            <w:pPr>
              <w:rPr>
                <w:rFonts w:ascii="Arial" w:hAnsi="Arial" w:cs="Arial"/>
                <w:bCs/>
              </w:rPr>
            </w:pPr>
          </w:p>
        </w:tc>
        <w:tc>
          <w:tcPr>
            <w:tcW w:w="4068" w:type="pct"/>
            <w:gridSpan w:val="11"/>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FED5A45" w14:textId="77777777" w:rsidR="000C60CD" w:rsidRPr="000C3B7B" w:rsidRDefault="000C60CD" w:rsidP="000C60CD">
            <w:pPr>
              <w:rPr>
                <w:rFonts w:ascii="Arial" w:hAnsi="Arial" w:cs="Arial"/>
                <w:b/>
              </w:rPr>
            </w:pPr>
            <w:r w:rsidRPr="000C3B7B">
              <w:rPr>
                <w:rFonts w:ascii="Arial" w:hAnsi="Arial" w:cs="Arial"/>
                <w:b/>
              </w:rPr>
              <w:t>Workforce</w:t>
            </w:r>
          </w:p>
        </w:tc>
      </w:tr>
      <w:tr w:rsidR="000C60CD" w:rsidRPr="000C3B7B" w14:paraId="79B396CD" w14:textId="77777777" w:rsidTr="00310ED0">
        <w:trPr>
          <w:trHeight w:val="370"/>
        </w:trPr>
        <w:tc>
          <w:tcPr>
            <w:tcW w:w="932" w:type="pct"/>
            <w:gridSpan w:val="2"/>
            <w:vMerge/>
            <w:tcBorders>
              <w:left w:val="single" w:sz="4" w:space="0" w:color="auto"/>
              <w:right w:val="single" w:sz="4" w:space="0" w:color="auto"/>
            </w:tcBorders>
            <w:shd w:val="clear" w:color="auto" w:fill="FFE599" w:themeFill="accent4" w:themeFillTint="66"/>
            <w:vAlign w:val="center"/>
          </w:tcPr>
          <w:p w14:paraId="2A3E455A" w14:textId="77777777" w:rsidR="000C60CD" w:rsidRPr="000C3B7B" w:rsidRDefault="000C60CD" w:rsidP="000C60CD">
            <w:pPr>
              <w:rPr>
                <w:rFonts w:ascii="Arial" w:hAnsi="Arial" w:cs="Arial"/>
                <w:bCs/>
              </w:rPr>
            </w:pPr>
          </w:p>
        </w:tc>
        <w:tc>
          <w:tcPr>
            <w:tcW w:w="4068" w:type="pct"/>
            <w:gridSpan w:val="11"/>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1F75CE5" w14:textId="27C46B6A" w:rsidR="000C60CD" w:rsidRDefault="00B1753F" w:rsidP="000C60CD">
            <w:pPr>
              <w:rPr>
                <w:rFonts w:ascii="Arial" w:hAnsi="Arial" w:cs="Arial"/>
                <w:bCs/>
              </w:rPr>
            </w:pPr>
            <w:r w:rsidRPr="00B1753F">
              <w:rPr>
                <w:rFonts w:ascii="Arial" w:hAnsi="Arial" w:cs="Arial"/>
                <w:bCs/>
              </w:rPr>
              <w:t>Detail on our workforce developments is set out within the Workforce section of our IMTP (section 4.3)</w:t>
            </w:r>
          </w:p>
        </w:tc>
      </w:tr>
      <w:tr w:rsidR="000C60CD" w:rsidRPr="000C3B7B" w14:paraId="56635E18" w14:textId="77777777" w:rsidTr="00310ED0">
        <w:trPr>
          <w:trHeight w:val="370"/>
        </w:trPr>
        <w:tc>
          <w:tcPr>
            <w:tcW w:w="932" w:type="pct"/>
            <w:gridSpan w:val="2"/>
            <w:vMerge/>
            <w:tcBorders>
              <w:left w:val="single" w:sz="4" w:space="0" w:color="auto"/>
              <w:right w:val="single" w:sz="4" w:space="0" w:color="auto"/>
            </w:tcBorders>
            <w:shd w:val="clear" w:color="auto" w:fill="FFE599" w:themeFill="accent4" w:themeFillTint="66"/>
            <w:vAlign w:val="center"/>
          </w:tcPr>
          <w:p w14:paraId="79AD3FF6" w14:textId="77777777" w:rsidR="000C60CD" w:rsidRPr="000C3B7B" w:rsidRDefault="000C60CD" w:rsidP="000C60CD">
            <w:pPr>
              <w:rPr>
                <w:rFonts w:ascii="Arial" w:hAnsi="Arial" w:cs="Arial"/>
                <w:bCs/>
              </w:rPr>
            </w:pPr>
          </w:p>
        </w:tc>
        <w:tc>
          <w:tcPr>
            <w:tcW w:w="4068" w:type="pct"/>
            <w:gridSpan w:val="11"/>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67BCC90" w14:textId="77777777" w:rsidR="000C60CD" w:rsidRPr="000C3B7B" w:rsidRDefault="000C60CD" w:rsidP="000C60CD">
            <w:pPr>
              <w:ind w:right="-269"/>
              <w:rPr>
                <w:rFonts w:ascii="Arial" w:hAnsi="Arial" w:cs="Arial"/>
                <w:b/>
              </w:rPr>
            </w:pPr>
            <w:r w:rsidRPr="000C3B7B">
              <w:rPr>
                <w:rFonts w:ascii="Arial" w:hAnsi="Arial" w:cs="Arial"/>
                <w:b/>
              </w:rPr>
              <w:t xml:space="preserve">Digital </w:t>
            </w:r>
          </w:p>
        </w:tc>
      </w:tr>
      <w:tr w:rsidR="000C60CD" w:rsidRPr="000C3B7B" w14:paraId="68EA2F22" w14:textId="77777777" w:rsidTr="00310ED0">
        <w:trPr>
          <w:trHeight w:val="370"/>
        </w:trPr>
        <w:tc>
          <w:tcPr>
            <w:tcW w:w="932" w:type="pct"/>
            <w:gridSpan w:val="2"/>
            <w:vMerge/>
            <w:tcBorders>
              <w:left w:val="single" w:sz="4" w:space="0" w:color="auto"/>
              <w:right w:val="single" w:sz="4" w:space="0" w:color="auto"/>
            </w:tcBorders>
            <w:shd w:val="clear" w:color="auto" w:fill="FFE599" w:themeFill="accent4" w:themeFillTint="66"/>
            <w:vAlign w:val="center"/>
          </w:tcPr>
          <w:p w14:paraId="3D1D97E2" w14:textId="77777777" w:rsidR="000C60CD" w:rsidRPr="000C3B7B" w:rsidRDefault="000C60CD" w:rsidP="000C60CD">
            <w:pPr>
              <w:rPr>
                <w:rFonts w:ascii="Arial" w:hAnsi="Arial" w:cs="Arial"/>
                <w:bCs/>
              </w:rPr>
            </w:pPr>
          </w:p>
        </w:tc>
        <w:tc>
          <w:tcPr>
            <w:tcW w:w="4068" w:type="pct"/>
            <w:gridSpan w:val="11"/>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35898C9" w14:textId="09A95267" w:rsidR="000C60CD" w:rsidRDefault="00B1753F" w:rsidP="000C60CD">
            <w:pPr>
              <w:rPr>
                <w:rFonts w:ascii="Arial" w:hAnsi="Arial" w:cs="Arial"/>
                <w:bCs/>
              </w:rPr>
            </w:pPr>
            <w:r w:rsidRPr="00B1753F">
              <w:rPr>
                <w:rFonts w:ascii="Arial" w:hAnsi="Arial" w:cs="Arial"/>
                <w:bCs/>
              </w:rPr>
              <w:t>Detail on key digital developments, including financial implications, is set out within the Digital section of our IMT</w:t>
            </w:r>
            <w:r>
              <w:rPr>
                <w:rFonts w:ascii="Arial" w:hAnsi="Arial" w:cs="Arial"/>
                <w:bCs/>
              </w:rPr>
              <w:t>P</w:t>
            </w:r>
            <w:r w:rsidRPr="00B1753F">
              <w:rPr>
                <w:rFonts w:ascii="Arial" w:hAnsi="Arial" w:cs="Arial"/>
                <w:bCs/>
              </w:rPr>
              <w:t xml:space="preserve"> (section 4.2)</w:t>
            </w:r>
          </w:p>
        </w:tc>
      </w:tr>
      <w:tr w:rsidR="000C60CD" w:rsidRPr="000C3B7B" w14:paraId="2264DB63" w14:textId="77777777" w:rsidTr="00310ED0">
        <w:trPr>
          <w:trHeight w:val="370"/>
        </w:trPr>
        <w:tc>
          <w:tcPr>
            <w:tcW w:w="932" w:type="pct"/>
            <w:gridSpan w:val="2"/>
            <w:vMerge/>
            <w:tcBorders>
              <w:left w:val="single" w:sz="4" w:space="0" w:color="auto"/>
              <w:right w:val="single" w:sz="4" w:space="0" w:color="auto"/>
            </w:tcBorders>
            <w:shd w:val="clear" w:color="auto" w:fill="FFE599" w:themeFill="accent4" w:themeFillTint="66"/>
            <w:vAlign w:val="center"/>
          </w:tcPr>
          <w:p w14:paraId="7B1F1C91" w14:textId="77777777" w:rsidR="000C60CD" w:rsidRPr="000C3B7B" w:rsidRDefault="000C60CD" w:rsidP="000C60CD">
            <w:pPr>
              <w:rPr>
                <w:rFonts w:ascii="Arial" w:hAnsi="Arial" w:cs="Arial"/>
                <w:bCs/>
              </w:rPr>
            </w:pPr>
          </w:p>
        </w:tc>
        <w:tc>
          <w:tcPr>
            <w:tcW w:w="4068" w:type="pct"/>
            <w:gridSpan w:val="11"/>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397D21F" w14:textId="77777777" w:rsidR="000C60CD" w:rsidRPr="000C3B7B" w:rsidRDefault="000C60CD" w:rsidP="000C60CD">
            <w:pPr>
              <w:rPr>
                <w:rFonts w:ascii="Arial" w:hAnsi="Arial" w:cs="Arial"/>
                <w:b/>
              </w:rPr>
            </w:pPr>
            <w:r w:rsidRPr="000C3B7B">
              <w:rPr>
                <w:rFonts w:ascii="Arial" w:hAnsi="Arial" w:cs="Arial"/>
                <w:b/>
              </w:rPr>
              <w:t>Other (Specify)</w:t>
            </w:r>
          </w:p>
        </w:tc>
      </w:tr>
      <w:tr w:rsidR="000C60CD" w:rsidRPr="000C3B7B" w14:paraId="4AB25479" w14:textId="77777777" w:rsidTr="00310ED0">
        <w:trPr>
          <w:trHeight w:val="370"/>
        </w:trPr>
        <w:tc>
          <w:tcPr>
            <w:tcW w:w="932" w:type="pct"/>
            <w:gridSpan w:val="2"/>
            <w:vMerge/>
            <w:tcBorders>
              <w:left w:val="single" w:sz="4" w:space="0" w:color="auto"/>
              <w:right w:val="single" w:sz="4" w:space="0" w:color="auto"/>
            </w:tcBorders>
            <w:shd w:val="clear" w:color="auto" w:fill="FFE599" w:themeFill="accent4" w:themeFillTint="66"/>
            <w:vAlign w:val="center"/>
          </w:tcPr>
          <w:p w14:paraId="12411CA4" w14:textId="77777777" w:rsidR="000C60CD" w:rsidRPr="000C3B7B" w:rsidRDefault="000C60CD" w:rsidP="000C60CD">
            <w:pPr>
              <w:rPr>
                <w:rFonts w:ascii="Arial" w:hAnsi="Arial" w:cs="Arial"/>
                <w:bCs/>
              </w:rPr>
            </w:pPr>
          </w:p>
        </w:tc>
        <w:tc>
          <w:tcPr>
            <w:tcW w:w="4068" w:type="pct"/>
            <w:gridSpan w:val="11"/>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6F4717A" w14:textId="6EE681DE" w:rsidR="000C60CD" w:rsidRDefault="00B1753F" w:rsidP="000C60CD">
            <w:pPr>
              <w:rPr>
                <w:rFonts w:ascii="Arial" w:hAnsi="Arial" w:cs="Arial"/>
                <w:bCs/>
              </w:rPr>
            </w:pPr>
            <w:r>
              <w:rPr>
                <w:rFonts w:ascii="Arial" w:hAnsi="Arial" w:cs="Arial"/>
                <w:bCs/>
              </w:rPr>
              <w:t>N/A</w:t>
            </w:r>
          </w:p>
        </w:tc>
      </w:tr>
      <w:tr w:rsidR="000C60CD" w:rsidRPr="000C3B7B" w14:paraId="35BF3461" w14:textId="77777777" w:rsidTr="00310ED0">
        <w:trPr>
          <w:trHeight w:val="370"/>
        </w:trPr>
        <w:tc>
          <w:tcPr>
            <w:tcW w:w="932" w:type="pct"/>
            <w:gridSpan w:val="2"/>
            <w:vMerge w:val="restart"/>
            <w:tcBorders>
              <w:left w:val="single" w:sz="4" w:space="0" w:color="auto"/>
              <w:right w:val="single" w:sz="4" w:space="0" w:color="auto"/>
            </w:tcBorders>
            <w:shd w:val="clear" w:color="auto" w:fill="8EAADB" w:themeFill="accent1" w:themeFillTint="99"/>
            <w:vAlign w:val="center"/>
          </w:tcPr>
          <w:p w14:paraId="365F892A" w14:textId="77777777" w:rsidR="000C60CD" w:rsidRPr="00B35A82" w:rsidRDefault="000C60CD" w:rsidP="000C60CD">
            <w:pPr>
              <w:rPr>
                <w:rFonts w:ascii="Arial" w:hAnsi="Arial" w:cs="Arial"/>
                <w:b/>
              </w:rPr>
            </w:pPr>
            <w:r w:rsidRPr="00B35A82">
              <w:rPr>
                <w:rFonts w:ascii="Arial" w:hAnsi="Arial" w:cs="Arial"/>
                <w:b/>
              </w:rPr>
              <w:t xml:space="preserve">Prevention &amp; Population Health </w:t>
            </w:r>
          </w:p>
        </w:tc>
        <w:tc>
          <w:tcPr>
            <w:tcW w:w="4068" w:type="pct"/>
            <w:gridSpan w:val="11"/>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A1DD69E" w14:textId="77777777" w:rsidR="000C60CD" w:rsidRPr="00B35A82" w:rsidRDefault="000C60CD" w:rsidP="000C60CD">
            <w:pPr>
              <w:rPr>
                <w:rFonts w:ascii="Arial" w:hAnsi="Arial" w:cs="Arial"/>
                <w:b/>
              </w:rPr>
            </w:pPr>
            <w:r w:rsidRPr="00B35A82">
              <w:rPr>
                <w:rFonts w:ascii="Arial" w:hAnsi="Arial" w:cs="Arial"/>
                <w:b/>
              </w:rPr>
              <w:t>Opportunities identified</w:t>
            </w:r>
          </w:p>
        </w:tc>
      </w:tr>
      <w:tr w:rsidR="000C60CD" w:rsidRPr="000C3B7B" w14:paraId="5835C02C" w14:textId="77777777" w:rsidTr="00310ED0">
        <w:trPr>
          <w:trHeight w:val="560"/>
        </w:trPr>
        <w:tc>
          <w:tcPr>
            <w:tcW w:w="932" w:type="pct"/>
            <w:gridSpan w:val="2"/>
            <w:vMerge/>
            <w:tcBorders>
              <w:left w:val="single" w:sz="4" w:space="0" w:color="auto"/>
              <w:right w:val="single" w:sz="4" w:space="0" w:color="auto"/>
            </w:tcBorders>
            <w:shd w:val="clear" w:color="auto" w:fill="8EAADB" w:themeFill="accent1" w:themeFillTint="99"/>
            <w:vAlign w:val="center"/>
          </w:tcPr>
          <w:p w14:paraId="034943EF" w14:textId="77777777" w:rsidR="000C60CD" w:rsidRPr="00B35A82" w:rsidRDefault="000C60CD" w:rsidP="000C60CD">
            <w:pPr>
              <w:rPr>
                <w:rFonts w:ascii="Arial" w:hAnsi="Arial" w:cs="Arial"/>
                <w:b/>
              </w:rPr>
            </w:pPr>
          </w:p>
        </w:tc>
        <w:tc>
          <w:tcPr>
            <w:tcW w:w="4068" w:type="pct"/>
            <w:gridSpan w:val="11"/>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367EAA" w14:textId="1B46B782" w:rsidR="00316BD7" w:rsidRDefault="007B66AD" w:rsidP="00316BD7">
            <w:pPr>
              <w:rPr>
                <w:rFonts w:ascii="Arial" w:hAnsi="Arial" w:cs="Arial"/>
                <w:bCs/>
              </w:rPr>
            </w:pPr>
            <w:r w:rsidRPr="007B66AD">
              <w:rPr>
                <w:rFonts w:ascii="Arial" w:hAnsi="Arial" w:cs="Arial"/>
                <w:bCs/>
              </w:rPr>
              <w:t xml:space="preserve">A sustainable health </w:t>
            </w:r>
            <w:r w:rsidRPr="00F027B8">
              <w:rPr>
                <w:rFonts w:ascii="Arial" w:hAnsi="Arial" w:cs="Arial"/>
                <w:bCs/>
              </w:rPr>
              <w:t>and care system must prioritise prevention, early intervention, and equity to ensure timely access to care and improve outcomes.</w:t>
            </w:r>
            <w:r w:rsidR="00D96617" w:rsidRPr="00F027B8">
              <w:rPr>
                <w:rFonts w:ascii="Arial" w:hAnsi="Arial" w:cs="Arial"/>
                <w:bCs/>
              </w:rPr>
              <w:t xml:space="preserve"> </w:t>
            </w:r>
            <w:r w:rsidR="00141509" w:rsidRPr="00F027B8">
              <w:rPr>
                <w:rFonts w:ascii="Arial" w:hAnsi="Arial" w:cs="Arial"/>
                <w:bCs/>
              </w:rPr>
              <w:t xml:space="preserve">Public Health </w:t>
            </w:r>
            <w:r w:rsidR="00141509" w:rsidRPr="00F027B8">
              <w:rPr>
                <w:rFonts w:ascii="Arial" w:hAnsi="Arial" w:cs="Arial"/>
                <w:bCs/>
              </w:rPr>
              <w:lastRenderedPageBreak/>
              <w:t>Wales plays a crucial national role in providing evidence-based leadership for public health strategies and collaborating with NHS Wales and communities to coordinate public health activities.</w:t>
            </w:r>
            <w:r w:rsidR="000C2AB9">
              <w:rPr>
                <w:rFonts w:ascii="Arial" w:hAnsi="Arial" w:cs="Arial"/>
                <w:bCs/>
              </w:rPr>
              <w:t xml:space="preserve"> </w:t>
            </w:r>
            <w:proofErr w:type="gramStart"/>
            <w:r w:rsidR="00316BD7" w:rsidRPr="00316BD7">
              <w:rPr>
                <w:rFonts w:ascii="Arial" w:hAnsi="Arial" w:cs="Arial"/>
                <w:bCs/>
              </w:rPr>
              <w:t>The</w:t>
            </w:r>
            <w:proofErr w:type="gramEnd"/>
            <w:r w:rsidR="00316BD7" w:rsidRPr="00316BD7">
              <w:rPr>
                <w:rFonts w:ascii="Arial" w:hAnsi="Arial" w:cs="Arial"/>
                <w:bCs/>
              </w:rPr>
              <w:t xml:space="preserve"> need for sustainable healthcare is underscored by the increasing demand for health and social care in Wales due to an ageing population, health inequalities, healthy harming behaviours, environmental and social determinants.. </w:t>
            </w:r>
          </w:p>
          <w:p w14:paraId="083E1A8D" w14:textId="77777777" w:rsidR="00916C64" w:rsidRDefault="00916C64" w:rsidP="00316BD7">
            <w:pPr>
              <w:rPr>
                <w:rFonts w:ascii="Arial" w:hAnsi="Arial" w:cs="Arial"/>
                <w:bCs/>
              </w:rPr>
            </w:pPr>
          </w:p>
          <w:p w14:paraId="7690C516" w14:textId="7A1C7CA8" w:rsidR="00916C64" w:rsidRDefault="00916C64" w:rsidP="00316BD7">
            <w:pPr>
              <w:rPr>
                <w:rFonts w:ascii="Arial" w:hAnsi="Arial" w:cs="Arial"/>
                <w:bCs/>
              </w:rPr>
            </w:pPr>
            <w:r w:rsidRPr="00916C64">
              <w:rPr>
                <w:rFonts w:ascii="Arial" w:hAnsi="Arial" w:cs="Arial"/>
                <w:bCs/>
              </w:rPr>
              <w:t xml:space="preserve">Cancer is a leading cause of death in Wales, with many cancers being curable if detected early and treated effectively. We support primary prevention through HPV vaccination and deliver three cancer population-based screening programmes. The Welsh Government has tasked Public Health Wales with scoping and appraising a targeted lung cancer screening programme for high-risk individuals aged 55 to 74. Evidence shows that </w:t>
            </w:r>
            <w:proofErr w:type="gramStart"/>
            <w:r w:rsidRPr="00916C64">
              <w:rPr>
                <w:rFonts w:ascii="Arial" w:hAnsi="Arial" w:cs="Arial"/>
                <w:bCs/>
              </w:rPr>
              <w:t>low-dose</w:t>
            </w:r>
            <w:proofErr w:type="gramEnd"/>
            <w:r w:rsidRPr="00916C64">
              <w:rPr>
                <w:rFonts w:ascii="Arial" w:hAnsi="Arial" w:cs="Arial"/>
                <w:bCs/>
              </w:rPr>
              <w:t xml:space="preserve"> computed tomography screening reduces lung cancer mortality and is acceptable if adequately resourced and quality assured.</w:t>
            </w:r>
          </w:p>
          <w:p w14:paraId="7BDF8AF3" w14:textId="77777777" w:rsidR="0059139D" w:rsidRDefault="0059139D" w:rsidP="007F2A41">
            <w:pPr>
              <w:rPr>
                <w:rFonts w:ascii="Arial" w:hAnsi="Arial" w:cs="Arial"/>
                <w:bCs/>
              </w:rPr>
            </w:pPr>
          </w:p>
          <w:p w14:paraId="2CBFE15F" w14:textId="04002FE2" w:rsidR="0059139D" w:rsidRPr="00AA5338" w:rsidRDefault="0059139D" w:rsidP="007F2A41">
            <w:pPr>
              <w:rPr>
                <w:rFonts w:ascii="Arial" w:hAnsi="Arial" w:cs="Arial"/>
                <w:bCs/>
              </w:rPr>
            </w:pPr>
            <w:r>
              <w:rPr>
                <w:rFonts w:ascii="Arial" w:hAnsi="Arial" w:cs="Arial"/>
                <w:bCs/>
              </w:rPr>
              <w:t xml:space="preserve">Our IMTP </w:t>
            </w:r>
            <w:r w:rsidR="00F027B8">
              <w:rPr>
                <w:rFonts w:ascii="Arial" w:hAnsi="Arial" w:cs="Arial"/>
                <w:bCs/>
              </w:rPr>
              <w:t>outlines clear</w:t>
            </w:r>
            <w:r w:rsidR="005D03EC">
              <w:rPr>
                <w:rFonts w:ascii="Arial" w:hAnsi="Arial" w:cs="Arial"/>
                <w:bCs/>
              </w:rPr>
              <w:t xml:space="preserve"> strategic objective</w:t>
            </w:r>
            <w:r w:rsidR="00F027B8">
              <w:rPr>
                <w:rFonts w:ascii="Arial" w:hAnsi="Arial" w:cs="Arial"/>
                <w:bCs/>
              </w:rPr>
              <w:t>s</w:t>
            </w:r>
            <w:r w:rsidR="005D03EC">
              <w:rPr>
                <w:rFonts w:ascii="Arial" w:hAnsi="Arial" w:cs="Arial"/>
                <w:bCs/>
              </w:rPr>
              <w:t xml:space="preserve">, and sets out how we will </w:t>
            </w:r>
            <w:r w:rsidR="005D03EC" w:rsidRPr="005D03EC">
              <w:rPr>
                <w:rFonts w:ascii="Arial" w:hAnsi="Arial" w:cs="Arial"/>
                <w:bCs/>
              </w:rPr>
              <w:t>achieve</w:t>
            </w:r>
            <w:r w:rsidR="00F027B8">
              <w:rPr>
                <w:rFonts w:ascii="Arial" w:hAnsi="Arial" w:cs="Arial"/>
                <w:bCs/>
              </w:rPr>
              <w:t>,</w:t>
            </w:r>
            <w:r w:rsidR="005D03EC" w:rsidRPr="005D03EC">
              <w:rPr>
                <w:rFonts w:ascii="Arial" w:hAnsi="Arial" w:cs="Arial"/>
                <w:bCs/>
              </w:rPr>
              <w:t xml:space="preserve"> a coordinated approach to prevention and early intervention in the health and care system</w:t>
            </w:r>
            <w:r w:rsidR="00F027B8">
              <w:rPr>
                <w:rFonts w:ascii="Arial" w:hAnsi="Arial" w:cs="Arial"/>
                <w:bCs/>
              </w:rPr>
              <w:t xml:space="preserve"> </w:t>
            </w:r>
            <w:r w:rsidR="003E1DE8">
              <w:rPr>
                <w:rFonts w:ascii="Arial" w:hAnsi="Arial" w:cs="Arial"/>
                <w:bCs/>
              </w:rPr>
              <w:t>and delivery timely public health services</w:t>
            </w:r>
            <w:r w:rsidR="002B3050">
              <w:rPr>
                <w:rFonts w:ascii="Arial" w:hAnsi="Arial" w:cs="Arial"/>
                <w:bCs/>
              </w:rPr>
              <w:t>. Specific additional actions relating to our role supporting this priority are reflected in our Remit Letter (see annex A).</w:t>
            </w:r>
          </w:p>
        </w:tc>
      </w:tr>
    </w:tbl>
    <w:p w14:paraId="211A2D7B" w14:textId="454FC015" w:rsidR="00EC4017" w:rsidRDefault="00D95D58" w:rsidP="00AA5338">
      <w:pPr>
        <w:rPr>
          <w:rFonts w:ascii="Arial" w:hAnsi="Arial" w:cs="Arial"/>
          <w:sz w:val="24"/>
          <w:szCs w:val="24"/>
        </w:rPr>
      </w:pPr>
      <w:r>
        <w:rPr>
          <w:rFonts w:ascii="Arial" w:hAnsi="Arial" w:cs="Arial"/>
          <w:sz w:val="24"/>
          <w:szCs w:val="24"/>
        </w:rPr>
        <w:lastRenderedPageBreak/>
        <w:br w:type="textWrapping" w:clear="all"/>
      </w:r>
    </w:p>
    <w:tbl>
      <w:tblPr>
        <w:tblStyle w:val="TableGrid1"/>
        <w:tblpPr w:leftFromText="180" w:rightFromText="180" w:vertAnchor="text" w:tblpX="-147" w:tblpY="1"/>
        <w:tblOverlap w:val="never"/>
        <w:tblW w:w="5082" w:type="pct"/>
        <w:tblInd w:w="0" w:type="dxa"/>
        <w:tblLook w:val="04A0" w:firstRow="1" w:lastRow="0" w:firstColumn="1" w:lastColumn="0" w:noHBand="0" w:noVBand="1"/>
      </w:tblPr>
      <w:tblGrid>
        <w:gridCol w:w="2121"/>
        <w:gridCol w:w="1016"/>
        <w:gridCol w:w="136"/>
        <w:gridCol w:w="429"/>
        <w:gridCol w:w="740"/>
        <w:gridCol w:w="1411"/>
        <w:gridCol w:w="62"/>
        <w:gridCol w:w="593"/>
        <w:gridCol w:w="1496"/>
        <w:gridCol w:w="2623"/>
      </w:tblGrid>
      <w:tr w:rsidR="00703F63" w:rsidRPr="000C3B7B" w14:paraId="051D0520" w14:textId="77777777" w:rsidTr="002F4D40">
        <w:tc>
          <w:tcPr>
            <w:tcW w:w="5000" w:type="pct"/>
            <w:gridSpan w:val="10"/>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A9083CC" w14:textId="77777777" w:rsidR="00703F63" w:rsidRPr="006179A4" w:rsidRDefault="00703F63" w:rsidP="002F4D40">
            <w:pPr>
              <w:rPr>
                <w:rFonts w:ascii="Arial" w:hAnsi="Arial"/>
              </w:rPr>
            </w:pPr>
            <w:r w:rsidRPr="006179A4">
              <w:rPr>
                <w:rFonts w:ascii="Arial" w:eastAsia="Times New Roman" w:hAnsi="Arial" w:cs="Arial"/>
                <w:b/>
                <w:bCs/>
              </w:rPr>
              <w:t xml:space="preserve">Priority area(s) to deliver 25/26:  </w:t>
            </w:r>
          </w:p>
        </w:tc>
      </w:tr>
      <w:tr w:rsidR="00703F63" w:rsidRPr="000C3B7B" w14:paraId="4BFA383A" w14:textId="77777777" w:rsidTr="002F4D40">
        <w:tc>
          <w:tcPr>
            <w:tcW w:w="1476" w:type="pct"/>
            <w:gridSpan w:val="2"/>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55A5233" w14:textId="77777777" w:rsidR="00703F63" w:rsidRPr="006179A4" w:rsidRDefault="00703F63" w:rsidP="002F4D40">
            <w:pPr>
              <w:rPr>
                <w:rFonts w:ascii="Arial" w:eastAsia="Times New Roman" w:hAnsi="Arial" w:cs="Arial"/>
                <w:b/>
                <w:bCs/>
              </w:rPr>
            </w:pPr>
            <w:r w:rsidRPr="006179A4">
              <w:rPr>
                <w:rFonts w:ascii="Arial" w:hAnsi="Arial" w:cs="Arial"/>
                <w:b/>
                <w:bCs/>
              </w:rPr>
              <w:t>Key focus should be on delivering</w:t>
            </w:r>
          </w:p>
        </w:tc>
        <w:tc>
          <w:tcPr>
            <w:tcW w:w="3524" w:type="pct"/>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5974F5" w14:textId="77777777" w:rsidR="00703F63" w:rsidRPr="00703F63" w:rsidRDefault="00703F63" w:rsidP="00703F63">
            <w:pPr>
              <w:rPr>
                <w:rFonts w:ascii="Arial" w:hAnsi="Arial"/>
                <w:sz w:val="28"/>
                <w:szCs w:val="28"/>
              </w:rPr>
            </w:pPr>
            <w:r w:rsidRPr="00703F63">
              <w:rPr>
                <w:rFonts w:ascii="Arial" w:hAnsi="Arial"/>
                <w:sz w:val="28"/>
                <w:szCs w:val="28"/>
              </w:rPr>
              <w:t xml:space="preserve">Population Health and Prevention </w:t>
            </w:r>
          </w:p>
          <w:p w14:paraId="3510437F" w14:textId="77777777" w:rsidR="00703F63" w:rsidRPr="009A2AEC" w:rsidRDefault="00703F63" w:rsidP="002F4D40">
            <w:pPr>
              <w:rPr>
                <w:rFonts w:ascii="Arial" w:eastAsia="Times New Roman" w:hAnsi="Arial" w:cs="Arial"/>
                <w:b/>
                <w:bCs/>
                <w:sz w:val="20"/>
                <w:szCs w:val="20"/>
              </w:rPr>
            </w:pPr>
          </w:p>
        </w:tc>
      </w:tr>
      <w:tr w:rsidR="00E94639" w:rsidRPr="000C3B7B" w14:paraId="68A0371D" w14:textId="77777777" w:rsidTr="002F4D40">
        <w:trPr>
          <w:trHeight w:val="112"/>
        </w:trPr>
        <w:tc>
          <w:tcPr>
            <w:tcW w:w="998" w:type="pct"/>
            <w:tcBorders>
              <w:top w:val="single" w:sz="4" w:space="0" w:color="auto"/>
              <w:left w:val="single" w:sz="4" w:space="0" w:color="auto"/>
              <w:bottom w:val="single" w:sz="4" w:space="0" w:color="auto"/>
              <w:right w:val="single" w:sz="4" w:space="0" w:color="auto"/>
            </w:tcBorders>
            <w:shd w:val="clear" w:color="auto" w:fill="000000" w:themeFill="text1"/>
          </w:tcPr>
          <w:p w14:paraId="594BE1C9" w14:textId="77777777" w:rsidR="00703F63" w:rsidRPr="000C3B7B" w:rsidRDefault="00703F63" w:rsidP="002F4D40">
            <w:pPr>
              <w:rPr>
                <w:rFonts w:ascii="Arial" w:hAnsi="Arial" w:cs="Arial"/>
                <w:b/>
                <w:bCs/>
              </w:rPr>
            </w:pPr>
          </w:p>
        </w:tc>
        <w:tc>
          <w:tcPr>
            <w:tcW w:w="542" w:type="pct"/>
            <w:gridSpan w:val="2"/>
            <w:tcBorders>
              <w:top w:val="single" w:sz="4" w:space="0" w:color="auto"/>
              <w:left w:val="single" w:sz="4" w:space="0" w:color="auto"/>
              <w:bottom w:val="single" w:sz="4" w:space="0" w:color="auto"/>
              <w:right w:val="single" w:sz="4" w:space="0" w:color="auto"/>
            </w:tcBorders>
            <w:shd w:val="clear" w:color="auto" w:fill="000000" w:themeFill="text1"/>
          </w:tcPr>
          <w:p w14:paraId="4F21B841" w14:textId="77777777" w:rsidR="00703F63" w:rsidRPr="000C3B7B" w:rsidRDefault="00703F63" w:rsidP="002F4D40">
            <w:pPr>
              <w:rPr>
                <w:rFonts w:ascii="Arial" w:hAnsi="Arial" w:cs="Arial"/>
                <w:b/>
                <w:bCs/>
              </w:rPr>
            </w:pPr>
          </w:p>
        </w:tc>
        <w:tc>
          <w:tcPr>
            <w:tcW w:w="550" w:type="pct"/>
            <w:gridSpan w:val="2"/>
            <w:tcBorders>
              <w:top w:val="single" w:sz="4" w:space="0" w:color="auto"/>
              <w:left w:val="single" w:sz="4" w:space="0" w:color="auto"/>
              <w:bottom w:val="single" w:sz="4" w:space="0" w:color="auto"/>
              <w:right w:val="single" w:sz="4" w:space="0" w:color="auto"/>
            </w:tcBorders>
            <w:shd w:val="clear" w:color="auto" w:fill="000000" w:themeFill="text1"/>
          </w:tcPr>
          <w:p w14:paraId="5BA68674" w14:textId="77777777" w:rsidR="00703F63" w:rsidRPr="000C3B7B" w:rsidRDefault="00703F63" w:rsidP="002F4D40">
            <w:pPr>
              <w:rPr>
                <w:rFonts w:ascii="Arial" w:hAnsi="Arial" w:cs="Arial"/>
                <w:i/>
                <w:iCs/>
              </w:rPr>
            </w:pPr>
          </w:p>
        </w:tc>
        <w:tc>
          <w:tcPr>
            <w:tcW w:w="972" w:type="pct"/>
            <w:gridSpan w:val="3"/>
            <w:tcBorders>
              <w:top w:val="single" w:sz="4" w:space="0" w:color="auto"/>
              <w:left w:val="single" w:sz="4" w:space="0" w:color="auto"/>
              <w:bottom w:val="single" w:sz="4" w:space="0" w:color="auto"/>
              <w:right w:val="single" w:sz="4" w:space="0" w:color="auto"/>
            </w:tcBorders>
            <w:shd w:val="clear" w:color="auto" w:fill="000000" w:themeFill="text1"/>
          </w:tcPr>
          <w:p w14:paraId="1E80FF1D" w14:textId="77777777" w:rsidR="00703F63" w:rsidRPr="000C3B7B" w:rsidRDefault="00703F63" w:rsidP="002F4D40">
            <w:pPr>
              <w:rPr>
                <w:rFonts w:ascii="Arial" w:hAnsi="Arial" w:cs="Arial"/>
                <w:i/>
                <w:iCs/>
              </w:rPr>
            </w:pPr>
          </w:p>
        </w:tc>
        <w:tc>
          <w:tcPr>
            <w:tcW w:w="1938" w:type="pct"/>
            <w:gridSpan w:val="2"/>
            <w:tcBorders>
              <w:top w:val="single" w:sz="4" w:space="0" w:color="auto"/>
              <w:left w:val="single" w:sz="4" w:space="0" w:color="auto"/>
              <w:bottom w:val="single" w:sz="4" w:space="0" w:color="auto"/>
              <w:right w:val="single" w:sz="4" w:space="0" w:color="auto"/>
            </w:tcBorders>
            <w:shd w:val="clear" w:color="auto" w:fill="000000" w:themeFill="text1"/>
          </w:tcPr>
          <w:p w14:paraId="55C7AF62" w14:textId="77777777" w:rsidR="00703F63" w:rsidRPr="000C3B7B" w:rsidRDefault="00703F63" w:rsidP="002F4D40">
            <w:pPr>
              <w:rPr>
                <w:rFonts w:ascii="Arial" w:hAnsi="Arial" w:cs="Arial"/>
                <w:i/>
                <w:iCs/>
              </w:rPr>
            </w:pPr>
          </w:p>
        </w:tc>
      </w:tr>
      <w:tr w:rsidR="00703F63" w:rsidRPr="000C3B7B" w14:paraId="4AC899FE" w14:textId="77777777" w:rsidTr="002F4D40">
        <w:tc>
          <w:tcPr>
            <w:tcW w:w="998" w:type="pct"/>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56F3EAE" w14:textId="77777777" w:rsidR="00703F63" w:rsidRPr="000C3B7B" w:rsidRDefault="00703F63" w:rsidP="002F4D40">
            <w:pPr>
              <w:rPr>
                <w:rFonts w:ascii="Arial" w:hAnsi="Arial" w:cs="Arial"/>
                <w:b/>
                <w:bCs/>
              </w:rPr>
            </w:pPr>
            <w:r>
              <w:rPr>
                <w:rFonts w:ascii="Arial" w:hAnsi="Arial" w:cs="Arial"/>
                <w:b/>
                <w:bCs/>
              </w:rPr>
              <w:t>R</w:t>
            </w:r>
            <w:r w:rsidRPr="000C3B7B">
              <w:rPr>
                <w:rFonts w:ascii="Arial" w:hAnsi="Arial" w:cs="Arial"/>
                <w:b/>
                <w:bCs/>
              </w:rPr>
              <w:t>ef:</w:t>
            </w:r>
          </w:p>
        </w:tc>
        <w:tc>
          <w:tcPr>
            <w:tcW w:w="4002" w:type="pct"/>
            <w:gridSpan w:val="9"/>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7C48FAB" w14:textId="49CC625B" w:rsidR="00703F63" w:rsidRPr="000C3B7B" w:rsidRDefault="00A135D7" w:rsidP="000D03AE">
            <w:pPr>
              <w:rPr>
                <w:rFonts w:ascii="Arial" w:hAnsi="Arial" w:cs="Arial"/>
                <w:b/>
                <w:iCs/>
              </w:rPr>
            </w:pPr>
            <w:r w:rsidRPr="000D03AE">
              <w:rPr>
                <w:rFonts w:ascii="Arial" w:hAnsi="Arial" w:cs="Arial"/>
                <w:bCs/>
                <w:sz w:val="24"/>
                <w:szCs w:val="24"/>
              </w:rPr>
              <w:t>New Ministerial Priority</w:t>
            </w:r>
          </w:p>
        </w:tc>
      </w:tr>
      <w:tr w:rsidR="00703F63" w:rsidRPr="000C3B7B" w14:paraId="1DA66C62" w14:textId="77777777" w:rsidTr="002F4D40">
        <w:tc>
          <w:tcPr>
            <w:tcW w:w="5000" w:type="pct"/>
            <w:gridSpan w:val="10"/>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F5E3F12" w14:textId="2F7B605D" w:rsidR="00377EF8" w:rsidRPr="00831227" w:rsidRDefault="00703F63" w:rsidP="00377EF8">
            <w:pPr>
              <w:rPr>
                <w:rFonts w:ascii="Arial" w:hAnsi="Arial" w:cs="Arial"/>
                <w:b/>
                <w:bCs/>
              </w:rPr>
            </w:pPr>
            <w:r w:rsidRPr="00833842">
              <w:rPr>
                <w:rFonts w:ascii="Arial" w:hAnsi="Arial" w:cs="Arial"/>
                <w:b/>
                <w:bCs/>
              </w:rPr>
              <w:t>Planned milestones for Priority area to deliver 2025/26</w:t>
            </w:r>
            <w:r w:rsidR="00377EF8" w:rsidRPr="00377EF8">
              <w:rPr>
                <w:rFonts w:ascii="Arial" w:hAnsi="Arial" w:cs="Arial"/>
                <w:b/>
                <w:bCs/>
              </w:rPr>
              <w:t xml:space="preserve"> </w:t>
            </w:r>
          </w:p>
        </w:tc>
      </w:tr>
      <w:tr w:rsidR="00E94639" w:rsidRPr="000C3B7B" w14:paraId="39B9B2B1" w14:textId="77777777" w:rsidTr="002F4D40">
        <w:tc>
          <w:tcPr>
            <w:tcW w:w="9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498B316" w14:textId="77777777" w:rsidR="00703F63" w:rsidRPr="003A420C" w:rsidRDefault="00703F63" w:rsidP="002F4D40">
            <w:pPr>
              <w:rPr>
                <w:rFonts w:ascii="Arial" w:hAnsi="Arial" w:cs="Arial"/>
              </w:rPr>
            </w:pPr>
          </w:p>
        </w:tc>
        <w:tc>
          <w:tcPr>
            <w:tcW w:w="744" w:type="pct"/>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1B1168" w14:textId="77777777" w:rsidR="00703F63" w:rsidRPr="000C3B7B" w:rsidRDefault="00703F63" w:rsidP="002F4D40">
            <w:pPr>
              <w:rPr>
                <w:rFonts w:ascii="Arial" w:hAnsi="Arial" w:cs="Arial"/>
                <w:b/>
                <w:bCs/>
              </w:rPr>
            </w:pPr>
            <w:r w:rsidRPr="00506635">
              <w:rPr>
                <w:rFonts w:ascii="Arial" w:hAnsi="Arial" w:cs="Arial"/>
                <w:b/>
                <w:bCs/>
              </w:rPr>
              <w:t>Quarter 1</w:t>
            </w:r>
          </w:p>
        </w:tc>
        <w:tc>
          <w:tcPr>
            <w:tcW w:w="101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77A862" w14:textId="77777777" w:rsidR="00703F63" w:rsidRPr="000C3B7B" w:rsidRDefault="00703F63" w:rsidP="002F4D40">
            <w:pPr>
              <w:rPr>
                <w:rFonts w:ascii="Arial" w:hAnsi="Arial" w:cs="Arial"/>
                <w:b/>
                <w:bCs/>
              </w:rPr>
            </w:pPr>
            <w:r w:rsidRPr="00506635">
              <w:rPr>
                <w:rFonts w:ascii="Arial" w:hAnsi="Arial" w:cs="Arial"/>
                <w:b/>
                <w:bCs/>
              </w:rPr>
              <w:t>Quarter 2</w:t>
            </w:r>
          </w:p>
        </w:tc>
        <w:tc>
          <w:tcPr>
            <w:tcW w:w="1012" w:type="pct"/>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839D20" w14:textId="77777777" w:rsidR="00703F63" w:rsidRPr="000C3B7B" w:rsidRDefault="00703F63" w:rsidP="002F4D40">
            <w:pPr>
              <w:rPr>
                <w:rFonts w:ascii="Arial" w:hAnsi="Arial" w:cs="Arial"/>
                <w:b/>
                <w:bCs/>
              </w:rPr>
            </w:pPr>
            <w:r w:rsidRPr="00506635">
              <w:rPr>
                <w:rFonts w:ascii="Arial" w:hAnsi="Arial" w:cs="Arial"/>
                <w:b/>
                <w:bCs/>
              </w:rPr>
              <w:t>Quarter 3</w:t>
            </w:r>
          </w:p>
        </w:tc>
        <w:tc>
          <w:tcPr>
            <w:tcW w:w="1234"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2FD98D" w14:textId="77777777" w:rsidR="00703F63" w:rsidRPr="000C3B7B" w:rsidRDefault="00703F63" w:rsidP="002F4D40">
            <w:pPr>
              <w:rPr>
                <w:rFonts w:ascii="Arial" w:hAnsi="Arial" w:cs="Arial"/>
                <w:b/>
                <w:bCs/>
              </w:rPr>
            </w:pPr>
            <w:r w:rsidRPr="00506635">
              <w:rPr>
                <w:rFonts w:ascii="Arial" w:hAnsi="Arial" w:cs="Arial"/>
                <w:b/>
                <w:bCs/>
              </w:rPr>
              <w:t>Quarter 4</w:t>
            </w:r>
          </w:p>
        </w:tc>
      </w:tr>
      <w:tr w:rsidR="00E94639" w:rsidRPr="000C3B7B" w14:paraId="156264DD" w14:textId="77777777" w:rsidTr="002F4D40">
        <w:tc>
          <w:tcPr>
            <w:tcW w:w="998"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408FA2F" w14:textId="77777777" w:rsidR="00703F63" w:rsidRPr="003A420C" w:rsidRDefault="00703F63" w:rsidP="002F4D40">
            <w:pPr>
              <w:rPr>
                <w:rFonts w:ascii="Arial" w:hAnsi="Arial" w:cs="Arial"/>
              </w:rPr>
            </w:pPr>
          </w:p>
          <w:p w14:paraId="0772944D" w14:textId="77777777" w:rsidR="00703F63" w:rsidRPr="003A420C" w:rsidRDefault="00703F63" w:rsidP="002F4D40">
            <w:pPr>
              <w:rPr>
                <w:rFonts w:ascii="Arial" w:hAnsi="Arial" w:cs="Arial"/>
                <w:b/>
                <w:bCs/>
              </w:rPr>
            </w:pPr>
            <w:r w:rsidRPr="003A420C">
              <w:rPr>
                <w:rFonts w:ascii="Arial" w:hAnsi="Arial" w:cs="Arial"/>
                <w:b/>
                <w:bCs/>
              </w:rPr>
              <w:t>Ref:</w:t>
            </w:r>
          </w:p>
        </w:tc>
        <w:tc>
          <w:tcPr>
            <w:tcW w:w="744" w:type="pct"/>
            <w:gridSpan w:val="3"/>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B143554" w14:textId="77777777" w:rsidR="000B20BA" w:rsidRPr="0007733E" w:rsidRDefault="000B20BA" w:rsidP="00377EF8">
            <w:pPr>
              <w:rPr>
                <w:rFonts w:ascii="Arial" w:hAnsi="Arial" w:cs="Arial"/>
                <w:sz w:val="20"/>
                <w:szCs w:val="20"/>
              </w:rPr>
            </w:pPr>
            <w:r w:rsidRPr="0007733E">
              <w:rPr>
                <w:rFonts w:ascii="Arial" w:hAnsi="Arial" w:cs="Arial"/>
                <w:sz w:val="20"/>
                <w:szCs w:val="20"/>
              </w:rPr>
              <w:t>Developed disease prevalence and risk factor scenario modelling data products, and the publications will be part of an improved website approach for Public Health Wales data publications.</w:t>
            </w:r>
          </w:p>
          <w:p w14:paraId="23D9D784" w14:textId="77777777" w:rsidR="00CC26FC" w:rsidRPr="0007733E" w:rsidRDefault="00CC26FC" w:rsidP="00377EF8">
            <w:pPr>
              <w:rPr>
                <w:rFonts w:ascii="Arial" w:hAnsi="Arial" w:cs="Arial"/>
                <w:sz w:val="20"/>
                <w:szCs w:val="20"/>
              </w:rPr>
            </w:pPr>
          </w:p>
          <w:p w14:paraId="29DD7507" w14:textId="6CB3CBC7" w:rsidR="00CC26FC" w:rsidRPr="0007733E" w:rsidRDefault="00CC26FC" w:rsidP="00377EF8">
            <w:pPr>
              <w:rPr>
                <w:rFonts w:ascii="Arial" w:hAnsi="Arial" w:cs="Arial"/>
                <w:sz w:val="20"/>
                <w:szCs w:val="20"/>
              </w:rPr>
            </w:pPr>
            <w:r w:rsidRPr="0007733E">
              <w:rPr>
                <w:rFonts w:ascii="Arial" w:hAnsi="Arial" w:cs="Arial"/>
                <w:sz w:val="20"/>
                <w:szCs w:val="20"/>
              </w:rPr>
              <w:t xml:space="preserve">Supported the development of healthy public policy and advocated for policy action that priorities health, wellbeing and equity in Wales. </w:t>
            </w:r>
            <w:r w:rsidR="00907F41">
              <w:rPr>
                <w:rFonts w:ascii="Arial" w:hAnsi="Arial" w:cs="Arial"/>
                <w:sz w:val="20"/>
                <w:szCs w:val="20"/>
              </w:rPr>
              <w:t>(SO1.3)</w:t>
            </w:r>
          </w:p>
          <w:p w14:paraId="24637C41" w14:textId="77777777" w:rsidR="00883F2F" w:rsidRPr="0007733E" w:rsidRDefault="00883F2F" w:rsidP="00377EF8">
            <w:pPr>
              <w:rPr>
                <w:rFonts w:ascii="Arial" w:hAnsi="Arial" w:cs="Arial"/>
                <w:sz w:val="20"/>
                <w:szCs w:val="20"/>
              </w:rPr>
            </w:pPr>
          </w:p>
          <w:p w14:paraId="25CC352B" w14:textId="77777777" w:rsidR="0068605F" w:rsidRPr="0007733E" w:rsidRDefault="0068605F" w:rsidP="00377EF8">
            <w:pPr>
              <w:rPr>
                <w:rFonts w:ascii="Arial" w:hAnsi="Arial" w:cs="Arial"/>
                <w:sz w:val="20"/>
                <w:szCs w:val="20"/>
              </w:rPr>
            </w:pPr>
          </w:p>
          <w:p w14:paraId="3178572B" w14:textId="6DBD80F6" w:rsidR="0016022C" w:rsidRPr="0007733E" w:rsidRDefault="0016022C" w:rsidP="00377EF8">
            <w:pPr>
              <w:rPr>
                <w:rFonts w:ascii="Arial" w:hAnsi="Arial" w:cs="Arial"/>
                <w:sz w:val="20"/>
                <w:szCs w:val="20"/>
              </w:rPr>
            </w:pPr>
            <w:r w:rsidRPr="0007733E">
              <w:rPr>
                <w:rFonts w:ascii="Arial" w:hAnsi="Arial" w:cs="Arial"/>
                <w:sz w:val="20"/>
                <w:szCs w:val="20"/>
              </w:rPr>
              <w:lastRenderedPageBreak/>
              <w:t xml:space="preserve">Implemented a national service model to support adult vaping cessation. </w:t>
            </w:r>
            <w:r w:rsidR="00BB3966">
              <w:rPr>
                <w:rFonts w:ascii="Arial" w:hAnsi="Arial" w:cs="Arial"/>
                <w:sz w:val="20"/>
                <w:szCs w:val="20"/>
              </w:rPr>
              <w:t>(SO</w:t>
            </w:r>
            <w:r w:rsidR="00F85317">
              <w:rPr>
                <w:rFonts w:ascii="Arial" w:hAnsi="Arial" w:cs="Arial"/>
                <w:sz w:val="20"/>
                <w:szCs w:val="20"/>
              </w:rPr>
              <w:t>3.6)</w:t>
            </w:r>
          </w:p>
          <w:p w14:paraId="6CF86D31" w14:textId="77777777" w:rsidR="00495EEC" w:rsidRPr="0007733E" w:rsidRDefault="00495EEC" w:rsidP="00377EF8">
            <w:pPr>
              <w:rPr>
                <w:rFonts w:ascii="Arial" w:hAnsi="Arial" w:cs="Arial"/>
                <w:sz w:val="20"/>
                <w:szCs w:val="20"/>
              </w:rPr>
            </w:pPr>
          </w:p>
          <w:p w14:paraId="7958BABA" w14:textId="77777777" w:rsidR="00FA58B5" w:rsidRPr="0007733E" w:rsidRDefault="00FA58B5" w:rsidP="00377EF8">
            <w:pPr>
              <w:rPr>
                <w:rFonts w:ascii="Arial" w:hAnsi="Arial" w:cs="Arial"/>
                <w:sz w:val="20"/>
                <w:szCs w:val="20"/>
              </w:rPr>
            </w:pPr>
          </w:p>
          <w:p w14:paraId="17B667E0" w14:textId="77777777" w:rsidR="00495EEC" w:rsidRPr="0007733E" w:rsidRDefault="00495EEC" w:rsidP="00377EF8">
            <w:pPr>
              <w:rPr>
                <w:rFonts w:ascii="Arial" w:hAnsi="Arial" w:cs="Arial"/>
                <w:sz w:val="20"/>
                <w:szCs w:val="20"/>
              </w:rPr>
            </w:pPr>
          </w:p>
          <w:p w14:paraId="7D0510F4" w14:textId="77777777" w:rsidR="00495EEC" w:rsidRPr="0007733E" w:rsidRDefault="00495EEC" w:rsidP="00377EF8">
            <w:pPr>
              <w:rPr>
                <w:rFonts w:ascii="Arial" w:hAnsi="Arial" w:cs="Arial"/>
                <w:sz w:val="20"/>
                <w:szCs w:val="20"/>
              </w:rPr>
            </w:pPr>
          </w:p>
          <w:p w14:paraId="2EDDC771" w14:textId="77777777" w:rsidR="0005060D" w:rsidRPr="0007733E" w:rsidRDefault="0005060D" w:rsidP="00377EF8">
            <w:pPr>
              <w:rPr>
                <w:rFonts w:ascii="Arial" w:hAnsi="Arial" w:cs="Arial"/>
                <w:sz w:val="20"/>
                <w:szCs w:val="20"/>
              </w:rPr>
            </w:pPr>
          </w:p>
          <w:p w14:paraId="613B8951" w14:textId="77777777" w:rsidR="0005060D" w:rsidRPr="0007733E" w:rsidRDefault="0005060D" w:rsidP="00377EF8">
            <w:pPr>
              <w:rPr>
                <w:rFonts w:ascii="Arial" w:hAnsi="Arial" w:cs="Arial"/>
                <w:sz w:val="20"/>
                <w:szCs w:val="20"/>
              </w:rPr>
            </w:pPr>
          </w:p>
          <w:p w14:paraId="51AFFC6D" w14:textId="2451EBD2" w:rsidR="00883F2F" w:rsidRPr="0007733E" w:rsidRDefault="00883F2F" w:rsidP="00377EF8">
            <w:pPr>
              <w:rPr>
                <w:rFonts w:ascii="Arial" w:hAnsi="Arial" w:cs="Arial"/>
                <w:sz w:val="20"/>
                <w:szCs w:val="20"/>
              </w:rPr>
            </w:pPr>
          </w:p>
        </w:tc>
        <w:tc>
          <w:tcPr>
            <w:tcW w:w="101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51E153" w14:textId="4CC536C2" w:rsidR="003B6C7E" w:rsidRPr="00880D80" w:rsidRDefault="003B6C7E" w:rsidP="000079FA">
            <w:pPr>
              <w:rPr>
                <w:rFonts w:ascii="Arial" w:hAnsi="Arial" w:cs="Arial"/>
                <w:sz w:val="20"/>
                <w:szCs w:val="20"/>
              </w:rPr>
            </w:pPr>
            <w:r w:rsidRPr="00880D80">
              <w:rPr>
                <w:rFonts w:ascii="Arial" w:hAnsi="Arial" w:cs="Arial"/>
                <w:sz w:val="20"/>
                <w:szCs w:val="20"/>
              </w:rPr>
              <w:lastRenderedPageBreak/>
              <w:t>Share findings from</w:t>
            </w:r>
            <w:r w:rsidR="009235E1">
              <w:rPr>
                <w:rFonts w:ascii="Arial" w:hAnsi="Arial" w:cs="Arial"/>
                <w:sz w:val="20"/>
                <w:szCs w:val="20"/>
              </w:rPr>
              <w:t xml:space="preserve"> </w:t>
            </w:r>
            <w:r w:rsidR="009235E1" w:rsidRPr="00880D80">
              <w:rPr>
                <w:rFonts w:ascii="Arial" w:hAnsi="Arial" w:cs="Arial"/>
                <w:sz w:val="20"/>
                <w:szCs w:val="20"/>
              </w:rPr>
              <w:t>A</w:t>
            </w:r>
            <w:r w:rsidR="009235E1">
              <w:rPr>
                <w:rFonts w:ascii="Arial" w:hAnsi="Arial" w:cs="Arial"/>
                <w:sz w:val="20"/>
                <w:szCs w:val="20"/>
              </w:rPr>
              <w:t xml:space="preserve">ll </w:t>
            </w:r>
            <w:r w:rsidR="009235E1" w:rsidRPr="00880D80">
              <w:rPr>
                <w:rFonts w:ascii="Arial" w:hAnsi="Arial" w:cs="Arial"/>
                <w:sz w:val="20"/>
                <w:szCs w:val="20"/>
              </w:rPr>
              <w:t>W</w:t>
            </w:r>
            <w:r w:rsidR="009235E1">
              <w:rPr>
                <w:rFonts w:ascii="Arial" w:hAnsi="Arial" w:cs="Arial"/>
                <w:sz w:val="20"/>
                <w:szCs w:val="20"/>
              </w:rPr>
              <w:t xml:space="preserve">ales </w:t>
            </w:r>
            <w:r w:rsidR="009235E1" w:rsidRPr="00880D80">
              <w:rPr>
                <w:rFonts w:ascii="Arial" w:hAnsi="Arial" w:cs="Arial"/>
                <w:sz w:val="20"/>
                <w:szCs w:val="20"/>
              </w:rPr>
              <w:t>D</w:t>
            </w:r>
            <w:r w:rsidR="009235E1">
              <w:rPr>
                <w:rFonts w:ascii="Arial" w:hAnsi="Arial" w:cs="Arial"/>
                <w:sz w:val="20"/>
                <w:szCs w:val="20"/>
              </w:rPr>
              <w:t xml:space="preserve">iabetes </w:t>
            </w:r>
            <w:r w:rsidR="009235E1" w:rsidRPr="00880D80">
              <w:rPr>
                <w:rFonts w:ascii="Arial" w:hAnsi="Arial" w:cs="Arial"/>
                <w:sz w:val="20"/>
                <w:szCs w:val="20"/>
              </w:rPr>
              <w:t>P</w:t>
            </w:r>
            <w:r w:rsidR="009235E1">
              <w:rPr>
                <w:rFonts w:ascii="Arial" w:hAnsi="Arial" w:cs="Arial"/>
                <w:sz w:val="20"/>
                <w:szCs w:val="20"/>
              </w:rPr>
              <w:t xml:space="preserve">revention </w:t>
            </w:r>
            <w:r w:rsidR="009235E1" w:rsidRPr="00880D80">
              <w:rPr>
                <w:rFonts w:ascii="Arial" w:hAnsi="Arial" w:cs="Arial"/>
                <w:sz w:val="20"/>
                <w:szCs w:val="20"/>
              </w:rPr>
              <w:t>P</w:t>
            </w:r>
            <w:r w:rsidR="009235E1">
              <w:rPr>
                <w:rFonts w:ascii="Arial" w:hAnsi="Arial" w:cs="Arial"/>
                <w:sz w:val="20"/>
                <w:szCs w:val="20"/>
              </w:rPr>
              <w:t>rogramme (AWDPP)</w:t>
            </w:r>
            <w:r w:rsidR="009235E1" w:rsidRPr="00880D80">
              <w:rPr>
                <w:rFonts w:ascii="Arial" w:hAnsi="Arial" w:cs="Arial"/>
                <w:sz w:val="20"/>
                <w:szCs w:val="20"/>
              </w:rPr>
              <w:t xml:space="preserve"> </w:t>
            </w:r>
            <w:r w:rsidRPr="00880D80">
              <w:rPr>
                <w:rFonts w:ascii="Arial" w:hAnsi="Arial" w:cs="Arial"/>
                <w:sz w:val="20"/>
                <w:szCs w:val="20"/>
              </w:rPr>
              <w:t xml:space="preserve">outcome evaluation to support development and ongoing scale up and mainstreaming of the </w:t>
            </w:r>
            <w:r w:rsidR="006E4727">
              <w:rPr>
                <w:rFonts w:ascii="Arial" w:hAnsi="Arial" w:cs="Arial"/>
                <w:sz w:val="20"/>
                <w:szCs w:val="20"/>
              </w:rPr>
              <w:t>AWDPP</w:t>
            </w:r>
            <w:r w:rsidRPr="00880D80">
              <w:rPr>
                <w:rFonts w:ascii="Arial" w:hAnsi="Arial" w:cs="Arial"/>
                <w:sz w:val="20"/>
                <w:szCs w:val="20"/>
              </w:rPr>
              <w:t xml:space="preserve"> to achieve full population coverage across Wales</w:t>
            </w:r>
            <w:r w:rsidR="000C51C1">
              <w:rPr>
                <w:rFonts w:ascii="Arial" w:hAnsi="Arial" w:cs="Arial"/>
                <w:sz w:val="20"/>
                <w:szCs w:val="20"/>
              </w:rPr>
              <w:t xml:space="preserve"> (SO4.3)</w:t>
            </w:r>
          </w:p>
          <w:p w14:paraId="4F6D841A" w14:textId="77777777" w:rsidR="007056D6" w:rsidRPr="00880D80" w:rsidRDefault="007056D6" w:rsidP="000079FA">
            <w:pPr>
              <w:rPr>
                <w:rFonts w:ascii="Arial" w:hAnsi="Arial" w:cs="Arial"/>
                <w:sz w:val="20"/>
                <w:szCs w:val="20"/>
              </w:rPr>
            </w:pPr>
          </w:p>
          <w:p w14:paraId="5D06C6CA" w14:textId="7D0397B8" w:rsidR="00FC1DA4" w:rsidRPr="00770C80" w:rsidRDefault="007056D6" w:rsidP="000079FA">
            <w:pPr>
              <w:rPr>
                <w:rFonts w:ascii="Arial" w:hAnsi="Arial" w:cs="Arial"/>
                <w:sz w:val="20"/>
                <w:szCs w:val="20"/>
              </w:rPr>
            </w:pPr>
            <w:r w:rsidRPr="00880D80">
              <w:rPr>
                <w:rFonts w:ascii="Arial" w:hAnsi="Arial" w:cs="Arial"/>
                <w:sz w:val="20"/>
                <w:szCs w:val="20"/>
              </w:rPr>
              <w:t>Disseminated the data, evidence, planning support tools produced and advocate for their use to enable health board and RPBs to improve their inclusion health services</w:t>
            </w:r>
            <w:r w:rsidR="00E53FA9">
              <w:rPr>
                <w:rFonts w:ascii="Arial" w:hAnsi="Arial" w:cs="Arial"/>
                <w:sz w:val="20"/>
                <w:szCs w:val="20"/>
              </w:rPr>
              <w:t xml:space="preserve"> (SO4.2)</w:t>
            </w:r>
          </w:p>
          <w:p w14:paraId="75F5D652" w14:textId="77777777" w:rsidR="00F001D4" w:rsidRPr="00F001D4" w:rsidRDefault="00F001D4" w:rsidP="000079FA">
            <w:pPr>
              <w:rPr>
                <w:rFonts w:ascii="Arial" w:hAnsi="Arial" w:cs="Arial"/>
                <w:sz w:val="20"/>
                <w:szCs w:val="20"/>
              </w:rPr>
            </w:pPr>
          </w:p>
          <w:p w14:paraId="0F384179" w14:textId="6363A7A7" w:rsidR="00F001D4" w:rsidRDefault="00F001D4" w:rsidP="000079FA">
            <w:pPr>
              <w:rPr>
                <w:rFonts w:ascii="Arial" w:hAnsi="Arial" w:cs="Arial"/>
                <w:sz w:val="20"/>
                <w:szCs w:val="20"/>
              </w:rPr>
            </w:pPr>
            <w:r w:rsidRPr="00657F36">
              <w:rPr>
                <w:rFonts w:ascii="Arial" w:hAnsi="Arial" w:cs="Arial"/>
                <w:sz w:val="20"/>
                <w:szCs w:val="20"/>
              </w:rPr>
              <w:t>Produced the final design proposals for the Daily Active Whole School Approach to Physical Activity.</w:t>
            </w:r>
            <w:r w:rsidR="00657F36">
              <w:rPr>
                <w:rFonts w:ascii="Arial" w:hAnsi="Arial" w:cs="Arial"/>
                <w:sz w:val="20"/>
                <w:szCs w:val="20"/>
              </w:rPr>
              <w:t xml:space="preserve"> (SO3.1)</w:t>
            </w:r>
          </w:p>
          <w:p w14:paraId="03253D5A" w14:textId="77777777" w:rsidR="00354844" w:rsidRDefault="00354844" w:rsidP="000079FA">
            <w:pPr>
              <w:rPr>
                <w:rFonts w:ascii="Arial" w:hAnsi="Arial" w:cs="Arial"/>
                <w:sz w:val="20"/>
                <w:szCs w:val="20"/>
              </w:rPr>
            </w:pPr>
          </w:p>
          <w:p w14:paraId="54B371E3" w14:textId="2540A5E8" w:rsidR="006134FF" w:rsidRDefault="0036293D" w:rsidP="000079FA">
            <w:pPr>
              <w:rPr>
                <w:rFonts w:ascii="Arial" w:hAnsi="Arial" w:cs="Arial"/>
                <w:sz w:val="20"/>
                <w:szCs w:val="20"/>
              </w:rPr>
            </w:pPr>
            <w:r w:rsidRPr="0036293D">
              <w:rPr>
                <w:rFonts w:ascii="Arial" w:hAnsi="Arial" w:cs="Arial"/>
                <w:sz w:val="20"/>
                <w:szCs w:val="20"/>
              </w:rPr>
              <w:lastRenderedPageBreak/>
              <w:t>Delivered our proposals for</w:t>
            </w:r>
            <w:r w:rsidR="00354844" w:rsidRPr="0036293D">
              <w:rPr>
                <w:rFonts w:ascii="Arial" w:hAnsi="Arial" w:cs="Arial"/>
                <w:sz w:val="20"/>
                <w:szCs w:val="20"/>
              </w:rPr>
              <w:t xml:space="preserve"> a new framework that supports schools to embed a whole school approach to health and wellbeing</w:t>
            </w:r>
            <w:r w:rsidR="00354844">
              <w:rPr>
                <w:rFonts w:ascii="Arial" w:hAnsi="Arial" w:cs="Arial"/>
                <w:sz w:val="20"/>
                <w:szCs w:val="20"/>
              </w:rPr>
              <w:t>.</w:t>
            </w:r>
            <w:r>
              <w:rPr>
                <w:rFonts w:ascii="Arial" w:hAnsi="Arial" w:cs="Arial"/>
                <w:sz w:val="20"/>
                <w:szCs w:val="20"/>
              </w:rPr>
              <w:t xml:space="preserve"> (SO3.1)</w:t>
            </w:r>
          </w:p>
          <w:p w14:paraId="79599DEC" w14:textId="77777777" w:rsidR="00903C42" w:rsidRDefault="00903C42" w:rsidP="000079FA">
            <w:pPr>
              <w:rPr>
                <w:rFonts w:ascii="Arial" w:hAnsi="Arial" w:cs="Arial"/>
              </w:rPr>
            </w:pPr>
          </w:p>
          <w:p w14:paraId="11AED502" w14:textId="667DE525" w:rsidR="00903C42" w:rsidRDefault="00903C42" w:rsidP="000079FA">
            <w:pPr>
              <w:rPr>
                <w:rFonts w:ascii="Arial" w:hAnsi="Arial" w:cs="Arial"/>
                <w:sz w:val="20"/>
                <w:szCs w:val="20"/>
              </w:rPr>
            </w:pPr>
            <w:r w:rsidRPr="002F35D0">
              <w:rPr>
                <w:rFonts w:ascii="Arial" w:hAnsi="Arial" w:cs="Arial"/>
                <w:sz w:val="20"/>
                <w:szCs w:val="20"/>
              </w:rPr>
              <w:t>Commissioned work to understand public knowledge, attitudes and beliefs to gambling.</w:t>
            </w:r>
            <w:r w:rsidR="002F35D0">
              <w:rPr>
                <w:rFonts w:ascii="Arial" w:hAnsi="Arial" w:cs="Arial"/>
                <w:sz w:val="20"/>
                <w:szCs w:val="20"/>
              </w:rPr>
              <w:t xml:space="preserve"> (SO3.2)</w:t>
            </w:r>
          </w:p>
          <w:p w14:paraId="593598AB" w14:textId="77777777" w:rsidR="00857A33" w:rsidRPr="00B7770D" w:rsidRDefault="00857A33" w:rsidP="000079FA">
            <w:pPr>
              <w:rPr>
                <w:rFonts w:ascii="Arial" w:hAnsi="Arial" w:cs="Arial"/>
                <w:sz w:val="20"/>
                <w:szCs w:val="20"/>
                <w:highlight w:val="lightGray"/>
              </w:rPr>
            </w:pPr>
          </w:p>
          <w:p w14:paraId="0CB60A7E" w14:textId="07A6DAE7" w:rsidR="00857A33" w:rsidRDefault="00857A33" w:rsidP="000079FA">
            <w:pPr>
              <w:rPr>
                <w:rFonts w:ascii="Arial" w:hAnsi="Arial" w:cs="Arial"/>
                <w:sz w:val="20"/>
                <w:szCs w:val="20"/>
              </w:rPr>
            </w:pPr>
            <w:r w:rsidRPr="009727C1">
              <w:rPr>
                <w:rFonts w:ascii="Arial" w:hAnsi="Arial" w:cs="Arial"/>
                <w:sz w:val="20"/>
                <w:szCs w:val="20"/>
              </w:rPr>
              <w:t>Developed proposals for the implementation of the monitoring and evaluation framework for Health Weight Healthy Wales.</w:t>
            </w:r>
            <w:r>
              <w:rPr>
                <w:rFonts w:ascii="Arial" w:hAnsi="Arial" w:cs="Arial"/>
                <w:sz w:val="20"/>
                <w:szCs w:val="20"/>
              </w:rPr>
              <w:t xml:space="preserve"> </w:t>
            </w:r>
            <w:r w:rsidR="009727C1">
              <w:rPr>
                <w:rFonts w:ascii="Arial" w:hAnsi="Arial" w:cs="Arial"/>
                <w:sz w:val="20"/>
                <w:szCs w:val="20"/>
              </w:rPr>
              <w:t>(SO3.7)</w:t>
            </w:r>
          </w:p>
          <w:p w14:paraId="7D0B97C3" w14:textId="77777777" w:rsidR="00E65627" w:rsidRDefault="00E65627" w:rsidP="000079FA">
            <w:pPr>
              <w:rPr>
                <w:rFonts w:ascii="Arial" w:hAnsi="Arial" w:cs="Arial"/>
                <w:sz w:val="20"/>
                <w:szCs w:val="20"/>
              </w:rPr>
            </w:pPr>
          </w:p>
          <w:p w14:paraId="004872DC" w14:textId="756F0EC7" w:rsidR="00E65627" w:rsidRDefault="00E65627" w:rsidP="000079FA">
            <w:pPr>
              <w:rPr>
                <w:rFonts w:ascii="Arial" w:hAnsi="Arial" w:cs="Arial"/>
                <w:sz w:val="20"/>
                <w:szCs w:val="20"/>
              </w:rPr>
            </w:pPr>
            <w:r w:rsidRPr="00D71804">
              <w:rPr>
                <w:rFonts w:ascii="Arial" w:hAnsi="Arial" w:cs="Arial"/>
                <w:sz w:val="20"/>
                <w:szCs w:val="20"/>
              </w:rPr>
              <w:t>Delivered co-produced support pack for Health Care Professionals to use at the point of diagnosis.</w:t>
            </w:r>
            <w:r>
              <w:rPr>
                <w:rFonts w:ascii="Arial" w:hAnsi="Arial" w:cs="Arial"/>
                <w:sz w:val="20"/>
                <w:szCs w:val="20"/>
              </w:rPr>
              <w:t xml:space="preserve"> </w:t>
            </w:r>
            <w:r w:rsidR="00D71804">
              <w:rPr>
                <w:rFonts w:ascii="Arial" w:hAnsi="Arial" w:cs="Arial"/>
                <w:sz w:val="20"/>
                <w:szCs w:val="20"/>
              </w:rPr>
              <w:t>(SO4.3)</w:t>
            </w:r>
          </w:p>
          <w:p w14:paraId="040FA805" w14:textId="77777777" w:rsidR="005D067E" w:rsidRDefault="005D067E" w:rsidP="000079FA">
            <w:pPr>
              <w:rPr>
                <w:rFonts w:ascii="Arial" w:hAnsi="Arial" w:cs="Arial"/>
                <w:sz w:val="20"/>
                <w:szCs w:val="20"/>
              </w:rPr>
            </w:pPr>
          </w:p>
          <w:p w14:paraId="6773D31D" w14:textId="512D7CD0" w:rsidR="00E65627" w:rsidRPr="002430CA" w:rsidRDefault="00E65627" w:rsidP="000079FA">
            <w:pPr>
              <w:rPr>
                <w:rFonts w:ascii="Arial" w:hAnsi="Arial" w:cs="Arial"/>
                <w:sz w:val="20"/>
                <w:szCs w:val="20"/>
              </w:rPr>
            </w:pPr>
          </w:p>
        </w:tc>
        <w:tc>
          <w:tcPr>
            <w:tcW w:w="1012" w:type="pct"/>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A4BCE4B" w14:textId="3547EA8C" w:rsidR="00494341" w:rsidRDefault="00494341" w:rsidP="00B816AB">
            <w:pPr>
              <w:rPr>
                <w:rFonts w:ascii="Arial" w:hAnsi="Arial" w:cs="Arial"/>
                <w:sz w:val="20"/>
                <w:szCs w:val="20"/>
              </w:rPr>
            </w:pPr>
            <w:r w:rsidRPr="0065110C">
              <w:rPr>
                <w:rFonts w:ascii="Arial" w:hAnsi="Arial" w:cs="Arial"/>
                <w:sz w:val="20"/>
                <w:szCs w:val="20"/>
              </w:rPr>
              <w:lastRenderedPageBreak/>
              <w:t>Refreshed and put in place emergency plans: developed gained approval for and validates the Public Health Wales Pandemic Response Arrangements.</w:t>
            </w:r>
            <w:r>
              <w:rPr>
                <w:rFonts w:ascii="Arial" w:hAnsi="Arial" w:cs="Arial"/>
                <w:sz w:val="20"/>
                <w:szCs w:val="20"/>
              </w:rPr>
              <w:t xml:space="preserve"> </w:t>
            </w:r>
            <w:r w:rsidR="0065110C">
              <w:rPr>
                <w:rFonts w:ascii="Arial" w:hAnsi="Arial" w:cs="Arial"/>
                <w:sz w:val="20"/>
                <w:szCs w:val="20"/>
              </w:rPr>
              <w:t>(SO5.2)</w:t>
            </w:r>
          </w:p>
          <w:p w14:paraId="19DB1D96" w14:textId="77777777" w:rsidR="00CB4EF6" w:rsidRDefault="00CB4EF6" w:rsidP="00B816AB">
            <w:pPr>
              <w:rPr>
                <w:rFonts w:ascii="Arial" w:hAnsi="Arial" w:cs="Arial"/>
                <w:sz w:val="20"/>
                <w:szCs w:val="20"/>
              </w:rPr>
            </w:pPr>
          </w:p>
          <w:p w14:paraId="68500944" w14:textId="784BA4A8" w:rsidR="00CB4EF6" w:rsidRDefault="00CB4EF6" w:rsidP="00B816AB">
            <w:pPr>
              <w:rPr>
                <w:rFonts w:ascii="Arial" w:hAnsi="Arial" w:cs="Arial"/>
                <w:sz w:val="20"/>
                <w:szCs w:val="20"/>
              </w:rPr>
            </w:pPr>
            <w:r w:rsidRPr="008C74D4">
              <w:rPr>
                <w:rFonts w:ascii="Arial" w:hAnsi="Arial" w:cs="Arial"/>
                <w:sz w:val="20"/>
                <w:szCs w:val="20"/>
              </w:rPr>
              <w:t xml:space="preserve">Developed recommendations on supporting and enabling local and regional partnerships to reduce poverty informed by needs assessment with the Building a Healthier Wales Coordination </w:t>
            </w:r>
            <w:proofErr w:type="gramStart"/>
            <w:r w:rsidRPr="008C74D4">
              <w:rPr>
                <w:rFonts w:ascii="Arial" w:hAnsi="Arial" w:cs="Arial"/>
                <w:sz w:val="20"/>
                <w:szCs w:val="20"/>
              </w:rPr>
              <w:t>Group.</w:t>
            </w:r>
            <w:r w:rsidR="008C74D4" w:rsidRPr="008C74D4">
              <w:rPr>
                <w:rFonts w:ascii="Arial" w:hAnsi="Arial" w:cs="Arial"/>
                <w:sz w:val="20"/>
                <w:szCs w:val="20"/>
              </w:rPr>
              <w:t>(</w:t>
            </w:r>
            <w:proofErr w:type="gramEnd"/>
            <w:r w:rsidR="008C74D4">
              <w:rPr>
                <w:rFonts w:ascii="Arial" w:hAnsi="Arial" w:cs="Arial"/>
                <w:sz w:val="20"/>
                <w:szCs w:val="20"/>
              </w:rPr>
              <w:t>SO1.1)</w:t>
            </w:r>
          </w:p>
          <w:p w14:paraId="5AE98429" w14:textId="77777777" w:rsidR="00021A9E" w:rsidRDefault="00021A9E" w:rsidP="00B816AB">
            <w:pPr>
              <w:rPr>
                <w:rFonts w:ascii="Arial" w:hAnsi="Arial" w:cs="Arial"/>
                <w:sz w:val="20"/>
                <w:szCs w:val="20"/>
              </w:rPr>
            </w:pPr>
          </w:p>
          <w:p w14:paraId="08DB2E5F" w14:textId="3A0E935A" w:rsidR="00D11D1B" w:rsidRPr="00D11D1B" w:rsidRDefault="00D11D1B" w:rsidP="00B816AB">
            <w:pPr>
              <w:rPr>
                <w:rFonts w:ascii="Arial" w:hAnsi="Arial" w:cs="Arial"/>
                <w:sz w:val="20"/>
                <w:szCs w:val="20"/>
              </w:rPr>
            </w:pPr>
            <w:r w:rsidRPr="00E87738">
              <w:rPr>
                <w:rFonts w:ascii="Arial" w:hAnsi="Arial" w:cs="Arial"/>
                <w:sz w:val="20"/>
                <w:szCs w:val="20"/>
              </w:rPr>
              <w:t>Developed proposals for enhancing adherence in the NERS programme.</w:t>
            </w:r>
            <w:r w:rsidRPr="00D11D1B">
              <w:rPr>
                <w:rFonts w:ascii="Arial" w:hAnsi="Arial" w:cs="Arial"/>
                <w:sz w:val="20"/>
                <w:szCs w:val="20"/>
              </w:rPr>
              <w:t xml:space="preserve"> </w:t>
            </w:r>
            <w:r w:rsidR="00E87738" w:rsidRPr="00E87738">
              <w:rPr>
                <w:rFonts w:ascii="Arial" w:hAnsi="Arial" w:cs="Arial"/>
                <w:sz w:val="20"/>
                <w:szCs w:val="20"/>
              </w:rPr>
              <w:t>(SO3.4)</w:t>
            </w:r>
            <w:r w:rsidRPr="00D11D1B">
              <w:rPr>
                <w:rFonts w:ascii="Arial" w:hAnsi="Arial" w:cs="Arial"/>
                <w:sz w:val="20"/>
                <w:szCs w:val="20"/>
              </w:rPr>
              <w:t xml:space="preserve"> </w:t>
            </w:r>
          </w:p>
          <w:p w14:paraId="373AFDF7" w14:textId="77777777" w:rsidR="00CB4EF6" w:rsidRDefault="00CB4EF6" w:rsidP="00B816AB">
            <w:pPr>
              <w:rPr>
                <w:rFonts w:ascii="Arial" w:hAnsi="Arial" w:cs="Arial"/>
              </w:rPr>
            </w:pPr>
          </w:p>
          <w:p w14:paraId="2CF4FA67" w14:textId="628724A6" w:rsidR="006C0FD7" w:rsidRDefault="006C0FD7" w:rsidP="00B816AB">
            <w:pPr>
              <w:rPr>
                <w:rFonts w:ascii="Arial" w:hAnsi="Arial" w:cs="Arial"/>
                <w:sz w:val="20"/>
                <w:szCs w:val="20"/>
              </w:rPr>
            </w:pPr>
            <w:r w:rsidRPr="00344E0D">
              <w:rPr>
                <w:rFonts w:ascii="Arial" w:hAnsi="Arial" w:cs="Arial"/>
                <w:sz w:val="20"/>
                <w:szCs w:val="20"/>
              </w:rPr>
              <w:t xml:space="preserve">Published Every Child </w:t>
            </w:r>
            <w:proofErr w:type="gramStart"/>
            <w:r w:rsidRPr="00344E0D">
              <w:rPr>
                <w:rFonts w:ascii="Arial" w:hAnsi="Arial" w:cs="Arial"/>
                <w:sz w:val="20"/>
                <w:szCs w:val="20"/>
              </w:rPr>
              <w:t>resources</w:t>
            </w:r>
            <w:proofErr w:type="gramEnd"/>
            <w:r w:rsidRPr="00344E0D">
              <w:rPr>
                <w:rFonts w:ascii="Arial" w:hAnsi="Arial" w:cs="Arial"/>
                <w:sz w:val="20"/>
                <w:szCs w:val="20"/>
              </w:rPr>
              <w:t xml:space="preserve"> for </w:t>
            </w:r>
            <w:r w:rsidRPr="00344E0D">
              <w:rPr>
                <w:rFonts w:ascii="Arial" w:hAnsi="Arial" w:cs="Arial"/>
                <w:sz w:val="20"/>
                <w:szCs w:val="20"/>
              </w:rPr>
              <w:lastRenderedPageBreak/>
              <w:t>families with children aged 2-7.</w:t>
            </w:r>
            <w:r w:rsidR="005A1C66">
              <w:rPr>
                <w:rFonts w:ascii="Arial" w:hAnsi="Arial" w:cs="Arial"/>
                <w:sz w:val="20"/>
                <w:szCs w:val="20"/>
              </w:rPr>
              <w:t xml:space="preserve"> </w:t>
            </w:r>
            <w:r w:rsidR="00344E0D" w:rsidRPr="00344E0D">
              <w:rPr>
                <w:rFonts w:ascii="Arial" w:hAnsi="Arial" w:cs="Arial"/>
                <w:sz w:val="20"/>
                <w:szCs w:val="20"/>
              </w:rPr>
              <w:t>(</w:t>
            </w:r>
            <w:r w:rsidR="00344E0D">
              <w:rPr>
                <w:rFonts w:ascii="Arial" w:hAnsi="Arial" w:cs="Arial"/>
                <w:sz w:val="20"/>
                <w:szCs w:val="20"/>
              </w:rPr>
              <w:t>SO3.5)</w:t>
            </w:r>
          </w:p>
          <w:p w14:paraId="5431FAC3" w14:textId="77777777" w:rsidR="00E51DC9" w:rsidRDefault="00E51DC9" w:rsidP="00B816AB">
            <w:pPr>
              <w:rPr>
                <w:rFonts w:ascii="Arial" w:hAnsi="Arial" w:cs="Arial"/>
                <w:sz w:val="20"/>
                <w:szCs w:val="20"/>
              </w:rPr>
            </w:pPr>
          </w:p>
          <w:p w14:paraId="06BDD3E3" w14:textId="582CDCD0" w:rsidR="00E51DC9" w:rsidRPr="00554388" w:rsidRDefault="00554388" w:rsidP="00B816AB">
            <w:pPr>
              <w:rPr>
                <w:rFonts w:ascii="Arial" w:hAnsi="Arial" w:cs="Arial"/>
                <w:sz w:val="20"/>
                <w:szCs w:val="20"/>
              </w:rPr>
            </w:pPr>
            <w:r w:rsidRPr="00554388">
              <w:rPr>
                <w:rFonts w:ascii="Arial" w:hAnsi="Arial" w:cs="Arial"/>
                <w:sz w:val="20"/>
                <w:szCs w:val="20"/>
              </w:rPr>
              <w:t>Completed action</w:t>
            </w:r>
            <w:r w:rsidR="0016022C" w:rsidRPr="00554388">
              <w:rPr>
                <w:rFonts w:ascii="Arial" w:hAnsi="Arial" w:cs="Arial"/>
                <w:sz w:val="20"/>
                <w:szCs w:val="20"/>
              </w:rPr>
              <w:t xml:space="preserve"> plan for reducing smoking harms to vulnerable populations. </w:t>
            </w:r>
            <w:r w:rsidRPr="00554388">
              <w:rPr>
                <w:rFonts w:ascii="Arial" w:hAnsi="Arial" w:cs="Arial"/>
                <w:sz w:val="20"/>
                <w:szCs w:val="20"/>
              </w:rPr>
              <w:t>(SO3.6)</w:t>
            </w:r>
            <w:r w:rsidR="0016022C" w:rsidRPr="00554388">
              <w:rPr>
                <w:rFonts w:ascii="Arial" w:hAnsi="Arial" w:cs="Arial"/>
                <w:sz w:val="20"/>
                <w:szCs w:val="20"/>
              </w:rPr>
              <w:t xml:space="preserve"> </w:t>
            </w:r>
          </w:p>
          <w:p w14:paraId="047B2D66" w14:textId="77777777" w:rsidR="00DA5B19" w:rsidRDefault="00DA5B19" w:rsidP="00B816AB">
            <w:pPr>
              <w:rPr>
                <w:rFonts w:ascii="Arial" w:hAnsi="Arial" w:cs="Arial"/>
                <w:sz w:val="20"/>
                <w:szCs w:val="20"/>
              </w:rPr>
            </w:pPr>
          </w:p>
          <w:p w14:paraId="69F2ED25" w14:textId="465A35E2" w:rsidR="00524556" w:rsidRDefault="00DA5B19" w:rsidP="00B816AB">
            <w:pPr>
              <w:rPr>
                <w:rFonts w:ascii="Arial" w:hAnsi="Arial" w:cs="Arial"/>
                <w:sz w:val="20"/>
                <w:szCs w:val="20"/>
              </w:rPr>
            </w:pPr>
            <w:r w:rsidRPr="002F176A">
              <w:rPr>
                <w:rFonts w:ascii="Arial" w:hAnsi="Arial" w:cs="Arial"/>
                <w:sz w:val="20"/>
                <w:szCs w:val="20"/>
              </w:rPr>
              <w:t>Publish</w:t>
            </w:r>
            <w:r w:rsidR="00E11C74" w:rsidRPr="002F176A">
              <w:rPr>
                <w:rFonts w:ascii="Arial" w:hAnsi="Arial" w:cs="Arial"/>
                <w:sz w:val="20"/>
                <w:szCs w:val="20"/>
              </w:rPr>
              <w:t xml:space="preserve">ed </w:t>
            </w:r>
            <w:r w:rsidR="002F176A" w:rsidRPr="002F176A">
              <w:rPr>
                <w:rFonts w:ascii="Arial" w:hAnsi="Arial" w:cs="Arial"/>
                <w:sz w:val="20"/>
                <w:szCs w:val="20"/>
              </w:rPr>
              <w:t xml:space="preserve">the </w:t>
            </w:r>
            <w:r w:rsidR="00E11C74" w:rsidRPr="002F176A">
              <w:rPr>
                <w:rFonts w:ascii="Arial" w:hAnsi="Arial" w:cs="Arial"/>
                <w:sz w:val="20"/>
                <w:szCs w:val="20"/>
              </w:rPr>
              <w:t>evidence base for action to reduce harm from smoking among vulnerable population groups.</w:t>
            </w:r>
            <w:r w:rsidR="00E11C74">
              <w:rPr>
                <w:rFonts w:ascii="Arial" w:hAnsi="Arial" w:cs="Arial"/>
                <w:sz w:val="20"/>
                <w:szCs w:val="20"/>
              </w:rPr>
              <w:t xml:space="preserve"> </w:t>
            </w:r>
            <w:r w:rsidR="002F176A">
              <w:rPr>
                <w:rFonts w:ascii="Arial" w:hAnsi="Arial" w:cs="Arial"/>
                <w:sz w:val="20"/>
                <w:szCs w:val="20"/>
              </w:rPr>
              <w:t>(SO3.6)</w:t>
            </w:r>
          </w:p>
          <w:p w14:paraId="7F985421" w14:textId="77777777" w:rsidR="000D1A65" w:rsidRDefault="000D1A65" w:rsidP="00B816AB">
            <w:pPr>
              <w:rPr>
                <w:rFonts w:ascii="Arial" w:hAnsi="Arial" w:cs="Arial"/>
                <w:sz w:val="20"/>
                <w:szCs w:val="20"/>
              </w:rPr>
            </w:pPr>
          </w:p>
          <w:p w14:paraId="7F0D1428" w14:textId="77777777" w:rsidR="009F5858" w:rsidRDefault="009F5858" w:rsidP="00B816AB">
            <w:pPr>
              <w:rPr>
                <w:rFonts w:ascii="Arial" w:hAnsi="Arial" w:cs="Arial"/>
                <w:sz w:val="20"/>
                <w:szCs w:val="20"/>
              </w:rPr>
            </w:pPr>
            <w:r>
              <w:rPr>
                <w:rFonts w:ascii="Arial" w:hAnsi="Arial" w:cs="Arial"/>
                <w:sz w:val="20"/>
                <w:szCs w:val="20"/>
              </w:rPr>
              <w:t xml:space="preserve">Published a series of curriculum toolkits to support implementation of the Curriculum for Wales. (SO3.1) </w:t>
            </w:r>
          </w:p>
          <w:p w14:paraId="66A16F8F" w14:textId="77777777" w:rsidR="00146A4A" w:rsidRDefault="00146A4A" w:rsidP="00B816AB">
            <w:pPr>
              <w:rPr>
                <w:rFonts w:ascii="Arial" w:hAnsi="Arial" w:cs="Arial"/>
                <w:sz w:val="20"/>
                <w:szCs w:val="20"/>
              </w:rPr>
            </w:pPr>
          </w:p>
          <w:p w14:paraId="6176E07E" w14:textId="7EF3EE09" w:rsidR="00524556" w:rsidRPr="006C0FD7" w:rsidRDefault="00146A4A" w:rsidP="00B816AB">
            <w:pPr>
              <w:rPr>
                <w:rFonts w:ascii="Arial" w:hAnsi="Arial" w:cs="Arial"/>
                <w:sz w:val="20"/>
                <w:szCs w:val="20"/>
              </w:rPr>
            </w:pPr>
            <w:r>
              <w:rPr>
                <w:rFonts w:ascii="Arial" w:hAnsi="Arial" w:cs="Arial"/>
                <w:sz w:val="20"/>
                <w:szCs w:val="20"/>
              </w:rPr>
              <w:t>Published our synthesis of the evidence base for the use of licensing as a public health intervention, ready to inform policy on licensing. (SO3.3)</w:t>
            </w:r>
          </w:p>
        </w:tc>
        <w:tc>
          <w:tcPr>
            <w:tcW w:w="1234"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E51335" w14:textId="062FACA5" w:rsidR="00C92C8B" w:rsidRDefault="00C527C2" w:rsidP="002F4D40">
            <w:pPr>
              <w:rPr>
                <w:rFonts w:ascii="Arial" w:hAnsi="Arial" w:cs="Arial"/>
                <w:sz w:val="20"/>
                <w:szCs w:val="20"/>
              </w:rPr>
            </w:pPr>
            <w:r>
              <w:rPr>
                <w:rFonts w:ascii="Arial" w:hAnsi="Arial" w:cs="Arial"/>
                <w:sz w:val="20"/>
                <w:szCs w:val="20"/>
              </w:rPr>
              <w:lastRenderedPageBreak/>
              <w:t>Co-ordinated</w:t>
            </w:r>
            <w:r w:rsidR="00C92C8B" w:rsidRPr="00C92C8B">
              <w:rPr>
                <w:rFonts w:ascii="Arial" w:hAnsi="Arial" w:cs="Arial"/>
                <w:sz w:val="20"/>
                <w:szCs w:val="20"/>
              </w:rPr>
              <w:t xml:space="preserve"> the upscaling and mainstreaming of the AWDPP to achieve full population coverage across Wales, with continued development of the programme</w:t>
            </w:r>
            <w:r w:rsidR="00DB117C">
              <w:rPr>
                <w:rFonts w:ascii="Arial" w:hAnsi="Arial" w:cs="Arial"/>
                <w:sz w:val="20"/>
                <w:szCs w:val="20"/>
              </w:rPr>
              <w:t xml:space="preserve"> (SO4.3)</w:t>
            </w:r>
          </w:p>
          <w:p w14:paraId="61308149" w14:textId="77777777" w:rsidR="00EE5EEE" w:rsidRPr="00EE5EEE" w:rsidRDefault="00EE5EEE" w:rsidP="00EE5EEE">
            <w:pPr>
              <w:rPr>
                <w:rFonts w:ascii="Arial" w:hAnsi="Arial" w:cs="Arial"/>
                <w:sz w:val="20"/>
                <w:szCs w:val="20"/>
              </w:rPr>
            </w:pPr>
          </w:p>
          <w:p w14:paraId="7E193F09" w14:textId="023DE549" w:rsidR="00B26C83" w:rsidRDefault="00EE5EEE" w:rsidP="00EE5EEE">
            <w:pPr>
              <w:rPr>
                <w:rFonts w:ascii="Arial" w:hAnsi="Arial" w:cs="Arial"/>
                <w:sz w:val="20"/>
                <w:szCs w:val="20"/>
              </w:rPr>
            </w:pPr>
            <w:r w:rsidRPr="00EE5EEE">
              <w:rPr>
                <w:rFonts w:ascii="Arial" w:hAnsi="Arial" w:cs="Arial"/>
                <w:sz w:val="20"/>
                <w:szCs w:val="20"/>
              </w:rPr>
              <w:t>Monitor</w:t>
            </w:r>
            <w:r w:rsidR="00F00E63">
              <w:rPr>
                <w:rFonts w:ascii="Arial" w:hAnsi="Arial" w:cs="Arial"/>
                <w:sz w:val="20"/>
                <w:szCs w:val="20"/>
              </w:rPr>
              <w:t>ed</w:t>
            </w:r>
            <w:r w:rsidRPr="00EE5EEE">
              <w:rPr>
                <w:rFonts w:ascii="Arial" w:hAnsi="Arial" w:cs="Arial"/>
                <w:sz w:val="20"/>
                <w:szCs w:val="20"/>
              </w:rPr>
              <w:t xml:space="preserve"> progress in line with Welsh Government disease elimination strategy for Measles, Polio, TB, BBV, HIV, Hep B and Hep C</w:t>
            </w:r>
            <w:r w:rsidR="003C422E">
              <w:rPr>
                <w:rFonts w:ascii="Arial" w:hAnsi="Arial" w:cs="Arial"/>
                <w:sz w:val="20"/>
                <w:szCs w:val="20"/>
              </w:rPr>
              <w:t xml:space="preserve"> (SO5.2)</w:t>
            </w:r>
          </w:p>
          <w:p w14:paraId="61C25674" w14:textId="77777777" w:rsidR="00900EA8" w:rsidRDefault="00900EA8" w:rsidP="00EE5EEE">
            <w:pPr>
              <w:rPr>
                <w:rFonts w:ascii="Arial" w:eastAsia="Times New Roman" w:hAnsi="Arial" w:cs="Arial"/>
                <w:color w:val="000000"/>
                <w:sz w:val="20"/>
                <w:szCs w:val="20"/>
                <w:lang w:eastAsia="en-GB"/>
              </w:rPr>
            </w:pPr>
          </w:p>
          <w:p w14:paraId="49286BCD" w14:textId="7FF0ABC9" w:rsidR="00900EA8" w:rsidRDefault="00900EA8" w:rsidP="00EE5EEE">
            <w:pPr>
              <w:rPr>
                <w:rFonts w:ascii="Arial" w:eastAsia="Times New Roman" w:hAnsi="Arial" w:cs="Arial"/>
                <w:color w:val="000000"/>
                <w:sz w:val="20"/>
                <w:szCs w:val="20"/>
                <w:lang w:eastAsia="en-GB"/>
              </w:rPr>
            </w:pPr>
            <w:r w:rsidRPr="00900EA8">
              <w:rPr>
                <w:rFonts w:ascii="Arial" w:eastAsia="Times New Roman" w:hAnsi="Arial" w:cs="Arial"/>
                <w:color w:val="000000"/>
                <w:sz w:val="20"/>
                <w:szCs w:val="20"/>
                <w:lang w:eastAsia="en-GB"/>
              </w:rPr>
              <w:t>Continued development of Sexual Health Testing Services to meet identified population needs and contribute to the target of no new transmission of BBV's in Wales by 2030, through partnership and collaborative working using knowledge, data, evidence and innovation to promote equity in testing provision.</w:t>
            </w:r>
            <w:r w:rsidR="006D5174">
              <w:rPr>
                <w:rFonts w:ascii="Arial" w:eastAsia="Times New Roman" w:hAnsi="Arial" w:cs="Arial"/>
                <w:color w:val="000000"/>
                <w:sz w:val="20"/>
                <w:szCs w:val="20"/>
                <w:lang w:eastAsia="en-GB"/>
              </w:rPr>
              <w:t xml:space="preserve"> (SO5.2)</w:t>
            </w:r>
          </w:p>
          <w:p w14:paraId="1065432B" w14:textId="77777777" w:rsidR="00F03208" w:rsidRDefault="00F03208" w:rsidP="00EE5EEE">
            <w:pPr>
              <w:rPr>
                <w:rFonts w:ascii="Arial" w:eastAsia="Times New Roman" w:hAnsi="Arial" w:cs="Arial"/>
                <w:color w:val="000000"/>
                <w:sz w:val="20"/>
                <w:szCs w:val="20"/>
                <w:lang w:eastAsia="en-GB"/>
              </w:rPr>
            </w:pPr>
          </w:p>
          <w:p w14:paraId="744DCBD6" w14:textId="6FBA16B7" w:rsidR="00262389" w:rsidRDefault="00DF3506" w:rsidP="00EE5EEE">
            <w:pPr>
              <w:rPr>
                <w:rFonts w:ascii="Arial" w:eastAsia="Times New Roman" w:hAnsi="Arial" w:cs="Arial"/>
                <w:color w:val="000000"/>
                <w:sz w:val="20"/>
                <w:szCs w:val="20"/>
                <w:lang w:eastAsia="en-GB"/>
              </w:rPr>
            </w:pPr>
            <w:r w:rsidRPr="007406FF">
              <w:rPr>
                <w:rFonts w:ascii="Arial" w:eastAsia="Times New Roman" w:hAnsi="Arial" w:cs="Arial"/>
                <w:color w:val="000000"/>
                <w:sz w:val="20"/>
                <w:szCs w:val="20"/>
                <w:lang w:eastAsia="en-GB"/>
              </w:rPr>
              <w:t xml:space="preserve">Worked with others to help reduce drug-related morbidity and mortality </w:t>
            </w:r>
            <w:r w:rsidRPr="007406FF">
              <w:rPr>
                <w:rFonts w:ascii="Arial" w:eastAsia="Times New Roman" w:hAnsi="Arial" w:cs="Arial"/>
                <w:color w:val="000000"/>
                <w:sz w:val="20"/>
                <w:szCs w:val="20"/>
                <w:lang w:eastAsia="en-GB"/>
              </w:rPr>
              <w:lastRenderedPageBreak/>
              <w:t>through the enhanced understanding of substance use trends and harms across Wales.</w:t>
            </w:r>
            <w:r>
              <w:rPr>
                <w:rFonts w:ascii="Arial" w:eastAsia="Times New Roman" w:hAnsi="Arial" w:cs="Arial"/>
                <w:color w:val="000000"/>
                <w:sz w:val="20"/>
                <w:szCs w:val="20"/>
                <w:lang w:eastAsia="en-GB"/>
              </w:rPr>
              <w:t xml:space="preserve"> </w:t>
            </w:r>
            <w:r w:rsidR="007406FF">
              <w:rPr>
                <w:rFonts w:ascii="Arial" w:eastAsia="Times New Roman" w:hAnsi="Arial" w:cs="Arial"/>
                <w:color w:val="000000"/>
                <w:sz w:val="20"/>
                <w:szCs w:val="20"/>
                <w:lang w:eastAsia="en-GB"/>
              </w:rPr>
              <w:t>(SO5.2)</w:t>
            </w:r>
          </w:p>
          <w:p w14:paraId="3A0BC676" w14:textId="77777777" w:rsidR="008835DD" w:rsidRDefault="008835DD" w:rsidP="00EE5EEE">
            <w:pPr>
              <w:rPr>
                <w:rFonts w:ascii="Arial" w:eastAsia="Times New Roman" w:hAnsi="Arial" w:cs="Arial"/>
                <w:color w:val="000000"/>
                <w:sz w:val="20"/>
                <w:szCs w:val="20"/>
                <w:lang w:eastAsia="en-GB"/>
              </w:rPr>
            </w:pPr>
          </w:p>
          <w:p w14:paraId="7C4BEA61" w14:textId="7BB7A0BC" w:rsidR="008835DD" w:rsidRDefault="008835DD" w:rsidP="00EE5EEE">
            <w:pPr>
              <w:rPr>
                <w:rFonts w:ascii="Arial" w:eastAsia="Times New Roman" w:hAnsi="Arial" w:cs="Arial"/>
                <w:color w:val="000000"/>
                <w:sz w:val="20"/>
                <w:szCs w:val="20"/>
                <w:lang w:eastAsia="en-GB"/>
              </w:rPr>
            </w:pPr>
            <w:r w:rsidRPr="00DB681D">
              <w:rPr>
                <w:rFonts w:ascii="Arial" w:eastAsia="Times New Roman" w:hAnsi="Arial" w:cs="Arial"/>
                <w:color w:val="000000"/>
                <w:sz w:val="20"/>
                <w:szCs w:val="20"/>
                <w:lang w:eastAsia="en-GB"/>
              </w:rPr>
              <w:t>Worked with Welsh Government to finalise the All-Wales TB Action Plan.</w:t>
            </w:r>
            <w:r w:rsidR="00DB681D">
              <w:rPr>
                <w:rFonts w:ascii="Arial" w:eastAsia="Times New Roman" w:hAnsi="Arial" w:cs="Arial"/>
                <w:color w:val="000000"/>
                <w:sz w:val="20"/>
                <w:szCs w:val="20"/>
                <w:lang w:eastAsia="en-GB"/>
              </w:rPr>
              <w:t xml:space="preserve"> </w:t>
            </w:r>
            <w:r w:rsidR="00DB681D" w:rsidRPr="00DB681D">
              <w:rPr>
                <w:rFonts w:ascii="Arial" w:eastAsia="Times New Roman" w:hAnsi="Arial" w:cs="Arial"/>
                <w:color w:val="000000"/>
                <w:sz w:val="20"/>
                <w:szCs w:val="20"/>
                <w:lang w:eastAsia="en-GB"/>
              </w:rPr>
              <w:t>(</w:t>
            </w:r>
            <w:r w:rsidR="00DB681D">
              <w:rPr>
                <w:rFonts w:ascii="Arial" w:eastAsia="Times New Roman" w:hAnsi="Arial" w:cs="Arial"/>
                <w:color w:val="000000"/>
                <w:sz w:val="20"/>
                <w:szCs w:val="20"/>
                <w:lang w:eastAsia="en-GB"/>
              </w:rPr>
              <w:t>SO5.2)</w:t>
            </w:r>
          </w:p>
          <w:p w14:paraId="710ED119" w14:textId="77777777" w:rsidR="00382C9B" w:rsidRDefault="00382C9B" w:rsidP="00EE5EEE">
            <w:pPr>
              <w:rPr>
                <w:rFonts w:ascii="Arial" w:eastAsia="Times New Roman" w:hAnsi="Arial" w:cs="Arial"/>
                <w:color w:val="000000"/>
                <w:sz w:val="20"/>
                <w:szCs w:val="20"/>
                <w:lang w:eastAsia="en-GB"/>
              </w:rPr>
            </w:pPr>
          </w:p>
          <w:p w14:paraId="050A3945" w14:textId="29140F13" w:rsidR="008002AE" w:rsidRDefault="003B749E" w:rsidP="00EE5EEE">
            <w:pPr>
              <w:rPr>
                <w:rFonts w:ascii="Arial" w:eastAsia="Times New Roman" w:hAnsi="Arial" w:cs="Arial"/>
                <w:color w:val="000000"/>
                <w:sz w:val="20"/>
                <w:szCs w:val="20"/>
                <w:lang w:eastAsia="en-GB"/>
              </w:rPr>
            </w:pPr>
            <w:r w:rsidRPr="003B749E">
              <w:rPr>
                <w:rFonts w:ascii="Arial" w:eastAsia="Times New Roman" w:hAnsi="Arial" w:cs="Arial"/>
                <w:color w:val="000000"/>
                <w:sz w:val="20"/>
                <w:szCs w:val="20"/>
                <w:lang w:eastAsia="en-GB"/>
              </w:rPr>
              <w:t>Completed p</w:t>
            </w:r>
            <w:r w:rsidR="008002AE" w:rsidRPr="003B749E">
              <w:rPr>
                <w:rFonts w:ascii="Arial" w:eastAsia="Times New Roman" w:hAnsi="Arial" w:cs="Arial"/>
                <w:color w:val="000000"/>
                <w:sz w:val="20"/>
                <w:szCs w:val="20"/>
                <w:lang w:eastAsia="en-GB"/>
              </w:rPr>
              <w:t>hase 2 of the Active School Travel P</w:t>
            </w:r>
            <w:r w:rsidR="00777F13" w:rsidRPr="003B749E">
              <w:rPr>
                <w:rFonts w:ascii="Arial" w:eastAsia="Times New Roman" w:hAnsi="Arial" w:cs="Arial"/>
                <w:color w:val="000000"/>
                <w:sz w:val="20"/>
                <w:szCs w:val="20"/>
                <w:lang w:eastAsia="en-GB"/>
              </w:rPr>
              <w:t>lace Based Approach Programme.</w:t>
            </w:r>
            <w:r w:rsidRPr="003B749E">
              <w:rPr>
                <w:rFonts w:ascii="Arial" w:eastAsia="Times New Roman" w:hAnsi="Arial" w:cs="Arial"/>
                <w:color w:val="000000"/>
                <w:sz w:val="20"/>
                <w:szCs w:val="20"/>
                <w:lang w:eastAsia="en-GB"/>
              </w:rPr>
              <w:t xml:space="preserve"> (SO3.1)</w:t>
            </w:r>
          </w:p>
          <w:p w14:paraId="2D3CCAD1" w14:textId="77777777" w:rsidR="005053E7" w:rsidRDefault="005053E7" w:rsidP="00EE5EEE">
            <w:pPr>
              <w:rPr>
                <w:rFonts w:ascii="Arial" w:hAnsi="Arial" w:cs="Arial"/>
                <w:sz w:val="20"/>
                <w:szCs w:val="20"/>
              </w:rPr>
            </w:pPr>
          </w:p>
          <w:p w14:paraId="57D19A31" w14:textId="0FF68200" w:rsidR="005544B5" w:rsidRDefault="005544B5" w:rsidP="00EE5EEE">
            <w:pPr>
              <w:rPr>
                <w:rFonts w:ascii="Arial" w:hAnsi="Arial" w:cs="Arial"/>
                <w:sz w:val="20"/>
                <w:szCs w:val="20"/>
              </w:rPr>
            </w:pPr>
            <w:r w:rsidRPr="00633533">
              <w:rPr>
                <w:rFonts w:ascii="Arial" w:hAnsi="Arial" w:cs="Arial"/>
                <w:sz w:val="20"/>
                <w:szCs w:val="20"/>
              </w:rPr>
              <w:t>Developed a process drawing on learning from the Vaping Incident Response Group and the Gambling Related Harm to emerging behaviours and health</w:t>
            </w:r>
            <w:r w:rsidR="00633533">
              <w:rPr>
                <w:rFonts w:ascii="Arial" w:hAnsi="Arial" w:cs="Arial"/>
                <w:sz w:val="20"/>
                <w:szCs w:val="20"/>
              </w:rPr>
              <w:t xml:space="preserve"> (SO3.4)</w:t>
            </w:r>
          </w:p>
          <w:p w14:paraId="1E1CE7B4" w14:textId="77777777" w:rsidR="005544B5" w:rsidRDefault="005544B5" w:rsidP="00EE5EEE">
            <w:pPr>
              <w:rPr>
                <w:rFonts w:ascii="Arial" w:hAnsi="Arial" w:cs="Arial"/>
                <w:sz w:val="20"/>
                <w:szCs w:val="20"/>
              </w:rPr>
            </w:pPr>
          </w:p>
          <w:p w14:paraId="2E591025" w14:textId="633CD095" w:rsidR="005544B5" w:rsidRDefault="005544B5" w:rsidP="00EE5EEE">
            <w:pPr>
              <w:rPr>
                <w:rFonts w:ascii="Arial" w:hAnsi="Arial" w:cs="Arial"/>
                <w:sz w:val="20"/>
                <w:szCs w:val="20"/>
              </w:rPr>
            </w:pPr>
            <w:r w:rsidRPr="00633533">
              <w:rPr>
                <w:rFonts w:ascii="Arial" w:hAnsi="Arial" w:cs="Arial"/>
                <w:sz w:val="20"/>
                <w:szCs w:val="20"/>
              </w:rPr>
              <w:t xml:space="preserve">Defined and described a new NERS delivery approach based on need not specific </w:t>
            </w:r>
            <w:r w:rsidR="00E4111B" w:rsidRPr="00633533">
              <w:rPr>
                <w:rFonts w:ascii="Arial" w:hAnsi="Arial" w:cs="Arial"/>
                <w:sz w:val="20"/>
                <w:szCs w:val="20"/>
              </w:rPr>
              <w:t>conditions</w:t>
            </w:r>
            <w:r w:rsidR="00E4111B">
              <w:rPr>
                <w:rFonts w:ascii="Arial" w:hAnsi="Arial" w:cs="Arial"/>
                <w:sz w:val="20"/>
                <w:szCs w:val="20"/>
              </w:rPr>
              <w:t xml:space="preserve"> </w:t>
            </w:r>
            <w:r w:rsidR="00633533">
              <w:rPr>
                <w:rFonts w:ascii="Arial" w:hAnsi="Arial" w:cs="Arial"/>
                <w:sz w:val="20"/>
                <w:szCs w:val="20"/>
              </w:rPr>
              <w:t>(SO3.4)</w:t>
            </w:r>
          </w:p>
          <w:p w14:paraId="7EAECF70" w14:textId="77777777" w:rsidR="00162E76" w:rsidRPr="003F0D80" w:rsidRDefault="00162E76" w:rsidP="00EE5EEE">
            <w:pPr>
              <w:rPr>
                <w:rFonts w:ascii="Arial" w:hAnsi="Arial" w:cs="Arial"/>
                <w:sz w:val="20"/>
                <w:szCs w:val="20"/>
                <w:highlight w:val="lightGray"/>
              </w:rPr>
            </w:pPr>
          </w:p>
          <w:p w14:paraId="58CF7F79" w14:textId="16A05A8C" w:rsidR="00162E76" w:rsidRPr="00320D5D" w:rsidRDefault="00162E76" w:rsidP="00EE5EEE">
            <w:pPr>
              <w:rPr>
                <w:rFonts w:ascii="Arial" w:hAnsi="Arial" w:cs="Arial"/>
                <w:sz w:val="20"/>
                <w:szCs w:val="20"/>
              </w:rPr>
            </w:pPr>
            <w:r w:rsidRPr="00320D5D">
              <w:rPr>
                <w:rFonts w:ascii="Arial" w:hAnsi="Arial" w:cs="Arial"/>
                <w:sz w:val="20"/>
                <w:szCs w:val="20"/>
              </w:rPr>
              <w:t>Developed guidance and resources for schools and other key stakeholders to engage and support young people in readiness for legislative changes on the sale of tobacco.</w:t>
            </w:r>
            <w:r w:rsidR="00320D5D" w:rsidRPr="00320D5D">
              <w:rPr>
                <w:rFonts w:ascii="Arial" w:hAnsi="Arial" w:cs="Arial"/>
                <w:sz w:val="20"/>
                <w:szCs w:val="20"/>
              </w:rPr>
              <w:t xml:space="preserve"> (SO3.6)</w:t>
            </w:r>
          </w:p>
          <w:p w14:paraId="57B4767C" w14:textId="77777777" w:rsidR="003F0D80" w:rsidRPr="00EE05B1" w:rsidRDefault="003F0D80" w:rsidP="00EE5EEE">
            <w:pPr>
              <w:rPr>
                <w:rFonts w:ascii="Arial" w:hAnsi="Arial" w:cs="Arial"/>
                <w:sz w:val="20"/>
                <w:szCs w:val="20"/>
              </w:rPr>
            </w:pPr>
          </w:p>
          <w:p w14:paraId="0B2528AF" w14:textId="47EEC188" w:rsidR="002C31A5" w:rsidRDefault="003F0D80" w:rsidP="00EE5EEE">
            <w:pPr>
              <w:rPr>
                <w:rFonts w:ascii="Arial" w:hAnsi="Arial" w:cs="Arial"/>
                <w:sz w:val="20"/>
                <w:szCs w:val="20"/>
              </w:rPr>
            </w:pPr>
            <w:r w:rsidRPr="00EE05B1">
              <w:rPr>
                <w:rFonts w:ascii="Arial" w:hAnsi="Arial" w:cs="Arial"/>
                <w:sz w:val="20"/>
                <w:szCs w:val="20"/>
              </w:rPr>
              <w:t xml:space="preserve">Implemented year 1 of the </w:t>
            </w:r>
            <w:r w:rsidR="00F20BF5" w:rsidRPr="00EE05B1">
              <w:rPr>
                <w:rFonts w:ascii="Arial" w:hAnsi="Arial" w:cs="Arial"/>
                <w:sz w:val="20"/>
                <w:szCs w:val="20"/>
              </w:rPr>
              <w:t xml:space="preserve">cross organisational work programme on </w:t>
            </w:r>
            <w:r w:rsidR="00EE05B1" w:rsidRPr="00EE05B1">
              <w:rPr>
                <w:rFonts w:ascii="Arial" w:hAnsi="Arial" w:cs="Arial"/>
                <w:sz w:val="20"/>
                <w:szCs w:val="20"/>
              </w:rPr>
              <w:t>reducing</w:t>
            </w:r>
            <w:r w:rsidRPr="00EE05B1">
              <w:rPr>
                <w:rFonts w:ascii="Arial" w:hAnsi="Arial" w:cs="Arial"/>
                <w:sz w:val="20"/>
                <w:szCs w:val="20"/>
              </w:rPr>
              <w:t xml:space="preserve"> harm </w:t>
            </w:r>
            <w:r w:rsidR="00EE05B1" w:rsidRPr="00EE05B1">
              <w:rPr>
                <w:rFonts w:ascii="Arial" w:hAnsi="Arial" w:cs="Arial"/>
                <w:sz w:val="20"/>
                <w:szCs w:val="20"/>
              </w:rPr>
              <w:t>from drugs and alcohol</w:t>
            </w:r>
            <w:r w:rsidRPr="00EE05B1">
              <w:rPr>
                <w:rFonts w:ascii="Arial" w:hAnsi="Arial" w:cs="Arial"/>
                <w:sz w:val="20"/>
                <w:szCs w:val="20"/>
              </w:rPr>
              <w:t>.</w:t>
            </w:r>
            <w:r w:rsidR="00EE05B1">
              <w:rPr>
                <w:rFonts w:ascii="Arial" w:hAnsi="Arial" w:cs="Arial"/>
                <w:sz w:val="20"/>
                <w:szCs w:val="20"/>
              </w:rPr>
              <w:t xml:space="preserve"> (SO3.6)</w:t>
            </w:r>
          </w:p>
          <w:p w14:paraId="39D96F16" w14:textId="77777777" w:rsidR="00AE6A45" w:rsidRDefault="00AE6A45" w:rsidP="00EE5EEE">
            <w:pPr>
              <w:rPr>
                <w:rFonts w:ascii="Arial" w:hAnsi="Arial" w:cs="Arial"/>
                <w:sz w:val="20"/>
                <w:szCs w:val="20"/>
              </w:rPr>
            </w:pPr>
          </w:p>
          <w:p w14:paraId="28B3BE74" w14:textId="0978E750" w:rsidR="00BC32AC" w:rsidRDefault="00BC32AC" w:rsidP="00EE5EEE">
            <w:pPr>
              <w:rPr>
                <w:rFonts w:ascii="Arial" w:hAnsi="Arial" w:cs="Arial"/>
                <w:sz w:val="20"/>
                <w:szCs w:val="20"/>
              </w:rPr>
            </w:pPr>
            <w:r>
              <w:rPr>
                <w:rFonts w:ascii="Arial" w:hAnsi="Arial" w:cs="Arial"/>
                <w:sz w:val="20"/>
                <w:szCs w:val="20"/>
              </w:rPr>
              <w:t>Implemented year 1 of the gambling related harm reduction programme. (SO3.6)</w:t>
            </w:r>
          </w:p>
          <w:p w14:paraId="40C81D21" w14:textId="56A1757D" w:rsidR="003F0D80" w:rsidRDefault="003F0D80" w:rsidP="00EE5EEE">
            <w:pPr>
              <w:rPr>
                <w:rFonts w:ascii="Arial" w:hAnsi="Arial" w:cs="Arial"/>
                <w:sz w:val="20"/>
                <w:szCs w:val="20"/>
              </w:rPr>
            </w:pPr>
            <w:r>
              <w:rPr>
                <w:rFonts w:ascii="Arial" w:hAnsi="Arial" w:cs="Arial"/>
                <w:sz w:val="20"/>
                <w:szCs w:val="20"/>
              </w:rPr>
              <w:t xml:space="preserve"> </w:t>
            </w:r>
          </w:p>
          <w:p w14:paraId="32C11D93" w14:textId="628CC399" w:rsidR="002711BA" w:rsidRPr="00755EE7" w:rsidRDefault="002711BA" w:rsidP="00F62C58">
            <w:pPr>
              <w:rPr>
                <w:rFonts w:ascii="Arial" w:hAnsi="Arial" w:cs="Arial"/>
                <w:sz w:val="20"/>
                <w:szCs w:val="20"/>
              </w:rPr>
            </w:pPr>
            <w:r w:rsidRPr="00755EE7">
              <w:rPr>
                <w:rFonts w:ascii="Arial" w:hAnsi="Arial" w:cs="Arial"/>
                <w:sz w:val="20"/>
                <w:szCs w:val="20"/>
              </w:rPr>
              <w:t xml:space="preserve">Supported a public health approach to revision of the Healthy Eating Schools Regulations. </w:t>
            </w:r>
            <w:r w:rsidR="00755EE7" w:rsidRPr="00755EE7">
              <w:rPr>
                <w:rFonts w:ascii="Arial" w:hAnsi="Arial" w:cs="Arial"/>
                <w:sz w:val="20"/>
                <w:szCs w:val="20"/>
              </w:rPr>
              <w:t>(SO3.7)</w:t>
            </w:r>
          </w:p>
          <w:p w14:paraId="288F1D43" w14:textId="09EFD747" w:rsidR="00C63DFA" w:rsidRPr="006C23D8" w:rsidRDefault="00C63DFA" w:rsidP="001576C1">
            <w:pPr>
              <w:rPr>
                <w:rFonts w:ascii="Arial" w:hAnsi="Arial" w:cs="Arial"/>
                <w:sz w:val="20"/>
                <w:szCs w:val="20"/>
              </w:rPr>
            </w:pPr>
          </w:p>
        </w:tc>
      </w:tr>
      <w:tr w:rsidR="00703F63" w:rsidRPr="000C3B7B" w14:paraId="5D388724" w14:textId="77777777" w:rsidTr="002F4D40">
        <w:tc>
          <w:tcPr>
            <w:tcW w:w="5000" w:type="pct"/>
            <w:gridSpan w:val="10"/>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C43DBC" w14:textId="77777777" w:rsidR="00703F63" w:rsidRDefault="00703F63" w:rsidP="002F4D40">
            <w:pPr>
              <w:rPr>
                <w:rFonts w:ascii="Arial" w:hAnsi="Arial" w:cs="Arial"/>
                <w:b/>
                <w:bCs/>
              </w:rPr>
            </w:pPr>
            <w:r w:rsidRPr="003A420C">
              <w:rPr>
                <w:rFonts w:ascii="Arial" w:hAnsi="Arial" w:cs="Arial"/>
                <w:b/>
                <w:bCs/>
              </w:rPr>
              <w:lastRenderedPageBreak/>
              <w:t>Overarching outcome measures/ metrics:</w:t>
            </w:r>
          </w:p>
          <w:p w14:paraId="4BDD3536" w14:textId="77777777" w:rsidR="006018C6" w:rsidRDefault="006018C6" w:rsidP="006018C6">
            <w:pPr>
              <w:rPr>
                <w:rFonts w:ascii="Arial" w:hAnsi="Arial" w:cs="Arial"/>
                <w:b/>
                <w:bCs/>
              </w:rPr>
            </w:pPr>
          </w:p>
          <w:p w14:paraId="54C2AFC0" w14:textId="648A2C99" w:rsidR="006018C6" w:rsidRPr="005E372F" w:rsidRDefault="006018C6" w:rsidP="005E372F">
            <w:pPr>
              <w:rPr>
                <w:rFonts w:ascii="Arial" w:hAnsi="Arial" w:cs="Arial"/>
              </w:rPr>
            </w:pPr>
            <w:r w:rsidRPr="00D745C0">
              <w:rPr>
                <w:rFonts w:ascii="Arial" w:hAnsi="Arial" w:cs="Arial"/>
              </w:rPr>
              <w:t>We will work to support the achievement of the following systems wide outcomes:</w:t>
            </w:r>
          </w:p>
          <w:p w14:paraId="7D284899" w14:textId="77777777" w:rsidR="008A6A73" w:rsidRPr="005E372F" w:rsidRDefault="008A6A73" w:rsidP="008A6A73">
            <w:pPr>
              <w:pStyle w:val="NormalText"/>
              <w:numPr>
                <w:ilvl w:val="0"/>
                <w:numId w:val="26"/>
              </w:numPr>
              <w:spacing w:before="240" w:after="0"/>
              <w:ind w:right="-249"/>
              <w:jc w:val="both"/>
              <w:rPr>
                <w:rFonts w:ascii="Arial" w:hAnsi="Arial" w:cs="Arial"/>
                <w:b/>
                <w:bCs/>
                <w:color w:val="FF0000"/>
                <w:sz w:val="22"/>
              </w:rPr>
            </w:pPr>
            <w:r w:rsidRPr="005E372F">
              <w:rPr>
                <w:rFonts w:ascii="Arial" w:eastAsia="Times New Roman" w:hAnsi="Arial" w:cs="Arial"/>
                <w:b/>
                <w:sz w:val="22"/>
              </w:rPr>
              <w:t xml:space="preserve">Increased proportion of the population with healthy weight </w:t>
            </w:r>
            <w:r w:rsidRPr="005E372F">
              <w:rPr>
                <w:rFonts w:ascii="Arial" w:eastAsia="Times New Roman" w:hAnsi="Arial" w:cs="Arial"/>
                <w:b/>
                <w:bCs/>
                <w:sz w:val="22"/>
              </w:rPr>
              <w:t>(</w:t>
            </w:r>
            <w:r w:rsidRPr="005E372F">
              <w:rPr>
                <w:rFonts w:ascii="Arial" w:eastAsia="Times New Roman" w:hAnsi="Arial" w:cs="Arial"/>
                <w:b/>
                <w:sz w:val="22"/>
              </w:rPr>
              <w:t>2022/23, 36.1% of working age adults (16-64) reported a BMI between 18.5 and 25</w:t>
            </w:r>
            <w:r w:rsidRPr="005E372F">
              <w:rPr>
                <w:rFonts w:ascii="Arial" w:eastAsia="Times New Roman" w:hAnsi="Arial" w:cs="Arial"/>
                <w:b/>
                <w:bCs/>
                <w:sz w:val="22"/>
              </w:rPr>
              <w:t xml:space="preserve">) </w:t>
            </w:r>
          </w:p>
          <w:p w14:paraId="39620EA9" w14:textId="4E5C7067" w:rsidR="008A6A73" w:rsidRPr="0059617B" w:rsidRDefault="008A6A73" w:rsidP="0059617B">
            <w:pPr>
              <w:pStyle w:val="NormalText"/>
              <w:numPr>
                <w:ilvl w:val="0"/>
                <w:numId w:val="26"/>
              </w:numPr>
              <w:spacing w:before="240" w:after="0"/>
              <w:ind w:right="-249"/>
              <w:jc w:val="both"/>
              <w:rPr>
                <w:rFonts w:ascii="Arial" w:hAnsi="Arial" w:cs="Arial"/>
                <w:b/>
                <w:color w:val="FF0000"/>
                <w:sz w:val="22"/>
              </w:rPr>
            </w:pPr>
            <w:r w:rsidRPr="005E372F">
              <w:rPr>
                <w:rFonts w:ascii="Arial" w:eastAsia="Times New Roman" w:hAnsi="Arial" w:cs="Arial"/>
                <w:b/>
                <w:sz w:val="22"/>
              </w:rPr>
              <w:t xml:space="preserve">Increased proportion of the population meeting physical activity guidelines </w:t>
            </w:r>
            <w:r w:rsidRPr="005E372F">
              <w:rPr>
                <w:rFonts w:ascii="Arial" w:eastAsia="Times New Roman" w:hAnsi="Arial" w:cs="Arial"/>
                <w:b/>
                <w:bCs/>
                <w:sz w:val="22"/>
              </w:rPr>
              <w:t>(2022/23, 55.4% of adults did</w:t>
            </w:r>
            <w:r w:rsidRPr="005E372F">
              <w:rPr>
                <w:rFonts w:ascii="Arial" w:eastAsia="Times New Roman" w:hAnsi="Arial" w:cs="Arial"/>
                <w:b/>
                <w:sz w:val="22"/>
              </w:rPr>
              <w:t xml:space="preserve"> 150 minutes </w:t>
            </w:r>
            <w:r w:rsidRPr="005E372F">
              <w:rPr>
                <w:rFonts w:ascii="Arial" w:eastAsia="Times New Roman" w:hAnsi="Arial" w:cs="Arial"/>
                <w:b/>
                <w:bCs/>
                <w:sz w:val="22"/>
              </w:rPr>
              <w:t>of</w:t>
            </w:r>
            <w:r w:rsidRPr="005E372F">
              <w:rPr>
                <w:rFonts w:ascii="Arial" w:eastAsia="Times New Roman" w:hAnsi="Arial" w:cs="Arial"/>
                <w:b/>
                <w:sz w:val="22"/>
              </w:rPr>
              <w:t xml:space="preserve"> moderate or vigorous physical activity each week</w:t>
            </w:r>
            <w:r w:rsidRPr="005E372F">
              <w:rPr>
                <w:rFonts w:ascii="Arial" w:eastAsia="Times New Roman" w:hAnsi="Arial" w:cs="Arial"/>
                <w:b/>
                <w:bCs/>
                <w:sz w:val="22"/>
              </w:rPr>
              <w:t>.)</w:t>
            </w:r>
            <w:r w:rsidRPr="0059617B">
              <w:rPr>
                <w:rFonts w:ascii="Arial" w:eastAsia="Times New Roman" w:hAnsi="Arial" w:cs="Arial"/>
                <w:sz w:val="22"/>
              </w:rPr>
              <w:t xml:space="preserve">. </w:t>
            </w:r>
          </w:p>
          <w:p w14:paraId="02804F4A" w14:textId="63E5B5AD" w:rsidR="008A6A73" w:rsidRPr="0059617B" w:rsidRDefault="008A6A73" w:rsidP="0059617B">
            <w:pPr>
              <w:pStyle w:val="NormalText"/>
              <w:numPr>
                <w:ilvl w:val="0"/>
                <w:numId w:val="26"/>
              </w:numPr>
              <w:spacing w:before="240" w:after="0"/>
              <w:ind w:right="-249"/>
              <w:jc w:val="both"/>
              <w:rPr>
                <w:rFonts w:ascii="Arial" w:hAnsi="Arial" w:cs="Arial"/>
                <w:b/>
                <w:color w:val="FF0000"/>
                <w:sz w:val="22"/>
              </w:rPr>
            </w:pPr>
            <w:r w:rsidRPr="005E372F">
              <w:rPr>
                <w:rFonts w:ascii="Arial" w:eastAsia="Times New Roman" w:hAnsi="Arial" w:cs="Arial"/>
                <w:b/>
                <w:sz w:val="22"/>
              </w:rPr>
              <w:lastRenderedPageBreak/>
              <w:t>Reduced smoking prevalence (2022/23, 12.8% of adults reported smoking daily or occasionally</w:t>
            </w:r>
            <w:r w:rsidRPr="005E372F">
              <w:rPr>
                <w:rStyle w:val="FootnoteReference"/>
                <w:rFonts w:ascii="Arial" w:eastAsia="Times New Roman" w:hAnsi="Arial" w:cs="Arial"/>
                <w:b/>
                <w:sz w:val="22"/>
              </w:rPr>
              <w:footnoteReference w:id="5"/>
            </w:r>
            <w:r w:rsidRPr="005E372F">
              <w:rPr>
                <w:rFonts w:ascii="Arial" w:eastAsia="Times New Roman" w:hAnsi="Arial" w:cs="Arial"/>
                <w:b/>
                <w:bCs/>
                <w:sz w:val="22"/>
              </w:rPr>
              <w:t>.)</w:t>
            </w:r>
            <w:r w:rsidRPr="005E372F">
              <w:rPr>
                <w:rFonts w:ascii="Arial" w:eastAsia="Times New Roman" w:hAnsi="Arial" w:cs="Arial"/>
                <w:sz w:val="22"/>
              </w:rPr>
              <w:t xml:space="preserve"> </w:t>
            </w:r>
            <w:r w:rsidRPr="0059617B">
              <w:rPr>
                <w:rFonts w:ascii="Arial" w:eastAsia="Times New Roman" w:hAnsi="Arial" w:cs="Arial"/>
                <w:sz w:val="22"/>
              </w:rPr>
              <w:t xml:space="preserve"> </w:t>
            </w:r>
          </w:p>
          <w:p w14:paraId="55815220" w14:textId="38BDFDB8" w:rsidR="00703F63" w:rsidRPr="0059617B" w:rsidRDefault="005E372F" w:rsidP="0059617B">
            <w:pPr>
              <w:pStyle w:val="NormalText"/>
              <w:numPr>
                <w:ilvl w:val="0"/>
                <w:numId w:val="26"/>
              </w:numPr>
              <w:spacing w:before="240" w:after="0"/>
              <w:ind w:right="-249"/>
              <w:jc w:val="both"/>
              <w:rPr>
                <w:rFonts w:ascii="Arial" w:hAnsi="Arial" w:cs="Arial"/>
                <w:b/>
                <w:color w:val="FF0000"/>
                <w:sz w:val="22"/>
              </w:rPr>
            </w:pPr>
            <w:r w:rsidRPr="005E372F">
              <w:rPr>
                <w:rFonts w:ascii="Arial" w:eastAsia="Times New Roman" w:hAnsi="Arial" w:cs="Arial"/>
                <w:b/>
                <w:sz w:val="22"/>
              </w:rPr>
              <w:t>Reduced harmful alcohol consumption (2022/23, 17.2% of adults aged 16+ reported drinking above guidelines – more than 14 units per week</w:t>
            </w:r>
            <w:r w:rsidRPr="005E372F">
              <w:rPr>
                <w:rStyle w:val="FootnoteReference"/>
                <w:rFonts w:ascii="Arial" w:eastAsia="Times New Roman" w:hAnsi="Arial" w:cs="Arial"/>
                <w:b/>
                <w:sz w:val="22"/>
              </w:rPr>
              <w:footnoteReference w:id="6"/>
            </w:r>
            <w:r w:rsidRPr="005E372F">
              <w:rPr>
                <w:rFonts w:ascii="Arial" w:eastAsia="Times New Roman" w:hAnsi="Arial" w:cs="Arial"/>
                <w:b/>
                <w:sz w:val="22"/>
              </w:rPr>
              <w:t>.)</w:t>
            </w:r>
            <w:r w:rsidRPr="005E372F">
              <w:rPr>
                <w:rFonts w:ascii="Arial" w:eastAsia="Times New Roman" w:hAnsi="Arial" w:cs="Arial"/>
                <w:sz w:val="22"/>
              </w:rPr>
              <w:t xml:space="preserve"> </w:t>
            </w:r>
          </w:p>
        </w:tc>
      </w:tr>
      <w:tr w:rsidR="00521C0C" w:rsidRPr="000C3B7B" w14:paraId="0D074021" w14:textId="77777777" w:rsidTr="002F4D40">
        <w:trPr>
          <w:trHeight w:val="370"/>
        </w:trPr>
        <w:tc>
          <w:tcPr>
            <w:tcW w:w="998" w:type="pct"/>
            <w:vMerge w:val="restart"/>
            <w:tcBorders>
              <w:top w:val="single" w:sz="4" w:space="0" w:color="auto"/>
              <w:left w:val="single" w:sz="4" w:space="0" w:color="auto"/>
              <w:right w:val="single" w:sz="4" w:space="0" w:color="auto"/>
            </w:tcBorders>
            <w:shd w:val="clear" w:color="auto" w:fill="FFE599" w:themeFill="accent4" w:themeFillTint="66"/>
            <w:vAlign w:val="center"/>
          </w:tcPr>
          <w:p w14:paraId="3C82C468" w14:textId="77777777" w:rsidR="00703F63" w:rsidRPr="000C3B7B" w:rsidRDefault="00703F63" w:rsidP="002F4D40">
            <w:pPr>
              <w:rPr>
                <w:rFonts w:ascii="Arial" w:hAnsi="Arial" w:cs="Arial"/>
                <w:b/>
              </w:rPr>
            </w:pPr>
            <w:r>
              <w:rPr>
                <w:rFonts w:ascii="Arial" w:hAnsi="Arial" w:cs="Arial"/>
                <w:b/>
              </w:rPr>
              <w:lastRenderedPageBreak/>
              <w:t>Risks</w:t>
            </w:r>
          </w:p>
        </w:tc>
        <w:tc>
          <w:tcPr>
            <w:tcW w:w="1785" w:type="pct"/>
            <w:gridSpan w:val="6"/>
            <w:tcBorders>
              <w:top w:val="single" w:sz="4" w:space="0" w:color="auto"/>
              <w:left w:val="single" w:sz="4" w:space="0" w:color="auto"/>
              <w:right w:val="single" w:sz="4" w:space="0" w:color="auto"/>
            </w:tcBorders>
            <w:shd w:val="clear" w:color="auto" w:fill="FFE599" w:themeFill="accent4" w:themeFillTint="66"/>
            <w:vAlign w:val="center"/>
          </w:tcPr>
          <w:p w14:paraId="7FB5AB8F" w14:textId="77777777" w:rsidR="00703F63" w:rsidRPr="000C3B7B" w:rsidRDefault="00703F63" w:rsidP="002F4D40">
            <w:pPr>
              <w:rPr>
                <w:rFonts w:ascii="Arial" w:hAnsi="Arial" w:cs="Arial"/>
                <w:b/>
              </w:rPr>
            </w:pPr>
            <w:r w:rsidRPr="000C3B7B">
              <w:rPr>
                <w:rFonts w:ascii="Arial" w:hAnsi="Arial" w:cs="Arial"/>
                <w:b/>
              </w:rPr>
              <w:t xml:space="preserve">Risks </w:t>
            </w:r>
            <w:r>
              <w:rPr>
                <w:rFonts w:ascii="Arial" w:hAnsi="Arial" w:cs="Arial"/>
                <w:b/>
              </w:rPr>
              <w:t xml:space="preserve">of </w:t>
            </w:r>
            <w:proofErr w:type="gramStart"/>
            <w:r w:rsidRPr="000C3B7B">
              <w:rPr>
                <w:rFonts w:ascii="Arial" w:hAnsi="Arial" w:cs="Arial"/>
                <w:b/>
              </w:rPr>
              <w:t>Non-Delivery</w:t>
            </w:r>
            <w:proofErr w:type="gramEnd"/>
          </w:p>
        </w:tc>
        <w:tc>
          <w:tcPr>
            <w:tcW w:w="2217" w:type="pct"/>
            <w:gridSpan w:val="3"/>
            <w:tcBorders>
              <w:top w:val="single" w:sz="4" w:space="0" w:color="auto"/>
              <w:left w:val="single" w:sz="4" w:space="0" w:color="auto"/>
              <w:right w:val="single" w:sz="4" w:space="0" w:color="auto"/>
            </w:tcBorders>
            <w:shd w:val="clear" w:color="auto" w:fill="FFE599" w:themeFill="accent4" w:themeFillTint="66"/>
            <w:vAlign w:val="center"/>
          </w:tcPr>
          <w:p w14:paraId="77838EB9" w14:textId="77777777" w:rsidR="00703F63" w:rsidRPr="000C3B7B" w:rsidRDefault="00703F63" w:rsidP="002F4D40">
            <w:pPr>
              <w:rPr>
                <w:rFonts w:ascii="Arial" w:hAnsi="Arial" w:cs="Arial"/>
                <w:b/>
              </w:rPr>
            </w:pPr>
            <w:r w:rsidRPr="000C3B7B">
              <w:rPr>
                <w:rFonts w:ascii="Arial" w:hAnsi="Arial" w:cs="Arial"/>
                <w:b/>
              </w:rPr>
              <w:t>Mitigations</w:t>
            </w:r>
          </w:p>
        </w:tc>
      </w:tr>
      <w:tr w:rsidR="0059617B" w:rsidRPr="000C3B7B" w14:paraId="69001359" w14:textId="77777777" w:rsidTr="0059617B">
        <w:trPr>
          <w:trHeight w:val="370"/>
        </w:trPr>
        <w:tc>
          <w:tcPr>
            <w:tcW w:w="998" w:type="pct"/>
            <w:vMerge/>
            <w:tcBorders>
              <w:left w:val="single" w:sz="4" w:space="0" w:color="auto"/>
              <w:right w:val="single" w:sz="4" w:space="0" w:color="auto"/>
            </w:tcBorders>
            <w:shd w:val="clear" w:color="auto" w:fill="FFE599" w:themeFill="accent4" w:themeFillTint="66"/>
            <w:vAlign w:val="center"/>
          </w:tcPr>
          <w:p w14:paraId="6A33DB46" w14:textId="77777777" w:rsidR="0059617B" w:rsidRPr="000C3B7B" w:rsidRDefault="0059617B" w:rsidP="002F4D40">
            <w:pPr>
              <w:rPr>
                <w:rFonts w:ascii="Arial" w:hAnsi="Arial" w:cs="Arial"/>
                <w:b/>
              </w:rPr>
            </w:pPr>
          </w:p>
        </w:tc>
        <w:tc>
          <w:tcPr>
            <w:tcW w:w="4002" w:type="pct"/>
            <w:gridSpan w:val="9"/>
            <w:tcBorders>
              <w:top w:val="single" w:sz="4" w:space="0" w:color="auto"/>
              <w:left w:val="single" w:sz="4" w:space="0" w:color="auto"/>
              <w:right w:val="single" w:sz="4" w:space="0" w:color="auto"/>
            </w:tcBorders>
            <w:shd w:val="clear" w:color="auto" w:fill="FFF2CC" w:themeFill="accent4" w:themeFillTint="33"/>
            <w:vAlign w:val="center"/>
          </w:tcPr>
          <w:p w14:paraId="7A5D512D" w14:textId="15B27955" w:rsidR="0059617B" w:rsidRPr="000C3B7B" w:rsidRDefault="0059617B" w:rsidP="002F4D40">
            <w:pPr>
              <w:rPr>
                <w:rFonts w:ascii="Arial" w:hAnsi="Arial" w:cs="Arial"/>
                <w:b/>
              </w:rPr>
            </w:pPr>
            <w:r w:rsidRPr="00674F4A">
              <w:rPr>
                <w:rFonts w:ascii="Arial" w:hAnsi="Arial" w:cs="Arial"/>
                <w:bCs/>
              </w:rPr>
              <w:t xml:space="preserve">Detail on our refreshed strategic risks that have been identified is provided within our Risk section of our IMTP (section </w:t>
            </w:r>
            <w:r>
              <w:rPr>
                <w:rFonts w:ascii="Arial" w:hAnsi="Arial" w:cs="Arial"/>
                <w:bCs/>
              </w:rPr>
              <w:t>4.4)</w:t>
            </w:r>
          </w:p>
        </w:tc>
      </w:tr>
      <w:tr w:rsidR="00703F63" w:rsidRPr="000C3B7B" w14:paraId="3FE5AF29" w14:textId="77777777" w:rsidTr="002F4D40">
        <w:trPr>
          <w:trHeight w:val="370"/>
        </w:trPr>
        <w:tc>
          <w:tcPr>
            <w:tcW w:w="998" w:type="pct"/>
            <w:vMerge w:val="restart"/>
            <w:tcBorders>
              <w:top w:val="single" w:sz="4" w:space="0" w:color="auto"/>
              <w:left w:val="single" w:sz="4" w:space="0" w:color="auto"/>
              <w:right w:val="single" w:sz="4" w:space="0" w:color="auto"/>
            </w:tcBorders>
            <w:shd w:val="clear" w:color="auto" w:fill="FFE599" w:themeFill="accent4" w:themeFillTint="66"/>
            <w:vAlign w:val="center"/>
          </w:tcPr>
          <w:p w14:paraId="3FD7A32B" w14:textId="77777777" w:rsidR="00703F63" w:rsidRPr="000C3B7B" w:rsidRDefault="00703F63" w:rsidP="002F4D40">
            <w:pPr>
              <w:rPr>
                <w:rFonts w:ascii="Arial" w:hAnsi="Arial" w:cs="Arial"/>
                <w:b/>
              </w:rPr>
            </w:pPr>
            <w:r w:rsidRPr="000C3B7B">
              <w:rPr>
                <w:rFonts w:ascii="Arial" w:hAnsi="Arial" w:cs="Arial"/>
                <w:b/>
              </w:rPr>
              <w:t>Critical Enablers</w:t>
            </w:r>
          </w:p>
        </w:tc>
        <w:tc>
          <w:tcPr>
            <w:tcW w:w="4002" w:type="pct"/>
            <w:gridSpan w:val="9"/>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E9B890E" w14:textId="77777777" w:rsidR="00703F63" w:rsidRPr="000C3B7B" w:rsidRDefault="00703F63" w:rsidP="002F4D40">
            <w:pPr>
              <w:rPr>
                <w:rFonts w:ascii="Arial" w:hAnsi="Arial" w:cs="Arial"/>
                <w:b/>
              </w:rPr>
            </w:pPr>
            <w:r w:rsidRPr="000C3B7B">
              <w:rPr>
                <w:rFonts w:ascii="Arial" w:hAnsi="Arial" w:cs="Arial"/>
                <w:b/>
              </w:rPr>
              <w:t xml:space="preserve">Finance </w:t>
            </w:r>
          </w:p>
        </w:tc>
      </w:tr>
      <w:tr w:rsidR="00703F63" w:rsidRPr="000C3B7B" w14:paraId="3FD15381" w14:textId="77777777" w:rsidTr="002F4D40">
        <w:trPr>
          <w:trHeight w:val="370"/>
        </w:trPr>
        <w:tc>
          <w:tcPr>
            <w:tcW w:w="998" w:type="pct"/>
            <w:vMerge/>
            <w:tcBorders>
              <w:left w:val="single" w:sz="4" w:space="0" w:color="auto"/>
              <w:right w:val="single" w:sz="4" w:space="0" w:color="auto"/>
            </w:tcBorders>
            <w:shd w:val="clear" w:color="auto" w:fill="FFE599" w:themeFill="accent4" w:themeFillTint="66"/>
            <w:vAlign w:val="center"/>
          </w:tcPr>
          <w:p w14:paraId="697D7FE6" w14:textId="77777777" w:rsidR="00703F63" w:rsidRPr="000C3B7B" w:rsidRDefault="00703F63" w:rsidP="002F4D40">
            <w:pPr>
              <w:rPr>
                <w:rFonts w:ascii="Arial" w:hAnsi="Arial" w:cs="Arial"/>
                <w:bCs/>
              </w:rPr>
            </w:pPr>
          </w:p>
        </w:tc>
        <w:tc>
          <w:tcPr>
            <w:tcW w:w="4002" w:type="pct"/>
            <w:gridSpan w:val="9"/>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EA089C0" w14:textId="21860242" w:rsidR="00703F63" w:rsidRDefault="002B21FB" w:rsidP="002F4D40">
            <w:pPr>
              <w:rPr>
                <w:rFonts w:ascii="Arial" w:hAnsi="Arial" w:cs="Arial"/>
                <w:bCs/>
              </w:rPr>
            </w:pPr>
            <w:r w:rsidRPr="002B21FB">
              <w:rPr>
                <w:rFonts w:ascii="Arial" w:hAnsi="Arial" w:cs="Arial"/>
                <w:bCs/>
              </w:rPr>
              <w:t>Detail on finance is provided within the Finance section of our IMTP (section 4.1)</w:t>
            </w:r>
          </w:p>
        </w:tc>
      </w:tr>
      <w:tr w:rsidR="00703F63" w:rsidRPr="000C3B7B" w14:paraId="3857BC52" w14:textId="77777777" w:rsidTr="002F4D40">
        <w:trPr>
          <w:trHeight w:val="370"/>
        </w:trPr>
        <w:tc>
          <w:tcPr>
            <w:tcW w:w="998" w:type="pct"/>
            <w:vMerge/>
            <w:tcBorders>
              <w:left w:val="single" w:sz="4" w:space="0" w:color="auto"/>
              <w:right w:val="single" w:sz="4" w:space="0" w:color="auto"/>
            </w:tcBorders>
            <w:shd w:val="clear" w:color="auto" w:fill="FFE599" w:themeFill="accent4" w:themeFillTint="66"/>
            <w:vAlign w:val="center"/>
          </w:tcPr>
          <w:p w14:paraId="5C7D6403" w14:textId="77777777" w:rsidR="00703F63" w:rsidRPr="000C3B7B" w:rsidRDefault="00703F63" w:rsidP="002F4D40">
            <w:pPr>
              <w:rPr>
                <w:rFonts w:ascii="Arial" w:hAnsi="Arial" w:cs="Arial"/>
                <w:bCs/>
              </w:rPr>
            </w:pPr>
          </w:p>
        </w:tc>
        <w:tc>
          <w:tcPr>
            <w:tcW w:w="4002" w:type="pct"/>
            <w:gridSpan w:val="9"/>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172B35C" w14:textId="77777777" w:rsidR="00703F63" w:rsidRPr="000C3B7B" w:rsidRDefault="00703F63" w:rsidP="002F4D40">
            <w:pPr>
              <w:rPr>
                <w:rFonts w:ascii="Arial" w:hAnsi="Arial" w:cs="Arial"/>
                <w:b/>
              </w:rPr>
            </w:pPr>
            <w:r w:rsidRPr="000C3B7B">
              <w:rPr>
                <w:rFonts w:ascii="Arial" w:hAnsi="Arial" w:cs="Arial"/>
                <w:b/>
              </w:rPr>
              <w:t>Workforce</w:t>
            </w:r>
          </w:p>
        </w:tc>
      </w:tr>
      <w:tr w:rsidR="00703F63" w:rsidRPr="000C3B7B" w14:paraId="00F867C8" w14:textId="77777777" w:rsidTr="002F4D40">
        <w:trPr>
          <w:trHeight w:val="370"/>
        </w:trPr>
        <w:tc>
          <w:tcPr>
            <w:tcW w:w="998" w:type="pct"/>
            <w:vMerge/>
            <w:tcBorders>
              <w:left w:val="single" w:sz="4" w:space="0" w:color="auto"/>
              <w:right w:val="single" w:sz="4" w:space="0" w:color="auto"/>
            </w:tcBorders>
            <w:shd w:val="clear" w:color="auto" w:fill="FFE599" w:themeFill="accent4" w:themeFillTint="66"/>
            <w:vAlign w:val="center"/>
          </w:tcPr>
          <w:p w14:paraId="18E05ED9" w14:textId="77777777" w:rsidR="00703F63" w:rsidRPr="000C3B7B" w:rsidRDefault="00703F63" w:rsidP="002F4D40">
            <w:pPr>
              <w:rPr>
                <w:rFonts w:ascii="Arial" w:hAnsi="Arial" w:cs="Arial"/>
                <w:bCs/>
              </w:rPr>
            </w:pPr>
          </w:p>
        </w:tc>
        <w:tc>
          <w:tcPr>
            <w:tcW w:w="4002" w:type="pct"/>
            <w:gridSpan w:val="9"/>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2A36220" w14:textId="16464C8A" w:rsidR="00703F63" w:rsidRDefault="002B21FB" w:rsidP="002F4D40">
            <w:pPr>
              <w:rPr>
                <w:rFonts w:ascii="Arial" w:hAnsi="Arial" w:cs="Arial"/>
                <w:bCs/>
              </w:rPr>
            </w:pPr>
            <w:r w:rsidRPr="002B21FB">
              <w:rPr>
                <w:rFonts w:ascii="Arial" w:hAnsi="Arial" w:cs="Arial"/>
                <w:bCs/>
              </w:rPr>
              <w:t>Detail on our workforce developments is set out within the Workforce section of our IMTP (section 4.3)</w:t>
            </w:r>
          </w:p>
        </w:tc>
      </w:tr>
      <w:tr w:rsidR="00703F63" w:rsidRPr="000C3B7B" w14:paraId="0C57735F" w14:textId="77777777" w:rsidTr="002F4D40">
        <w:trPr>
          <w:trHeight w:val="370"/>
        </w:trPr>
        <w:tc>
          <w:tcPr>
            <w:tcW w:w="998" w:type="pct"/>
            <w:vMerge/>
            <w:tcBorders>
              <w:left w:val="single" w:sz="4" w:space="0" w:color="auto"/>
              <w:right w:val="single" w:sz="4" w:space="0" w:color="auto"/>
            </w:tcBorders>
            <w:shd w:val="clear" w:color="auto" w:fill="FFE599" w:themeFill="accent4" w:themeFillTint="66"/>
            <w:vAlign w:val="center"/>
          </w:tcPr>
          <w:p w14:paraId="54B20466" w14:textId="77777777" w:rsidR="00703F63" w:rsidRPr="000C3B7B" w:rsidRDefault="00703F63" w:rsidP="002F4D40">
            <w:pPr>
              <w:rPr>
                <w:rFonts w:ascii="Arial" w:hAnsi="Arial" w:cs="Arial"/>
                <w:bCs/>
              </w:rPr>
            </w:pPr>
          </w:p>
        </w:tc>
        <w:tc>
          <w:tcPr>
            <w:tcW w:w="4002" w:type="pct"/>
            <w:gridSpan w:val="9"/>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C5FA55B" w14:textId="77777777" w:rsidR="00703F63" w:rsidRPr="000C3B7B" w:rsidRDefault="00703F63" w:rsidP="002F4D40">
            <w:pPr>
              <w:ind w:right="-269"/>
              <w:rPr>
                <w:rFonts w:ascii="Arial" w:hAnsi="Arial" w:cs="Arial"/>
                <w:b/>
              </w:rPr>
            </w:pPr>
            <w:r w:rsidRPr="000C3B7B">
              <w:rPr>
                <w:rFonts w:ascii="Arial" w:hAnsi="Arial" w:cs="Arial"/>
                <w:b/>
              </w:rPr>
              <w:t xml:space="preserve">Digital </w:t>
            </w:r>
          </w:p>
        </w:tc>
      </w:tr>
      <w:tr w:rsidR="00703F63" w:rsidRPr="000C3B7B" w14:paraId="2F12EFE5" w14:textId="77777777" w:rsidTr="002F4D40">
        <w:trPr>
          <w:trHeight w:val="370"/>
        </w:trPr>
        <w:tc>
          <w:tcPr>
            <w:tcW w:w="998" w:type="pct"/>
            <w:vMerge/>
            <w:tcBorders>
              <w:left w:val="single" w:sz="4" w:space="0" w:color="auto"/>
              <w:right w:val="single" w:sz="4" w:space="0" w:color="auto"/>
            </w:tcBorders>
            <w:shd w:val="clear" w:color="auto" w:fill="FFE599" w:themeFill="accent4" w:themeFillTint="66"/>
            <w:vAlign w:val="center"/>
          </w:tcPr>
          <w:p w14:paraId="11F1B8CA" w14:textId="77777777" w:rsidR="00703F63" w:rsidRPr="000C3B7B" w:rsidRDefault="00703F63" w:rsidP="002F4D40">
            <w:pPr>
              <w:rPr>
                <w:rFonts w:ascii="Arial" w:hAnsi="Arial" w:cs="Arial"/>
                <w:bCs/>
              </w:rPr>
            </w:pPr>
          </w:p>
        </w:tc>
        <w:tc>
          <w:tcPr>
            <w:tcW w:w="4002" w:type="pct"/>
            <w:gridSpan w:val="9"/>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4AD67B" w14:textId="1417E25E" w:rsidR="00703F63" w:rsidRDefault="002B21FB" w:rsidP="002F4D40">
            <w:pPr>
              <w:rPr>
                <w:rFonts w:ascii="Arial" w:hAnsi="Arial" w:cs="Arial"/>
                <w:bCs/>
              </w:rPr>
            </w:pPr>
            <w:r w:rsidRPr="002B21FB">
              <w:rPr>
                <w:rFonts w:ascii="Arial" w:hAnsi="Arial" w:cs="Arial"/>
                <w:bCs/>
              </w:rPr>
              <w:t>Detail on key digital developments, including financial implications, is set out within the Digital section of our IMT</w:t>
            </w:r>
            <w:r>
              <w:rPr>
                <w:rFonts w:ascii="Arial" w:hAnsi="Arial" w:cs="Arial"/>
                <w:bCs/>
              </w:rPr>
              <w:t>P</w:t>
            </w:r>
            <w:r w:rsidRPr="002B21FB">
              <w:rPr>
                <w:rFonts w:ascii="Arial" w:hAnsi="Arial" w:cs="Arial"/>
                <w:bCs/>
              </w:rPr>
              <w:t xml:space="preserve"> (section 4.2)</w:t>
            </w:r>
          </w:p>
        </w:tc>
      </w:tr>
      <w:tr w:rsidR="00703F63" w:rsidRPr="000C3B7B" w14:paraId="64C9AB21" w14:textId="77777777" w:rsidTr="002F4D40">
        <w:trPr>
          <w:trHeight w:val="370"/>
        </w:trPr>
        <w:tc>
          <w:tcPr>
            <w:tcW w:w="998" w:type="pct"/>
            <w:vMerge/>
            <w:tcBorders>
              <w:left w:val="single" w:sz="4" w:space="0" w:color="auto"/>
              <w:right w:val="single" w:sz="4" w:space="0" w:color="auto"/>
            </w:tcBorders>
            <w:shd w:val="clear" w:color="auto" w:fill="FFE599" w:themeFill="accent4" w:themeFillTint="66"/>
            <w:vAlign w:val="center"/>
          </w:tcPr>
          <w:p w14:paraId="0489FB6A" w14:textId="77777777" w:rsidR="00703F63" w:rsidRPr="000C3B7B" w:rsidRDefault="00703F63" w:rsidP="002F4D40">
            <w:pPr>
              <w:rPr>
                <w:rFonts w:ascii="Arial" w:hAnsi="Arial" w:cs="Arial"/>
                <w:bCs/>
              </w:rPr>
            </w:pPr>
          </w:p>
        </w:tc>
        <w:tc>
          <w:tcPr>
            <w:tcW w:w="4002" w:type="pct"/>
            <w:gridSpan w:val="9"/>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C7EBA9B" w14:textId="77777777" w:rsidR="00703F63" w:rsidRPr="000C3B7B" w:rsidRDefault="00703F63" w:rsidP="002F4D40">
            <w:pPr>
              <w:rPr>
                <w:rFonts w:ascii="Arial" w:hAnsi="Arial" w:cs="Arial"/>
                <w:b/>
              </w:rPr>
            </w:pPr>
            <w:r w:rsidRPr="000C3B7B">
              <w:rPr>
                <w:rFonts w:ascii="Arial" w:hAnsi="Arial" w:cs="Arial"/>
                <w:b/>
              </w:rPr>
              <w:t>Other (Specify)</w:t>
            </w:r>
          </w:p>
        </w:tc>
      </w:tr>
      <w:tr w:rsidR="00703F63" w:rsidRPr="000C3B7B" w14:paraId="756CCAE1" w14:textId="77777777" w:rsidTr="002F4D40">
        <w:trPr>
          <w:trHeight w:val="370"/>
        </w:trPr>
        <w:tc>
          <w:tcPr>
            <w:tcW w:w="998" w:type="pct"/>
            <w:vMerge/>
            <w:tcBorders>
              <w:left w:val="single" w:sz="4" w:space="0" w:color="auto"/>
              <w:right w:val="single" w:sz="4" w:space="0" w:color="auto"/>
            </w:tcBorders>
            <w:shd w:val="clear" w:color="auto" w:fill="FFE599" w:themeFill="accent4" w:themeFillTint="66"/>
            <w:vAlign w:val="center"/>
          </w:tcPr>
          <w:p w14:paraId="27B6F8D7" w14:textId="77777777" w:rsidR="00703F63" w:rsidRPr="000C3B7B" w:rsidRDefault="00703F63" w:rsidP="002F4D40">
            <w:pPr>
              <w:rPr>
                <w:rFonts w:ascii="Arial" w:hAnsi="Arial" w:cs="Arial"/>
                <w:bCs/>
              </w:rPr>
            </w:pPr>
          </w:p>
        </w:tc>
        <w:tc>
          <w:tcPr>
            <w:tcW w:w="4002" w:type="pct"/>
            <w:gridSpan w:val="9"/>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1752081" w14:textId="536FA218" w:rsidR="00703F63" w:rsidRDefault="002B21FB" w:rsidP="002F4D40">
            <w:pPr>
              <w:rPr>
                <w:rFonts w:ascii="Arial" w:hAnsi="Arial" w:cs="Arial"/>
                <w:bCs/>
              </w:rPr>
            </w:pPr>
            <w:r>
              <w:rPr>
                <w:rFonts w:ascii="Arial" w:hAnsi="Arial" w:cs="Arial"/>
                <w:bCs/>
              </w:rPr>
              <w:t>N/A</w:t>
            </w:r>
          </w:p>
        </w:tc>
      </w:tr>
      <w:tr w:rsidR="00703F63" w:rsidRPr="000C3B7B" w14:paraId="48F4CAA5" w14:textId="77777777" w:rsidTr="002F4D40">
        <w:trPr>
          <w:trHeight w:val="370"/>
        </w:trPr>
        <w:tc>
          <w:tcPr>
            <w:tcW w:w="998" w:type="pct"/>
            <w:vMerge w:val="restart"/>
            <w:tcBorders>
              <w:left w:val="single" w:sz="4" w:space="0" w:color="auto"/>
              <w:right w:val="single" w:sz="4" w:space="0" w:color="auto"/>
            </w:tcBorders>
            <w:shd w:val="clear" w:color="auto" w:fill="8EAADB" w:themeFill="accent1" w:themeFillTint="99"/>
            <w:vAlign w:val="center"/>
          </w:tcPr>
          <w:p w14:paraId="69B007A8" w14:textId="77777777" w:rsidR="00703F63" w:rsidRPr="00B35A82" w:rsidRDefault="00703F63" w:rsidP="002F4D40">
            <w:pPr>
              <w:rPr>
                <w:rFonts w:ascii="Arial" w:hAnsi="Arial" w:cs="Arial"/>
                <w:b/>
              </w:rPr>
            </w:pPr>
            <w:r w:rsidRPr="00B35A82">
              <w:rPr>
                <w:rFonts w:ascii="Arial" w:hAnsi="Arial" w:cs="Arial"/>
                <w:b/>
              </w:rPr>
              <w:t xml:space="preserve">Prevention &amp; Population Health </w:t>
            </w:r>
          </w:p>
        </w:tc>
        <w:tc>
          <w:tcPr>
            <w:tcW w:w="4002" w:type="pct"/>
            <w:gridSpan w:val="9"/>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122A3DB" w14:textId="77777777" w:rsidR="00703F63" w:rsidRPr="00B35A82" w:rsidRDefault="00703F63" w:rsidP="002F4D40">
            <w:pPr>
              <w:rPr>
                <w:rFonts w:ascii="Arial" w:hAnsi="Arial" w:cs="Arial"/>
                <w:b/>
              </w:rPr>
            </w:pPr>
            <w:r w:rsidRPr="00B35A82">
              <w:rPr>
                <w:rFonts w:ascii="Arial" w:hAnsi="Arial" w:cs="Arial"/>
                <w:b/>
              </w:rPr>
              <w:t>Opportunities identified</w:t>
            </w:r>
          </w:p>
        </w:tc>
      </w:tr>
      <w:tr w:rsidR="00703F63" w:rsidRPr="000C3B7B" w14:paraId="60680750" w14:textId="77777777" w:rsidTr="002F4D40">
        <w:trPr>
          <w:trHeight w:val="560"/>
        </w:trPr>
        <w:tc>
          <w:tcPr>
            <w:tcW w:w="998" w:type="pct"/>
            <w:vMerge/>
            <w:tcBorders>
              <w:left w:val="single" w:sz="4" w:space="0" w:color="auto"/>
              <w:right w:val="single" w:sz="4" w:space="0" w:color="auto"/>
            </w:tcBorders>
            <w:shd w:val="clear" w:color="auto" w:fill="8EAADB" w:themeFill="accent1" w:themeFillTint="99"/>
            <w:vAlign w:val="center"/>
          </w:tcPr>
          <w:p w14:paraId="720EFDB8" w14:textId="77777777" w:rsidR="00703F63" w:rsidRPr="00B35A82" w:rsidRDefault="00703F63" w:rsidP="002F4D40">
            <w:pPr>
              <w:rPr>
                <w:rFonts w:ascii="Arial" w:hAnsi="Arial" w:cs="Arial"/>
                <w:b/>
              </w:rPr>
            </w:pPr>
          </w:p>
        </w:tc>
        <w:tc>
          <w:tcPr>
            <w:tcW w:w="4002" w:type="pct"/>
            <w:gridSpan w:val="9"/>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18CA0B" w14:textId="77777777" w:rsidR="00073036" w:rsidRPr="00073036" w:rsidRDefault="00073036" w:rsidP="00073036">
            <w:pPr>
              <w:rPr>
                <w:rFonts w:ascii="Arial" w:hAnsi="Arial" w:cs="Arial"/>
                <w:bCs/>
              </w:rPr>
            </w:pPr>
            <w:r w:rsidRPr="00073036">
              <w:rPr>
                <w:rFonts w:ascii="Arial" w:hAnsi="Arial" w:cs="Arial"/>
                <w:bCs/>
              </w:rPr>
              <w:t>Promoting healthy behaviours encompasses activity to reduce the burden of disease, disability, and early death that results from use of tobacco, our diet, how active we are and whether and how we use alcohol and other substances. The latest estimates from the Global Burden of Disease Study indicate that behavioural risks contribute 25% of the years of life lost to due to premature mortality (YLLs) and the years lived with a disability (YLDs) due to non-communicable disease in Wales, that includes Cancer, Heart Disease and Respiratory Diseases.  Of these behavioural risks tobacco contributes the largest among (10%), followed by diet (8%).  In addition, a high BMI is responsible for a further 8%.  The growing burden of non-communicable disease is a significant threat to the sustainability of our health and care system.</w:t>
            </w:r>
          </w:p>
          <w:p w14:paraId="7312C924" w14:textId="77777777" w:rsidR="00073036" w:rsidRDefault="00073036" w:rsidP="00073036">
            <w:pPr>
              <w:rPr>
                <w:rFonts w:ascii="Arial" w:hAnsi="Arial" w:cs="Arial"/>
                <w:bCs/>
              </w:rPr>
            </w:pPr>
          </w:p>
          <w:p w14:paraId="360BCC8E" w14:textId="2D42B47C" w:rsidR="00073036" w:rsidRPr="00073036" w:rsidRDefault="00073036" w:rsidP="00073036">
            <w:pPr>
              <w:rPr>
                <w:rFonts w:ascii="Arial" w:hAnsi="Arial" w:cs="Arial"/>
                <w:bCs/>
              </w:rPr>
            </w:pPr>
            <w:r w:rsidRPr="00073036">
              <w:rPr>
                <w:rFonts w:ascii="Arial" w:hAnsi="Arial" w:cs="Arial"/>
                <w:bCs/>
              </w:rPr>
              <w:t xml:space="preserve">Our behaviours are closely linked to the social, economic, and environmental factors which have been outlined in earlier priorities. Our approach to promoting healthy behaviours explicitly acknowledges that the opportunities to make healthier choices are influenced by our social and economic circumstances, by where we live, and importantly by the actions of the industries that produce a range of unhealthy commodities.  This is why, for </w:t>
            </w:r>
            <w:proofErr w:type="gramStart"/>
            <w:r w:rsidRPr="00073036">
              <w:rPr>
                <w:rFonts w:ascii="Arial" w:hAnsi="Arial" w:cs="Arial"/>
                <w:bCs/>
              </w:rPr>
              <w:t>the majority of</w:t>
            </w:r>
            <w:proofErr w:type="gramEnd"/>
            <w:r w:rsidRPr="00073036">
              <w:rPr>
                <w:rFonts w:ascii="Arial" w:hAnsi="Arial" w:cs="Arial"/>
                <w:bCs/>
              </w:rPr>
              <w:t xml:space="preserve"> the behaviours, we see a clear socio-economic gradient; they are more common among groups in the population who experience disadvantage. These factors are one of the primary mechanisms through which the wider determinants lead to ill health and health inequalities. </w:t>
            </w:r>
          </w:p>
          <w:p w14:paraId="5BE8F251" w14:textId="77777777" w:rsidR="00073036" w:rsidRDefault="00073036" w:rsidP="00073036">
            <w:pPr>
              <w:rPr>
                <w:rFonts w:ascii="Arial" w:hAnsi="Arial" w:cs="Arial"/>
                <w:bCs/>
              </w:rPr>
            </w:pPr>
          </w:p>
          <w:p w14:paraId="7DB34524" w14:textId="32BB70F3" w:rsidR="00073036" w:rsidRPr="00073036" w:rsidRDefault="00073036" w:rsidP="00073036">
            <w:pPr>
              <w:rPr>
                <w:rFonts w:ascii="Arial" w:hAnsi="Arial" w:cs="Arial"/>
                <w:bCs/>
              </w:rPr>
            </w:pPr>
            <w:r w:rsidRPr="00073036">
              <w:rPr>
                <w:rFonts w:ascii="Arial" w:hAnsi="Arial" w:cs="Arial"/>
                <w:bCs/>
              </w:rPr>
              <w:t xml:space="preserve">We also acknowledge that our behaviours can be a result of our mental well-being.  Many of us will recognise how easy it is to eat less healthy foods, often as a treat when we are feeling low, or how our consumption of alcohol may increase when we feel stressed or anxious. For some people these coping behaviours become long term and habit forming and people may need support to adopt healthier coping strategies. In these situations, people often need help to make changes, even when they are motivated to do so.  </w:t>
            </w:r>
          </w:p>
          <w:p w14:paraId="5DBE710D" w14:textId="77777777" w:rsidR="00073036" w:rsidRDefault="00073036" w:rsidP="00073036">
            <w:pPr>
              <w:rPr>
                <w:rFonts w:ascii="Arial" w:hAnsi="Arial" w:cs="Arial"/>
                <w:bCs/>
              </w:rPr>
            </w:pPr>
          </w:p>
          <w:p w14:paraId="617062F2" w14:textId="12A4F7AD" w:rsidR="00073036" w:rsidRPr="00073036" w:rsidRDefault="00073036" w:rsidP="00073036">
            <w:pPr>
              <w:rPr>
                <w:rFonts w:ascii="Arial" w:hAnsi="Arial" w:cs="Arial"/>
                <w:bCs/>
              </w:rPr>
            </w:pPr>
            <w:r w:rsidRPr="00073036">
              <w:rPr>
                <w:rFonts w:ascii="Arial" w:hAnsi="Arial" w:cs="Arial"/>
                <w:bCs/>
              </w:rPr>
              <w:lastRenderedPageBreak/>
              <w:t xml:space="preserve">Behavioural factors also play a part in the conditions which lead to disability such as musculoskeletal diseases and substance use.  One of the emerging behavioural risks to health and well-being is gambling which will be an increasing focus over the next three years.  </w:t>
            </w:r>
          </w:p>
          <w:p w14:paraId="44287D9F" w14:textId="77777777" w:rsidR="00703F63" w:rsidRPr="00073036" w:rsidRDefault="00703F63" w:rsidP="002F4D40">
            <w:pPr>
              <w:rPr>
                <w:rFonts w:ascii="Arial" w:hAnsi="Arial" w:cs="Arial"/>
                <w:bCs/>
              </w:rPr>
            </w:pPr>
          </w:p>
        </w:tc>
      </w:tr>
    </w:tbl>
    <w:p w14:paraId="70EE0A02" w14:textId="77777777" w:rsidR="009545E0" w:rsidRDefault="009545E0" w:rsidP="00AA5338">
      <w:pPr>
        <w:rPr>
          <w:rFonts w:ascii="Arial" w:hAnsi="Arial" w:cs="Arial"/>
          <w:sz w:val="24"/>
          <w:szCs w:val="24"/>
        </w:rPr>
      </w:pPr>
    </w:p>
    <w:p w14:paraId="4E6EBEBD" w14:textId="77777777" w:rsidR="006B6E83" w:rsidRDefault="006B6E83" w:rsidP="00AA5338">
      <w:pPr>
        <w:rPr>
          <w:rFonts w:ascii="Arial" w:hAnsi="Arial" w:cs="Arial"/>
          <w:sz w:val="24"/>
          <w:szCs w:val="24"/>
        </w:rPr>
      </w:pPr>
    </w:p>
    <w:tbl>
      <w:tblPr>
        <w:tblStyle w:val="TableGrid1"/>
        <w:tblpPr w:leftFromText="180" w:rightFromText="180" w:vertAnchor="text" w:tblpX="-147" w:tblpY="1"/>
        <w:tblOverlap w:val="never"/>
        <w:tblW w:w="5390" w:type="pct"/>
        <w:tblInd w:w="0" w:type="dxa"/>
        <w:tblLook w:val="04A0" w:firstRow="1" w:lastRow="0" w:firstColumn="1" w:lastColumn="0" w:noHBand="0" w:noVBand="1"/>
      </w:tblPr>
      <w:tblGrid>
        <w:gridCol w:w="1353"/>
        <w:gridCol w:w="15"/>
        <w:gridCol w:w="1803"/>
        <w:gridCol w:w="149"/>
        <w:gridCol w:w="462"/>
        <w:gridCol w:w="406"/>
        <w:gridCol w:w="395"/>
        <w:gridCol w:w="1526"/>
        <w:gridCol w:w="70"/>
        <w:gridCol w:w="411"/>
        <w:gridCol w:w="230"/>
        <w:gridCol w:w="1616"/>
        <w:gridCol w:w="156"/>
        <w:gridCol w:w="2680"/>
      </w:tblGrid>
      <w:tr w:rsidR="006B6E83" w:rsidRPr="000C3B7B" w14:paraId="6626AD93" w14:textId="77777777" w:rsidTr="00E05BB2">
        <w:tc>
          <w:tcPr>
            <w:tcW w:w="5000" w:type="pct"/>
            <w:gridSpan w:val="14"/>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A89DE6D" w14:textId="77777777" w:rsidR="006B6E83" w:rsidRPr="006179A4" w:rsidRDefault="006B6E83" w:rsidP="002F4D40">
            <w:pPr>
              <w:rPr>
                <w:rFonts w:ascii="Arial" w:hAnsi="Arial"/>
              </w:rPr>
            </w:pPr>
            <w:r w:rsidRPr="006179A4">
              <w:rPr>
                <w:rFonts w:ascii="Arial" w:eastAsia="Times New Roman" w:hAnsi="Arial" w:cs="Arial"/>
                <w:b/>
                <w:bCs/>
              </w:rPr>
              <w:t xml:space="preserve">Priority area(s) to deliver 25/26:  </w:t>
            </w:r>
          </w:p>
        </w:tc>
      </w:tr>
      <w:tr w:rsidR="006B6E83" w:rsidRPr="000C3B7B" w14:paraId="7C683AFD" w14:textId="77777777" w:rsidTr="00EA59A8">
        <w:tc>
          <w:tcPr>
            <w:tcW w:w="1407" w:type="pct"/>
            <w:gridSpan w:val="3"/>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4DDC028" w14:textId="77777777" w:rsidR="006B6E83" w:rsidRPr="006179A4" w:rsidRDefault="006B6E83" w:rsidP="002F4D40">
            <w:pPr>
              <w:rPr>
                <w:rFonts w:ascii="Arial" w:eastAsia="Times New Roman" w:hAnsi="Arial" w:cs="Arial"/>
                <w:b/>
                <w:bCs/>
              </w:rPr>
            </w:pPr>
            <w:r w:rsidRPr="006179A4">
              <w:rPr>
                <w:rFonts w:ascii="Arial" w:hAnsi="Arial" w:cs="Arial"/>
                <w:b/>
                <w:bCs/>
              </w:rPr>
              <w:t>Key focus should be on delivering</w:t>
            </w:r>
          </w:p>
        </w:tc>
        <w:tc>
          <w:tcPr>
            <w:tcW w:w="3593" w:type="pct"/>
            <w:gridSpan w:val="11"/>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A21C3FA" w14:textId="3DB443E1" w:rsidR="006B6E83" w:rsidRPr="006B6E83" w:rsidRDefault="006B6E83" w:rsidP="002F4D40">
            <w:pPr>
              <w:rPr>
                <w:rFonts w:ascii="Arial" w:eastAsia="Times New Roman" w:hAnsi="Arial" w:cs="Arial"/>
                <w:sz w:val="28"/>
                <w:szCs w:val="28"/>
              </w:rPr>
            </w:pPr>
            <w:r w:rsidRPr="006B6E83">
              <w:rPr>
                <w:rFonts w:ascii="Arial" w:eastAsia="Times New Roman" w:hAnsi="Arial" w:cs="Arial"/>
                <w:sz w:val="28"/>
                <w:szCs w:val="28"/>
              </w:rPr>
              <w:t xml:space="preserve">Building Community Capacity </w:t>
            </w:r>
          </w:p>
        </w:tc>
      </w:tr>
      <w:tr w:rsidR="00A4561D" w:rsidRPr="000C3B7B" w14:paraId="12F60558" w14:textId="77777777" w:rsidTr="00EA59A8">
        <w:trPr>
          <w:trHeight w:val="112"/>
        </w:trPr>
        <w:tc>
          <w:tcPr>
            <w:tcW w:w="600" w:type="pct"/>
            <w:tcBorders>
              <w:top w:val="single" w:sz="4" w:space="0" w:color="auto"/>
              <w:left w:val="single" w:sz="4" w:space="0" w:color="auto"/>
              <w:bottom w:val="single" w:sz="4" w:space="0" w:color="auto"/>
              <w:right w:val="single" w:sz="4" w:space="0" w:color="auto"/>
            </w:tcBorders>
            <w:shd w:val="clear" w:color="auto" w:fill="000000" w:themeFill="text1"/>
          </w:tcPr>
          <w:p w14:paraId="45ABEEC6" w14:textId="77777777" w:rsidR="006B6E83" w:rsidRPr="000C3B7B" w:rsidRDefault="006B6E83" w:rsidP="002F4D40">
            <w:pPr>
              <w:rPr>
                <w:rFonts w:ascii="Arial" w:hAnsi="Arial" w:cs="Arial"/>
                <w:b/>
                <w:bCs/>
              </w:rPr>
            </w:pPr>
          </w:p>
        </w:tc>
        <w:tc>
          <w:tcPr>
            <w:tcW w:w="873" w:type="pct"/>
            <w:gridSpan w:val="3"/>
            <w:tcBorders>
              <w:top w:val="single" w:sz="4" w:space="0" w:color="auto"/>
              <w:left w:val="single" w:sz="4" w:space="0" w:color="auto"/>
              <w:bottom w:val="single" w:sz="4" w:space="0" w:color="auto"/>
              <w:right w:val="single" w:sz="4" w:space="0" w:color="auto"/>
            </w:tcBorders>
            <w:shd w:val="clear" w:color="auto" w:fill="000000" w:themeFill="text1"/>
          </w:tcPr>
          <w:p w14:paraId="6FF40D4D" w14:textId="77777777" w:rsidR="006B6E83" w:rsidRPr="000C3B7B" w:rsidRDefault="006B6E83" w:rsidP="002F4D40">
            <w:pPr>
              <w:rPr>
                <w:rFonts w:ascii="Arial" w:hAnsi="Arial" w:cs="Arial"/>
                <w:b/>
                <w:bCs/>
              </w:rPr>
            </w:pPr>
          </w:p>
        </w:tc>
        <w:tc>
          <w:tcPr>
            <w:tcW w:w="560" w:type="pct"/>
            <w:gridSpan w:val="3"/>
            <w:tcBorders>
              <w:top w:val="single" w:sz="4" w:space="0" w:color="auto"/>
              <w:left w:val="single" w:sz="4" w:space="0" w:color="auto"/>
              <w:bottom w:val="single" w:sz="4" w:space="0" w:color="auto"/>
              <w:right w:val="single" w:sz="4" w:space="0" w:color="auto"/>
            </w:tcBorders>
            <w:shd w:val="clear" w:color="auto" w:fill="000000" w:themeFill="text1"/>
          </w:tcPr>
          <w:p w14:paraId="00AF27FB" w14:textId="77777777" w:rsidR="006B6E83" w:rsidRPr="000C3B7B" w:rsidRDefault="006B6E83" w:rsidP="002F4D40">
            <w:pPr>
              <w:rPr>
                <w:rFonts w:ascii="Arial" w:hAnsi="Arial" w:cs="Arial"/>
                <w:i/>
                <w:iCs/>
              </w:rPr>
            </w:pPr>
          </w:p>
        </w:tc>
        <w:tc>
          <w:tcPr>
            <w:tcW w:w="992" w:type="pct"/>
            <w:gridSpan w:val="4"/>
            <w:tcBorders>
              <w:top w:val="single" w:sz="4" w:space="0" w:color="auto"/>
              <w:left w:val="single" w:sz="4" w:space="0" w:color="auto"/>
              <w:bottom w:val="single" w:sz="4" w:space="0" w:color="auto"/>
              <w:right w:val="single" w:sz="4" w:space="0" w:color="auto"/>
            </w:tcBorders>
            <w:shd w:val="clear" w:color="auto" w:fill="000000" w:themeFill="text1"/>
          </w:tcPr>
          <w:p w14:paraId="5A9D75F7" w14:textId="77777777" w:rsidR="006B6E83" w:rsidRPr="000C3B7B" w:rsidRDefault="006B6E83" w:rsidP="002F4D40">
            <w:pPr>
              <w:rPr>
                <w:rFonts w:ascii="Arial" w:hAnsi="Arial" w:cs="Arial"/>
                <w:i/>
                <w:iCs/>
              </w:rPr>
            </w:pPr>
          </w:p>
        </w:tc>
        <w:tc>
          <w:tcPr>
            <w:tcW w:w="1974" w:type="pct"/>
            <w:gridSpan w:val="3"/>
            <w:tcBorders>
              <w:top w:val="single" w:sz="4" w:space="0" w:color="auto"/>
              <w:left w:val="single" w:sz="4" w:space="0" w:color="auto"/>
              <w:bottom w:val="single" w:sz="4" w:space="0" w:color="auto"/>
              <w:right w:val="single" w:sz="4" w:space="0" w:color="auto"/>
            </w:tcBorders>
            <w:shd w:val="clear" w:color="auto" w:fill="000000" w:themeFill="text1"/>
          </w:tcPr>
          <w:p w14:paraId="65C35DE5" w14:textId="77777777" w:rsidR="006B6E83" w:rsidRPr="000C3B7B" w:rsidRDefault="006B6E83" w:rsidP="002F4D40">
            <w:pPr>
              <w:rPr>
                <w:rFonts w:ascii="Arial" w:hAnsi="Arial" w:cs="Arial"/>
                <w:i/>
                <w:iCs/>
              </w:rPr>
            </w:pPr>
          </w:p>
        </w:tc>
      </w:tr>
      <w:tr w:rsidR="006B6E83" w:rsidRPr="000C3B7B" w14:paraId="58159E99" w14:textId="77777777" w:rsidTr="00E05BB2">
        <w:tc>
          <w:tcPr>
            <w:tcW w:w="600" w:type="pct"/>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337AAB5" w14:textId="77777777" w:rsidR="006B6E83" w:rsidRPr="000C3B7B" w:rsidRDefault="006B6E83" w:rsidP="002F4D40">
            <w:pPr>
              <w:rPr>
                <w:rFonts w:ascii="Arial" w:hAnsi="Arial" w:cs="Arial"/>
                <w:b/>
                <w:bCs/>
              </w:rPr>
            </w:pPr>
            <w:r>
              <w:rPr>
                <w:rFonts w:ascii="Arial" w:hAnsi="Arial" w:cs="Arial"/>
                <w:b/>
                <w:bCs/>
              </w:rPr>
              <w:t>R</w:t>
            </w:r>
            <w:r w:rsidRPr="000C3B7B">
              <w:rPr>
                <w:rFonts w:ascii="Arial" w:hAnsi="Arial" w:cs="Arial"/>
                <w:b/>
                <w:bCs/>
              </w:rPr>
              <w:t>ef:</w:t>
            </w:r>
          </w:p>
        </w:tc>
        <w:tc>
          <w:tcPr>
            <w:tcW w:w="4400" w:type="pct"/>
            <w:gridSpan w:val="13"/>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99C9BE7" w14:textId="17A4B78E" w:rsidR="006B6E83" w:rsidRPr="000C3B7B" w:rsidRDefault="00A135D7" w:rsidP="00D13707">
            <w:pPr>
              <w:rPr>
                <w:rFonts w:ascii="Arial" w:hAnsi="Arial" w:cs="Arial"/>
                <w:b/>
                <w:iCs/>
              </w:rPr>
            </w:pPr>
            <w:r w:rsidRPr="00D13707">
              <w:rPr>
                <w:rFonts w:ascii="Arial" w:hAnsi="Arial" w:cs="Arial"/>
                <w:bCs/>
                <w:sz w:val="24"/>
                <w:szCs w:val="24"/>
              </w:rPr>
              <w:t>Continued from 24/25</w:t>
            </w:r>
          </w:p>
        </w:tc>
      </w:tr>
      <w:tr w:rsidR="006B6E83" w:rsidRPr="000C3B7B" w14:paraId="6596C8D8" w14:textId="77777777" w:rsidTr="00E05BB2">
        <w:tc>
          <w:tcPr>
            <w:tcW w:w="5000" w:type="pct"/>
            <w:gridSpan w:val="14"/>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C0CE60A" w14:textId="77777777" w:rsidR="006B6E83" w:rsidRDefault="006B6E83" w:rsidP="002F4D40">
            <w:pPr>
              <w:rPr>
                <w:rFonts w:ascii="Arial" w:hAnsi="Arial" w:cs="Arial"/>
                <w:b/>
                <w:bCs/>
              </w:rPr>
            </w:pPr>
            <w:r>
              <w:rPr>
                <w:rFonts w:ascii="Arial" w:hAnsi="Arial" w:cs="Arial"/>
                <w:b/>
                <w:bCs/>
              </w:rPr>
              <w:t xml:space="preserve"> Resume of planning </w:t>
            </w:r>
            <w:r w:rsidRPr="000C3B7B">
              <w:rPr>
                <w:rFonts w:ascii="Arial" w:hAnsi="Arial" w:cs="Arial"/>
                <w:b/>
                <w:bCs/>
              </w:rPr>
              <w:t>Milestones 2</w:t>
            </w:r>
            <w:r>
              <w:rPr>
                <w:rFonts w:ascii="Arial" w:hAnsi="Arial" w:cs="Arial"/>
                <w:b/>
                <w:bCs/>
              </w:rPr>
              <w:t>4</w:t>
            </w:r>
            <w:r w:rsidRPr="000C3B7B">
              <w:rPr>
                <w:rFonts w:ascii="Arial" w:hAnsi="Arial" w:cs="Arial"/>
                <w:b/>
                <w:bCs/>
              </w:rPr>
              <w:t>/2</w:t>
            </w:r>
            <w:r>
              <w:rPr>
                <w:rFonts w:ascii="Arial" w:hAnsi="Arial" w:cs="Arial"/>
                <w:b/>
                <w:bCs/>
              </w:rPr>
              <w:t>5</w:t>
            </w:r>
            <w:r w:rsidRPr="000C3B7B">
              <w:rPr>
                <w:rFonts w:ascii="Arial" w:hAnsi="Arial" w:cs="Arial"/>
                <w:b/>
                <w:bCs/>
              </w:rPr>
              <w:t xml:space="preserve">: </w:t>
            </w:r>
          </w:p>
          <w:p w14:paraId="25E1E18E" w14:textId="77777777" w:rsidR="006B6E83" w:rsidRPr="000C3B7B" w:rsidRDefault="006B6E83" w:rsidP="002F4D40">
            <w:pPr>
              <w:rPr>
                <w:rFonts w:ascii="Arial" w:hAnsi="Arial" w:cs="Arial"/>
                <w:b/>
                <w:bCs/>
              </w:rPr>
            </w:pPr>
          </w:p>
        </w:tc>
      </w:tr>
      <w:tr w:rsidR="00A4561D" w:rsidRPr="000C3B7B" w14:paraId="2147F09F" w14:textId="77777777" w:rsidTr="00EA59A8">
        <w:trPr>
          <w:trHeight w:val="390"/>
        </w:trPr>
        <w:tc>
          <w:tcPr>
            <w:tcW w:w="600"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A3F283" w14:textId="77777777" w:rsidR="006B6E83" w:rsidRDefault="006B6E83" w:rsidP="002F4D40">
            <w:pPr>
              <w:rPr>
                <w:rFonts w:ascii="Arial" w:hAnsi="Arial" w:cs="Arial"/>
                <w:b/>
              </w:rPr>
            </w:pPr>
          </w:p>
        </w:tc>
        <w:tc>
          <w:tcPr>
            <w:tcW w:w="1258" w:type="pct"/>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09B88F3" w14:textId="77777777" w:rsidR="006B6E83" w:rsidRPr="00506635" w:rsidRDefault="006B6E83" w:rsidP="002F4D40">
            <w:pPr>
              <w:rPr>
                <w:rFonts w:ascii="Arial" w:hAnsi="Arial" w:cs="Arial"/>
                <w:b/>
                <w:bCs/>
              </w:rPr>
            </w:pPr>
            <w:r w:rsidRPr="00506635">
              <w:rPr>
                <w:rFonts w:ascii="Arial" w:hAnsi="Arial" w:cs="Arial"/>
                <w:b/>
                <w:bCs/>
              </w:rPr>
              <w:t>Quarter 1</w:t>
            </w:r>
          </w:p>
        </w:tc>
        <w:tc>
          <w:tcPr>
            <w:tcW w:w="1065"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E18155" w14:textId="77777777" w:rsidR="006B6E83" w:rsidRPr="00506635" w:rsidRDefault="006B6E83" w:rsidP="002F4D40">
            <w:pPr>
              <w:rPr>
                <w:rFonts w:ascii="Arial" w:hAnsi="Arial" w:cs="Arial"/>
                <w:b/>
                <w:bCs/>
              </w:rPr>
            </w:pPr>
            <w:r w:rsidRPr="00506635">
              <w:rPr>
                <w:rFonts w:ascii="Arial" w:hAnsi="Arial" w:cs="Arial"/>
                <w:b/>
                <w:bCs/>
              </w:rPr>
              <w:t>Quarter 2</w:t>
            </w:r>
          </w:p>
        </w:tc>
        <w:tc>
          <w:tcPr>
            <w:tcW w:w="888" w:type="pct"/>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B2B766C" w14:textId="77777777" w:rsidR="006B6E83" w:rsidRPr="00506635" w:rsidRDefault="006B6E83" w:rsidP="002F4D40">
            <w:pPr>
              <w:rPr>
                <w:rFonts w:ascii="Arial" w:hAnsi="Arial" w:cs="Arial"/>
                <w:b/>
                <w:bCs/>
              </w:rPr>
            </w:pPr>
            <w:r w:rsidRPr="00506635">
              <w:rPr>
                <w:rFonts w:ascii="Arial" w:hAnsi="Arial" w:cs="Arial"/>
                <w:b/>
                <w:bCs/>
              </w:rPr>
              <w:t>Quarter 3</w:t>
            </w:r>
          </w:p>
        </w:tc>
        <w:tc>
          <w:tcPr>
            <w:tcW w:w="118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6AB254" w14:textId="77777777" w:rsidR="006B6E83" w:rsidRPr="00506635" w:rsidRDefault="006B6E83" w:rsidP="002F4D40">
            <w:pPr>
              <w:rPr>
                <w:rFonts w:ascii="Arial" w:hAnsi="Arial" w:cs="Arial"/>
                <w:b/>
                <w:bCs/>
              </w:rPr>
            </w:pPr>
            <w:r w:rsidRPr="00506635">
              <w:rPr>
                <w:rFonts w:ascii="Arial" w:hAnsi="Arial" w:cs="Arial"/>
                <w:b/>
                <w:bCs/>
              </w:rPr>
              <w:t>Quarter 4</w:t>
            </w:r>
          </w:p>
        </w:tc>
      </w:tr>
      <w:tr w:rsidR="00A4561D" w:rsidRPr="000C3B7B" w14:paraId="44612DB4" w14:textId="77777777" w:rsidTr="00EA59A8">
        <w:trPr>
          <w:trHeight w:val="513"/>
        </w:trPr>
        <w:tc>
          <w:tcPr>
            <w:tcW w:w="600"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FE6CEC3" w14:textId="77777777" w:rsidR="006B6E83" w:rsidRPr="000C3B7B" w:rsidRDefault="006B6E83" w:rsidP="002F4D40">
            <w:pPr>
              <w:rPr>
                <w:rFonts w:ascii="Arial" w:hAnsi="Arial" w:cs="Arial"/>
                <w:b/>
              </w:rPr>
            </w:pPr>
            <w:r>
              <w:rPr>
                <w:rFonts w:ascii="Arial" w:hAnsi="Arial" w:cs="Arial"/>
                <w:b/>
              </w:rPr>
              <w:t>Ref:</w:t>
            </w:r>
          </w:p>
        </w:tc>
        <w:tc>
          <w:tcPr>
            <w:tcW w:w="1258" w:type="pct"/>
            <w:gridSpan w:val="5"/>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497083A" w14:textId="77777777" w:rsidR="006B6E83" w:rsidRDefault="006B6E83" w:rsidP="002F4D40">
            <w:pPr>
              <w:rPr>
                <w:rFonts w:ascii="Arial" w:hAnsi="Arial" w:cs="Arial"/>
              </w:rPr>
            </w:pPr>
          </w:p>
          <w:p w14:paraId="21235670" w14:textId="77777777" w:rsidR="006B6E83" w:rsidRDefault="006B6E83" w:rsidP="002F4D40">
            <w:pPr>
              <w:rPr>
                <w:rFonts w:ascii="Arial" w:hAnsi="Arial" w:cs="Arial"/>
              </w:rPr>
            </w:pPr>
          </w:p>
        </w:tc>
        <w:tc>
          <w:tcPr>
            <w:tcW w:w="1065"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55493D" w14:textId="0F5ACBAA" w:rsidR="006B6E83" w:rsidRDefault="00547918">
            <w:pPr>
              <w:rPr>
                <w:rFonts w:ascii="Arial" w:hAnsi="Arial" w:cs="Arial"/>
              </w:rPr>
            </w:pPr>
            <w:r w:rsidRPr="00F15F11">
              <w:rPr>
                <w:rFonts w:ascii="Arial" w:hAnsi="Arial" w:cs="Arial"/>
              </w:rPr>
              <w:t xml:space="preserve">Developed and begun implementation of the health </w:t>
            </w:r>
            <w:r w:rsidRPr="0011276B">
              <w:rPr>
                <w:rFonts w:ascii="Arial" w:hAnsi="Arial" w:cs="Arial"/>
              </w:rPr>
              <w:t>inequalities framework for</w:t>
            </w:r>
            <w:r w:rsidRPr="00F15F11">
              <w:rPr>
                <w:rFonts w:ascii="Arial" w:hAnsi="Arial" w:cs="Arial"/>
              </w:rPr>
              <w:t xml:space="preserve"> primary and community care in Wales</w:t>
            </w:r>
            <w:r w:rsidR="0011276B">
              <w:rPr>
                <w:rFonts w:ascii="Arial" w:hAnsi="Arial" w:cs="Arial"/>
              </w:rPr>
              <w:t xml:space="preserve"> (</w:t>
            </w:r>
            <w:r w:rsidR="0011276B" w:rsidRPr="0011276B">
              <w:rPr>
                <w:rFonts w:ascii="Arial" w:hAnsi="Arial" w:cs="Arial"/>
                <w:b/>
                <w:bCs/>
              </w:rPr>
              <w:t>to be delivered by 31/03/25</w:t>
            </w:r>
            <w:r w:rsidR="002A42D1" w:rsidRPr="0011276B">
              <w:rPr>
                <w:rFonts w:ascii="Arial" w:hAnsi="Arial" w:cs="Arial"/>
                <w:b/>
                <w:bCs/>
              </w:rPr>
              <w:t>)</w:t>
            </w:r>
            <w:r w:rsidR="002A42D1">
              <w:rPr>
                <w:rFonts w:ascii="Arial" w:hAnsi="Arial" w:cs="Arial"/>
              </w:rPr>
              <w:t xml:space="preserve"> </w:t>
            </w:r>
          </w:p>
          <w:p w14:paraId="26882973" w14:textId="77777777" w:rsidR="001B6AAA" w:rsidRDefault="001B6AAA">
            <w:pPr>
              <w:rPr>
                <w:rFonts w:ascii="Arial" w:hAnsi="Arial" w:cs="Arial"/>
              </w:rPr>
            </w:pPr>
          </w:p>
          <w:p w14:paraId="63B7D775" w14:textId="140688F8" w:rsidR="006B6E83" w:rsidRPr="00F15F11" w:rsidRDefault="006B6E83" w:rsidP="00F15F11">
            <w:pPr>
              <w:rPr>
                <w:rFonts w:ascii="Arial" w:hAnsi="Arial" w:cs="Arial"/>
              </w:rPr>
            </w:pPr>
          </w:p>
        </w:tc>
        <w:tc>
          <w:tcPr>
            <w:tcW w:w="888" w:type="pct"/>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6BF176" w14:textId="020F2016" w:rsidR="006B6E83" w:rsidRDefault="00495BF5" w:rsidP="002F4D40">
            <w:pPr>
              <w:rPr>
                <w:rFonts w:ascii="Arial" w:hAnsi="Arial" w:cs="Arial"/>
              </w:rPr>
            </w:pPr>
            <w:r w:rsidRPr="00495BF5">
              <w:rPr>
                <w:rFonts w:ascii="Arial" w:hAnsi="Arial" w:cs="Arial"/>
              </w:rPr>
              <w:t>Provided specialist public health advice, support and contribution made to the wider health and care system with a particular focus on contract reform and system change to embed prevention and reducing inequalities within primary and community care.</w:t>
            </w:r>
            <w:r w:rsidR="005C3012">
              <w:rPr>
                <w:rFonts w:ascii="Arial" w:hAnsi="Arial" w:cs="Arial"/>
              </w:rPr>
              <w:t xml:space="preserve"> </w:t>
            </w:r>
            <w:r w:rsidR="005C3012" w:rsidRPr="0011276B">
              <w:rPr>
                <w:rFonts w:ascii="Arial" w:hAnsi="Arial" w:cs="Arial"/>
                <w:color w:val="000000" w:themeColor="text1"/>
                <w:sz w:val="20"/>
                <w:szCs w:val="20"/>
              </w:rPr>
              <w:t>(</w:t>
            </w:r>
            <w:r w:rsidR="005C3012" w:rsidRPr="0011276B">
              <w:rPr>
                <w:rFonts w:ascii="Arial" w:hAnsi="Arial" w:cs="Arial"/>
                <w:b/>
                <w:bCs/>
                <w:color w:val="000000" w:themeColor="text1"/>
                <w:sz w:val="20"/>
                <w:szCs w:val="20"/>
              </w:rPr>
              <w:t>completed</w:t>
            </w:r>
            <w:r w:rsidR="005C3012" w:rsidRPr="0011276B">
              <w:rPr>
                <w:rFonts w:ascii="Arial" w:hAnsi="Arial" w:cs="Arial"/>
                <w:color w:val="000000" w:themeColor="text1"/>
                <w:sz w:val="20"/>
                <w:szCs w:val="20"/>
              </w:rPr>
              <w:t>)</w:t>
            </w:r>
          </w:p>
          <w:p w14:paraId="26F70899" w14:textId="77777777" w:rsidR="00E41D18" w:rsidRDefault="00E41D18" w:rsidP="002F4D40">
            <w:pPr>
              <w:rPr>
                <w:rFonts w:ascii="Arial" w:hAnsi="Arial" w:cs="Arial"/>
              </w:rPr>
            </w:pPr>
          </w:p>
          <w:p w14:paraId="1ED19C5E" w14:textId="7714FE1A" w:rsidR="00E41D18" w:rsidRDefault="00E23202" w:rsidP="002F4D40">
            <w:pPr>
              <w:rPr>
                <w:rFonts w:ascii="Arial" w:hAnsi="Arial" w:cs="Arial"/>
              </w:rPr>
            </w:pPr>
            <w:r w:rsidRPr="00E23202">
              <w:rPr>
                <w:rFonts w:ascii="Arial" w:hAnsi="Arial" w:cs="Arial"/>
              </w:rPr>
              <w:t xml:space="preserve">Extended </w:t>
            </w:r>
            <w:proofErr w:type="gramStart"/>
            <w:r w:rsidRPr="00E23202">
              <w:rPr>
                <w:rFonts w:ascii="Arial" w:hAnsi="Arial" w:cs="Arial"/>
              </w:rPr>
              <w:t>New Born</w:t>
            </w:r>
            <w:proofErr w:type="gramEnd"/>
            <w:r w:rsidRPr="00E23202">
              <w:rPr>
                <w:rFonts w:ascii="Arial" w:hAnsi="Arial" w:cs="Arial"/>
              </w:rPr>
              <w:t xml:space="preserve"> Hearing Screening Wales (NBHSW) testing using Automated Auditory Brainstorm Response (AABR) methodology to community clinic settings from hospital only provision.</w:t>
            </w:r>
            <w:r w:rsidR="005C3012">
              <w:rPr>
                <w:rFonts w:ascii="Arial" w:hAnsi="Arial" w:cs="Arial"/>
              </w:rPr>
              <w:t xml:space="preserve"> </w:t>
            </w:r>
            <w:r w:rsidR="005C3012" w:rsidRPr="0011276B">
              <w:rPr>
                <w:rFonts w:ascii="Arial" w:hAnsi="Arial" w:cs="Arial"/>
                <w:color w:val="000000" w:themeColor="text1"/>
                <w:sz w:val="20"/>
                <w:szCs w:val="20"/>
              </w:rPr>
              <w:t>(</w:t>
            </w:r>
            <w:r w:rsidR="005C3012" w:rsidRPr="0011276B">
              <w:rPr>
                <w:rFonts w:ascii="Arial" w:hAnsi="Arial" w:cs="Arial"/>
                <w:b/>
                <w:bCs/>
                <w:color w:val="000000" w:themeColor="text1"/>
                <w:sz w:val="20"/>
                <w:szCs w:val="20"/>
              </w:rPr>
              <w:t>completed</w:t>
            </w:r>
            <w:r w:rsidR="005C3012" w:rsidRPr="0011276B">
              <w:rPr>
                <w:rFonts w:ascii="Arial" w:hAnsi="Arial" w:cs="Arial"/>
                <w:color w:val="000000" w:themeColor="text1"/>
                <w:sz w:val="20"/>
                <w:szCs w:val="20"/>
              </w:rPr>
              <w:t>)</w:t>
            </w:r>
          </w:p>
        </w:tc>
        <w:tc>
          <w:tcPr>
            <w:tcW w:w="118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7293FD5" w14:textId="673CAEB1" w:rsidR="00A80909" w:rsidRDefault="0070171F" w:rsidP="00A80909">
            <w:pPr>
              <w:rPr>
                <w:rFonts w:ascii="Arial" w:hAnsi="Arial" w:cs="Arial"/>
              </w:rPr>
            </w:pPr>
            <w:r w:rsidRPr="0070171F">
              <w:rPr>
                <w:rFonts w:ascii="Arial" w:hAnsi="Arial" w:cs="Arial"/>
              </w:rPr>
              <w:t>Provided strategic leadership, advice and support across primary and community care, to strengthen monitoring and evaluation activities and outputs to measure progress in the delivery of the Primary Care Model for Wales.</w:t>
            </w:r>
            <w:r w:rsidR="00A80909">
              <w:rPr>
                <w:rFonts w:ascii="Arial" w:hAnsi="Arial" w:cs="Arial"/>
              </w:rPr>
              <w:t xml:space="preserve"> </w:t>
            </w:r>
            <w:r w:rsidR="00A80909" w:rsidRPr="0011276B">
              <w:rPr>
                <w:rFonts w:ascii="Arial" w:hAnsi="Arial" w:cs="Arial"/>
                <w:b/>
                <w:bCs/>
                <w:sz w:val="20"/>
                <w:szCs w:val="20"/>
              </w:rPr>
              <w:t>(on track)</w:t>
            </w:r>
          </w:p>
          <w:p w14:paraId="38B99752" w14:textId="148297E3" w:rsidR="006B6E83" w:rsidRDefault="006B6E83" w:rsidP="002F4D40">
            <w:pPr>
              <w:rPr>
                <w:rFonts w:ascii="Arial" w:hAnsi="Arial" w:cs="Arial"/>
              </w:rPr>
            </w:pPr>
          </w:p>
          <w:p w14:paraId="620AC1EE" w14:textId="77777777" w:rsidR="00C21022" w:rsidRDefault="00C21022" w:rsidP="002F4D40">
            <w:pPr>
              <w:rPr>
                <w:rFonts w:ascii="Arial" w:hAnsi="Arial" w:cs="Arial"/>
              </w:rPr>
            </w:pPr>
          </w:p>
          <w:p w14:paraId="5DB0F40B" w14:textId="171397F9" w:rsidR="00C21022" w:rsidRDefault="00C21022" w:rsidP="002F4D40">
            <w:pPr>
              <w:rPr>
                <w:rFonts w:ascii="Arial" w:hAnsi="Arial" w:cs="Arial"/>
              </w:rPr>
            </w:pPr>
            <w:r w:rsidRPr="00C21022">
              <w:rPr>
                <w:rFonts w:ascii="Arial" w:hAnsi="Arial" w:cs="Arial"/>
              </w:rPr>
              <w:t>Increased capacity, capability and skills of the primary and community care workforce across public health priority topic areas, through a range of mechanisms.</w:t>
            </w:r>
            <w:r w:rsidR="006C188D">
              <w:rPr>
                <w:rFonts w:ascii="Arial" w:hAnsi="Arial" w:cs="Arial"/>
              </w:rPr>
              <w:t xml:space="preserve"> </w:t>
            </w:r>
            <w:r w:rsidR="006C188D" w:rsidRPr="0011276B">
              <w:rPr>
                <w:rFonts w:ascii="Arial" w:hAnsi="Arial" w:cs="Arial"/>
                <w:b/>
                <w:bCs/>
                <w:sz w:val="20"/>
                <w:szCs w:val="20"/>
              </w:rPr>
              <w:t>(on track</w:t>
            </w:r>
            <w:r w:rsidR="006C188D" w:rsidRPr="007831E9">
              <w:rPr>
                <w:rFonts w:ascii="Arial" w:hAnsi="Arial" w:cs="Arial"/>
                <w:sz w:val="20"/>
                <w:szCs w:val="20"/>
              </w:rPr>
              <w:t>)</w:t>
            </w:r>
          </w:p>
          <w:p w14:paraId="55F15F54" w14:textId="77777777" w:rsidR="00C21022" w:rsidRDefault="00C21022" w:rsidP="002F4D40">
            <w:pPr>
              <w:rPr>
                <w:rFonts w:ascii="Arial" w:hAnsi="Arial" w:cs="Arial"/>
              </w:rPr>
            </w:pPr>
          </w:p>
          <w:p w14:paraId="75E31B2A" w14:textId="07A66F97" w:rsidR="004C7AF0" w:rsidRPr="0011276B" w:rsidRDefault="00F15F11" w:rsidP="004C7AF0">
            <w:pPr>
              <w:rPr>
                <w:rFonts w:ascii="Arial" w:hAnsi="Arial" w:cs="Arial"/>
                <w:b/>
                <w:bCs/>
              </w:rPr>
            </w:pPr>
            <w:r w:rsidRPr="00F15F11">
              <w:rPr>
                <w:rFonts w:ascii="Arial" w:hAnsi="Arial" w:cs="Arial"/>
              </w:rPr>
              <w:t>Worked with partners to strengthen progression of primary and community care and the wider system towards the Primary Care Model for Wales.</w:t>
            </w:r>
            <w:r w:rsidR="004C7AF0">
              <w:rPr>
                <w:rFonts w:ascii="Arial" w:hAnsi="Arial" w:cs="Arial"/>
              </w:rPr>
              <w:t xml:space="preserve"> </w:t>
            </w:r>
            <w:r w:rsidR="004C7AF0" w:rsidRPr="0011276B">
              <w:rPr>
                <w:rFonts w:ascii="Arial" w:hAnsi="Arial" w:cs="Arial"/>
                <w:b/>
                <w:bCs/>
                <w:sz w:val="20"/>
                <w:szCs w:val="20"/>
              </w:rPr>
              <w:t>(on track)</w:t>
            </w:r>
          </w:p>
          <w:p w14:paraId="36F97DC8" w14:textId="24960FD3" w:rsidR="006B6E83" w:rsidRDefault="006B6E83">
            <w:pPr>
              <w:rPr>
                <w:rFonts w:ascii="Arial" w:hAnsi="Arial" w:cs="Arial"/>
              </w:rPr>
            </w:pPr>
          </w:p>
          <w:p w14:paraId="71CFD6C6" w14:textId="77777777" w:rsidR="00C93A57" w:rsidRDefault="00C93A57">
            <w:pPr>
              <w:rPr>
                <w:rFonts w:ascii="Arial" w:hAnsi="Arial" w:cs="Arial"/>
              </w:rPr>
            </w:pPr>
          </w:p>
          <w:p w14:paraId="6A687519" w14:textId="48590341" w:rsidR="00C21022" w:rsidRPr="000C3B7B" w:rsidRDefault="00C21022" w:rsidP="002F4D40">
            <w:pPr>
              <w:rPr>
                <w:rFonts w:ascii="Arial" w:hAnsi="Arial" w:cs="Arial"/>
              </w:rPr>
            </w:pPr>
          </w:p>
        </w:tc>
      </w:tr>
      <w:tr w:rsidR="00A4561D" w:rsidRPr="000C3B7B" w14:paraId="33607912" w14:textId="77777777" w:rsidTr="00EA59A8">
        <w:tc>
          <w:tcPr>
            <w:tcW w:w="600"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F232243" w14:textId="77777777" w:rsidR="006B6E83" w:rsidRPr="000C3B7B" w:rsidRDefault="006B6E83" w:rsidP="002F4D40">
            <w:pPr>
              <w:rPr>
                <w:rFonts w:ascii="Arial" w:hAnsi="Arial" w:cs="Arial"/>
                <w:b/>
              </w:rPr>
            </w:pPr>
            <w:r>
              <w:rPr>
                <w:rFonts w:ascii="Arial" w:hAnsi="Arial" w:cs="Arial"/>
                <w:b/>
              </w:rPr>
              <w:t>Progress synopsis</w:t>
            </w:r>
          </w:p>
        </w:tc>
        <w:tc>
          <w:tcPr>
            <w:tcW w:w="1258" w:type="pct"/>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E6564E" w14:textId="77777777" w:rsidR="006B6E83" w:rsidRPr="000C3B7B" w:rsidRDefault="006B6E83" w:rsidP="002F4D40">
            <w:pPr>
              <w:rPr>
                <w:rFonts w:ascii="Arial" w:hAnsi="Arial" w:cs="Arial"/>
              </w:rPr>
            </w:pPr>
          </w:p>
        </w:tc>
        <w:tc>
          <w:tcPr>
            <w:tcW w:w="1065"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89D2BD" w14:textId="3A7CCCD5" w:rsidR="006B6E83" w:rsidRPr="000C3B7B" w:rsidRDefault="0011276B" w:rsidP="002F4D40">
            <w:pPr>
              <w:rPr>
                <w:rFonts w:ascii="Arial" w:hAnsi="Arial" w:cs="Arial"/>
              </w:rPr>
            </w:pPr>
            <w:r w:rsidRPr="0011276B">
              <w:rPr>
                <w:rFonts w:ascii="Arial" w:hAnsi="Arial" w:cs="Arial"/>
              </w:rPr>
              <w:t>To be completed by 31/03/25</w:t>
            </w:r>
          </w:p>
        </w:tc>
        <w:tc>
          <w:tcPr>
            <w:tcW w:w="888" w:type="pct"/>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6685C9" w14:textId="1FD5CE47" w:rsidR="006B6E83" w:rsidRPr="000C3B7B" w:rsidRDefault="001D7842" w:rsidP="002F4D40">
            <w:pPr>
              <w:rPr>
                <w:rFonts w:ascii="Arial" w:hAnsi="Arial" w:cs="Arial"/>
              </w:rPr>
            </w:pPr>
            <w:r>
              <w:rPr>
                <w:rFonts w:ascii="Arial" w:hAnsi="Arial" w:cs="Arial"/>
              </w:rPr>
              <w:t>Completed</w:t>
            </w:r>
          </w:p>
        </w:tc>
        <w:tc>
          <w:tcPr>
            <w:tcW w:w="118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2743CA" w14:textId="1627D6C1" w:rsidR="006B6E83" w:rsidRPr="000C3B7B" w:rsidRDefault="005C1025" w:rsidP="002F4D40">
            <w:pPr>
              <w:rPr>
                <w:rFonts w:ascii="Arial" w:hAnsi="Arial" w:cs="Arial"/>
              </w:rPr>
            </w:pPr>
            <w:r>
              <w:rPr>
                <w:rFonts w:ascii="Arial" w:hAnsi="Arial" w:cs="Arial"/>
              </w:rPr>
              <w:t>O</w:t>
            </w:r>
            <w:r w:rsidR="00B27038">
              <w:rPr>
                <w:rFonts w:ascii="Arial" w:hAnsi="Arial" w:cs="Arial"/>
              </w:rPr>
              <w:t>n track to delivered by 31/02/2025</w:t>
            </w:r>
          </w:p>
        </w:tc>
      </w:tr>
      <w:tr w:rsidR="006B6E83" w:rsidRPr="000C3B7B" w14:paraId="13D42C7A" w14:textId="77777777" w:rsidTr="00E05BB2">
        <w:tc>
          <w:tcPr>
            <w:tcW w:w="5000" w:type="pct"/>
            <w:gridSpan w:val="1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117578" w14:textId="77777777" w:rsidR="006B6E83" w:rsidRPr="00603272" w:rsidRDefault="006B6E83" w:rsidP="002F4D40">
            <w:pPr>
              <w:rPr>
                <w:rFonts w:ascii="Arial" w:hAnsi="Arial" w:cs="Arial"/>
              </w:rPr>
            </w:pPr>
            <w:r w:rsidRPr="00603272">
              <w:rPr>
                <w:rFonts w:ascii="Arial" w:hAnsi="Arial" w:cs="Arial"/>
                <w:b/>
                <w:bCs/>
              </w:rPr>
              <w:t>Outcomes of delivering Ministerial Priorities:</w:t>
            </w:r>
          </w:p>
        </w:tc>
      </w:tr>
      <w:tr w:rsidR="006B6E83" w:rsidRPr="000C3B7B" w14:paraId="2CFE69AF" w14:textId="77777777" w:rsidTr="00D13707">
        <w:tc>
          <w:tcPr>
            <w:tcW w:w="607"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DBAFA6B" w14:textId="77777777" w:rsidR="006B6E83" w:rsidRDefault="006B6E83" w:rsidP="002F4D40">
            <w:pPr>
              <w:rPr>
                <w:rFonts w:ascii="Arial" w:hAnsi="Arial" w:cs="Arial"/>
                <w:b/>
              </w:rPr>
            </w:pPr>
            <w:r w:rsidRPr="00603272">
              <w:rPr>
                <w:rFonts w:ascii="Arial" w:hAnsi="Arial" w:cs="Arial"/>
                <w:b/>
              </w:rPr>
              <w:t>Ref:</w:t>
            </w:r>
          </w:p>
        </w:tc>
        <w:tc>
          <w:tcPr>
            <w:tcW w:w="4393" w:type="pct"/>
            <w:gridSpan w:val="1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6785BC" w14:textId="77777777" w:rsidR="00111562" w:rsidRPr="00F737E1" w:rsidRDefault="00111562" w:rsidP="00111562">
            <w:pPr>
              <w:rPr>
                <w:rFonts w:ascii="Arial" w:hAnsi="Arial" w:cs="Arial"/>
                <w:b/>
                <w:bCs/>
              </w:rPr>
            </w:pPr>
            <w:r w:rsidRPr="00F737E1">
              <w:rPr>
                <w:rFonts w:ascii="Arial" w:hAnsi="Arial" w:cs="Arial"/>
                <w:b/>
                <w:bCs/>
              </w:rPr>
              <w:t xml:space="preserve">Overarching outcome measures/ metrics: </w:t>
            </w:r>
          </w:p>
          <w:p w14:paraId="3F823621" w14:textId="77777777" w:rsidR="00111562" w:rsidRPr="00F737E1" w:rsidRDefault="00111562" w:rsidP="00111562">
            <w:pPr>
              <w:rPr>
                <w:rFonts w:ascii="Arial" w:hAnsi="Arial" w:cs="Arial"/>
              </w:rPr>
            </w:pPr>
          </w:p>
          <w:p w14:paraId="0163745C" w14:textId="77777777" w:rsidR="00111562" w:rsidRPr="00F737E1" w:rsidRDefault="00111562" w:rsidP="00111562">
            <w:pPr>
              <w:rPr>
                <w:rFonts w:ascii="Arial" w:hAnsi="Arial" w:cs="Arial"/>
              </w:rPr>
            </w:pPr>
            <w:r w:rsidRPr="00F737E1">
              <w:rPr>
                <w:rFonts w:ascii="Arial" w:hAnsi="Arial" w:cs="Arial"/>
              </w:rPr>
              <w:t xml:space="preserve">Our work </w:t>
            </w:r>
            <w:r>
              <w:rPr>
                <w:rFonts w:ascii="Arial" w:hAnsi="Arial" w:cs="Arial"/>
              </w:rPr>
              <w:t>during 24/25 aimed to</w:t>
            </w:r>
            <w:r w:rsidRPr="00F737E1">
              <w:rPr>
                <w:rFonts w:ascii="Arial" w:hAnsi="Arial" w:cs="Arial"/>
              </w:rPr>
              <w:t xml:space="preserve"> support</w:t>
            </w:r>
            <w:r>
              <w:rPr>
                <w:rFonts w:ascii="Arial" w:hAnsi="Arial" w:cs="Arial"/>
              </w:rPr>
              <w:t xml:space="preserve"> </w:t>
            </w:r>
            <w:r w:rsidRPr="00F737E1">
              <w:rPr>
                <w:rFonts w:ascii="Arial" w:hAnsi="Arial" w:cs="Arial"/>
              </w:rPr>
              <w:t xml:space="preserve">the achievement of the following systems wide outcomes: </w:t>
            </w:r>
          </w:p>
          <w:p w14:paraId="0BC4BF81" w14:textId="3F73ADFC" w:rsidR="00DA65E3" w:rsidRPr="00DA65E3" w:rsidRDefault="00DA65E3" w:rsidP="00DA65E3">
            <w:pPr>
              <w:pStyle w:val="ListParagraph"/>
              <w:numPr>
                <w:ilvl w:val="0"/>
                <w:numId w:val="17"/>
              </w:numPr>
              <w:rPr>
                <w:rFonts w:ascii="Arial" w:hAnsi="Arial" w:cs="Arial"/>
              </w:rPr>
            </w:pPr>
            <w:r w:rsidRPr="00DA65E3">
              <w:rPr>
                <w:rFonts w:ascii="Arial" w:hAnsi="Arial" w:cs="Arial"/>
              </w:rPr>
              <w:t xml:space="preserve">Increase the number of working age adults in good health </w:t>
            </w:r>
          </w:p>
          <w:p w14:paraId="36BA36A8" w14:textId="665ECDA4" w:rsidR="00DA65E3" w:rsidRPr="00DA65E3" w:rsidRDefault="00DA65E3" w:rsidP="00DA65E3">
            <w:pPr>
              <w:pStyle w:val="ListParagraph"/>
              <w:numPr>
                <w:ilvl w:val="0"/>
                <w:numId w:val="17"/>
              </w:numPr>
              <w:rPr>
                <w:rFonts w:ascii="Arial" w:hAnsi="Arial" w:cs="Arial"/>
              </w:rPr>
            </w:pPr>
            <w:r w:rsidRPr="00DA65E3">
              <w:rPr>
                <w:rFonts w:ascii="Arial" w:hAnsi="Arial" w:cs="Arial"/>
              </w:rPr>
              <w:t>Increase the proportion of working age adults free from limiting long term illness</w:t>
            </w:r>
          </w:p>
          <w:p w14:paraId="7436800E" w14:textId="55A84780" w:rsidR="00DA65E3" w:rsidRPr="00DA65E3" w:rsidRDefault="00DA65E3" w:rsidP="00DA65E3">
            <w:pPr>
              <w:pStyle w:val="ListParagraph"/>
              <w:numPr>
                <w:ilvl w:val="0"/>
                <w:numId w:val="17"/>
              </w:numPr>
              <w:rPr>
                <w:rFonts w:ascii="Arial" w:hAnsi="Arial" w:cs="Arial"/>
              </w:rPr>
            </w:pPr>
            <w:r w:rsidRPr="00DA65E3">
              <w:rPr>
                <w:rFonts w:ascii="Arial" w:hAnsi="Arial" w:cs="Arial"/>
              </w:rPr>
              <w:lastRenderedPageBreak/>
              <w:t xml:space="preserve">Increase the number of older people in good health </w:t>
            </w:r>
          </w:p>
          <w:p w14:paraId="1925BA42" w14:textId="40DB351A" w:rsidR="006B6E83" w:rsidRPr="00DA65E3" w:rsidRDefault="00DA65E3" w:rsidP="00DA65E3">
            <w:pPr>
              <w:pStyle w:val="ListParagraph"/>
              <w:numPr>
                <w:ilvl w:val="0"/>
                <w:numId w:val="17"/>
              </w:numPr>
              <w:rPr>
                <w:rFonts w:ascii="Arial" w:hAnsi="Arial" w:cs="Arial"/>
              </w:rPr>
            </w:pPr>
            <w:r w:rsidRPr="00DA65E3">
              <w:rPr>
                <w:rFonts w:ascii="Arial" w:hAnsi="Arial" w:cs="Arial"/>
              </w:rPr>
              <w:t>Increase the proportion of older people free from limiting long term illness</w:t>
            </w:r>
          </w:p>
          <w:p w14:paraId="46B49CC6" w14:textId="77777777" w:rsidR="006B6E83" w:rsidRDefault="006B6E83" w:rsidP="002F4D40">
            <w:pPr>
              <w:rPr>
                <w:rFonts w:ascii="Arial" w:hAnsi="Arial" w:cs="Arial"/>
                <w:b/>
                <w:bCs/>
              </w:rPr>
            </w:pPr>
          </w:p>
          <w:tbl>
            <w:tblPr>
              <w:tblW w:w="9663" w:type="dxa"/>
              <w:tblCellMar>
                <w:left w:w="0" w:type="dxa"/>
                <w:right w:w="0" w:type="dxa"/>
              </w:tblCellMar>
              <w:tblLook w:val="04A0" w:firstRow="1" w:lastRow="0" w:firstColumn="1" w:lastColumn="0" w:noHBand="0" w:noVBand="1"/>
            </w:tblPr>
            <w:tblGrid>
              <w:gridCol w:w="3792"/>
              <w:gridCol w:w="1036"/>
              <w:gridCol w:w="1286"/>
              <w:gridCol w:w="1164"/>
              <w:gridCol w:w="1186"/>
              <w:gridCol w:w="1199"/>
            </w:tblGrid>
            <w:tr w:rsidR="00D40EEF" w:rsidRPr="00C00E6D" w14:paraId="51E145F3" w14:textId="77777777" w:rsidTr="00D40EEF">
              <w:trPr>
                <w:trHeight w:val="350"/>
              </w:trPr>
              <w:tc>
                <w:tcPr>
                  <w:tcW w:w="3880" w:type="dxa"/>
                  <w:tcBorders>
                    <w:top w:val="single" w:sz="8" w:space="0" w:color="FFFFFF"/>
                    <w:left w:val="single" w:sz="8" w:space="0" w:color="FFFFFF"/>
                    <w:bottom w:val="single" w:sz="24" w:space="0" w:color="8EAADB"/>
                    <w:right w:val="single" w:sz="8" w:space="0" w:color="FFFFFF"/>
                  </w:tcBorders>
                  <w:shd w:val="clear" w:color="auto" w:fill="324F82"/>
                  <w:tcMar>
                    <w:top w:w="72" w:type="dxa"/>
                    <w:left w:w="144" w:type="dxa"/>
                    <w:bottom w:w="72" w:type="dxa"/>
                    <w:right w:w="144" w:type="dxa"/>
                  </w:tcMar>
                  <w:hideMark/>
                </w:tcPr>
                <w:p w14:paraId="6C2B5202" w14:textId="77777777" w:rsidR="00D40EEF" w:rsidRPr="00C00E6D" w:rsidRDefault="00D40EEF" w:rsidP="000C2AB9">
                  <w:pPr>
                    <w:framePr w:hSpace="180" w:wrap="around" w:vAnchor="text" w:hAnchor="text" w:x="-147" w:y="1"/>
                    <w:spacing w:after="0" w:line="240" w:lineRule="auto"/>
                    <w:suppressOverlap/>
                    <w:rPr>
                      <w:rFonts w:ascii="Ubuntu Light" w:eastAsia="Calibri" w:hAnsi="Ubuntu Light" w:cs="Arial"/>
                      <w:lang w:eastAsia="en-GB"/>
                    </w:rPr>
                  </w:pPr>
                  <w:r w:rsidRPr="00C00E6D">
                    <w:rPr>
                      <w:rFonts w:ascii="Ubuntu Light" w:eastAsia="Times New Roman" w:hAnsi="Ubuntu Light" w:cs="Arial"/>
                      <w:color w:val="000000"/>
                    </w:rPr>
                    <w:br w:type="page"/>
                  </w:r>
                  <w:r w:rsidRPr="00C00E6D">
                    <w:rPr>
                      <w:rFonts w:ascii="Ubuntu Light" w:eastAsia="Times New Roman" w:hAnsi="Ubuntu Light" w:cs="Arial"/>
                      <w:color w:val="000000"/>
                    </w:rPr>
                    <w:br w:type="page"/>
                  </w:r>
                  <w:r w:rsidRPr="00C00E6D">
                    <w:rPr>
                      <w:rFonts w:ascii="Ubuntu Light" w:eastAsia="Calibri" w:hAnsi="Ubuntu Light" w:cs="Arial"/>
                      <w:b/>
                      <w:bCs/>
                      <w:color w:val="FFFFFF"/>
                      <w:lang w:eastAsia="en-GB"/>
                    </w:rPr>
                    <w:t>Indicator</w:t>
                  </w:r>
                </w:p>
              </w:tc>
              <w:tc>
                <w:tcPr>
                  <w:tcW w:w="1037" w:type="dxa"/>
                  <w:tcBorders>
                    <w:top w:val="single" w:sz="8" w:space="0" w:color="FFFFFF"/>
                    <w:left w:val="nil"/>
                    <w:bottom w:val="single" w:sz="24" w:space="0" w:color="8EAADB"/>
                    <w:right w:val="single" w:sz="8" w:space="0" w:color="FFFFFF"/>
                  </w:tcBorders>
                  <w:shd w:val="clear" w:color="auto" w:fill="324F82"/>
                  <w:tcMar>
                    <w:top w:w="72" w:type="dxa"/>
                    <w:left w:w="144" w:type="dxa"/>
                    <w:bottom w:w="72" w:type="dxa"/>
                    <w:right w:w="144" w:type="dxa"/>
                  </w:tcMar>
                  <w:hideMark/>
                </w:tcPr>
                <w:p w14:paraId="54F60758" w14:textId="77777777" w:rsidR="00D40EEF" w:rsidRPr="00C00E6D" w:rsidRDefault="00D40EEF"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b/>
                      <w:bCs/>
                      <w:color w:val="FFFFFF"/>
                      <w:lang w:eastAsia="en-GB"/>
                    </w:rPr>
                    <w:t>Earliest date</w:t>
                  </w:r>
                </w:p>
              </w:tc>
              <w:tc>
                <w:tcPr>
                  <w:tcW w:w="1295" w:type="dxa"/>
                  <w:tcBorders>
                    <w:top w:val="single" w:sz="8" w:space="0" w:color="FFFFFF"/>
                    <w:left w:val="nil"/>
                    <w:bottom w:val="single" w:sz="24" w:space="0" w:color="8EAADB"/>
                    <w:right w:val="single" w:sz="8" w:space="0" w:color="FFFFFF"/>
                  </w:tcBorders>
                  <w:shd w:val="clear" w:color="auto" w:fill="324F82"/>
                  <w:tcMar>
                    <w:top w:w="72" w:type="dxa"/>
                    <w:left w:w="144" w:type="dxa"/>
                    <w:bottom w:w="72" w:type="dxa"/>
                    <w:right w:w="144" w:type="dxa"/>
                  </w:tcMar>
                  <w:hideMark/>
                </w:tcPr>
                <w:p w14:paraId="7D84951B" w14:textId="77777777" w:rsidR="00D40EEF" w:rsidRPr="00C00E6D" w:rsidRDefault="00D40EEF"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b/>
                      <w:bCs/>
                      <w:color w:val="FFFFFF"/>
                      <w:lang w:eastAsia="en-GB"/>
                    </w:rPr>
                    <w:t>Earliest</w:t>
                  </w:r>
                </w:p>
              </w:tc>
              <w:tc>
                <w:tcPr>
                  <w:tcW w:w="1166" w:type="dxa"/>
                  <w:tcBorders>
                    <w:top w:val="single" w:sz="8" w:space="0" w:color="FFFFFF"/>
                    <w:left w:val="nil"/>
                    <w:bottom w:val="single" w:sz="24" w:space="0" w:color="8EAADB"/>
                    <w:right w:val="single" w:sz="8" w:space="0" w:color="FFFFFF"/>
                  </w:tcBorders>
                  <w:shd w:val="clear" w:color="auto" w:fill="324F82"/>
                  <w:tcMar>
                    <w:top w:w="72" w:type="dxa"/>
                    <w:left w:w="144" w:type="dxa"/>
                    <w:bottom w:w="72" w:type="dxa"/>
                    <w:right w:w="144" w:type="dxa"/>
                  </w:tcMar>
                  <w:hideMark/>
                </w:tcPr>
                <w:p w14:paraId="62591A5A" w14:textId="77777777" w:rsidR="00D40EEF" w:rsidRPr="00C00E6D" w:rsidRDefault="00D40EEF"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b/>
                      <w:bCs/>
                      <w:color w:val="FFFFFF"/>
                      <w:lang w:eastAsia="en-GB"/>
                    </w:rPr>
                    <w:t>Baseline date</w:t>
                  </w:r>
                </w:p>
              </w:tc>
              <w:tc>
                <w:tcPr>
                  <w:tcW w:w="1189" w:type="dxa"/>
                  <w:tcBorders>
                    <w:top w:val="single" w:sz="8" w:space="0" w:color="FFFFFF"/>
                    <w:left w:val="nil"/>
                    <w:bottom w:val="single" w:sz="24" w:space="0" w:color="8EAADB"/>
                    <w:right w:val="single" w:sz="8" w:space="0" w:color="FFFFFF"/>
                  </w:tcBorders>
                  <w:shd w:val="clear" w:color="auto" w:fill="324F82"/>
                  <w:tcMar>
                    <w:top w:w="72" w:type="dxa"/>
                    <w:left w:w="144" w:type="dxa"/>
                    <w:bottom w:w="72" w:type="dxa"/>
                    <w:right w:w="144" w:type="dxa"/>
                  </w:tcMar>
                  <w:hideMark/>
                </w:tcPr>
                <w:p w14:paraId="0F54DE1E" w14:textId="77777777" w:rsidR="00D40EEF" w:rsidRPr="00C00E6D" w:rsidRDefault="00D40EEF"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b/>
                      <w:bCs/>
                      <w:color w:val="FFFFFF"/>
                      <w:lang w:eastAsia="en-GB"/>
                    </w:rPr>
                    <w:t>Baseline</w:t>
                  </w:r>
                </w:p>
              </w:tc>
              <w:tc>
                <w:tcPr>
                  <w:tcW w:w="0" w:type="auto"/>
                  <w:tcBorders>
                    <w:top w:val="single" w:sz="8" w:space="0" w:color="FFFFFF"/>
                    <w:left w:val="nil"/>
                    <w:bottom w:val="single" w:sz="24" w:space="0" w:color="8EAADB"/>
                    <w:right w:val="single" w:sz="8" w:space="0" w:color="FFFFFF"/>
                  </w:tcBorders>
                  <w:shd w:val="clear" w:color="auto" w:fill="324F82"/>
                  <w:tcMar>
                    <w:top w:w="72" w:type="dxa"/>
                    <w:left w:w="144" w:type="dxa"/>
                    <w:bottom w:w="72" w:type="dxa"/>
                    <w:right w:w="144" w:type="dxa"/>
                  </w:tcMar>
                  <w:hideMark/>
                </w:tcPr>
                <w:p w14:paraId="45D9DC32" w14:textId="77777777" w:rsidR="00D40EEF" w:rsidRPr="00C00E6D" w:rsidRDefault="00D40EEF" w:rsidP="000C2AB9">
                  <w:pPr>
                    <w:framePr w:hSpace="180" w:wrap="around" w:vAnchor="text" w:hAnchor="text" w:x="-147" w:y="1"/>
                    <w:spacing w:after="0" w:line="240" w:lineRule="auto"/>
                    <w:suppressOverlap/>
                    <w:jc w:val="center"/>
                    <w:rPr>
                      <w:rFonts w:ascii="Ubuntu Light" w:eastAsia="Calibri" w:hAnsi="Ubuntu Light" w:cs="Arial"/>
                      <w:lang w:eastAsia="en-GB"/>
                    </w:rPr>
                  </w:pPr>
                  <w:proofErr w:type="gramStart"/>
                  <w:r w:rsidRPr="00C00E6D">
                    <w:rPr>
                      <w:rFonts w:ascii="Ubuntu Light" w:eastAsia="Calibri" w:hAnsi="Ubuntu Light" w:cs="Arial"/>
                      <w:b/>
                      <w:bCs/>
                      <w:color w:val="FFFFFF"/>
                      <w:lang w:eastAsia="en-GB"/>
                    </w:rPr>
                    <w:t>Change</w:t>
                  </w:r>
                  <w:r w:rsidRPr="00C00E6D">
                    <w:rPr>
                      <w:rFonts w:ascii="Ubuntu Light" w:eastAsia="Calibri" w:hAnsi="Ubuntu Light" w:cs="Arial"/>
                      <w:b/>
                      <w:bCs/>
                      <w:color w:val="FFFFFF"/>
                      <w:vertAlign w:val="superscript"/>
                      <w:lang w:eastAsia="en-GB"/>
                    </w:rPr>
                    <w:footnoteReference w:customMarkFollows="1" w:id="7"/>
                    <w:t>[</w:t>
                  </w:r>
                  <w:proofErr w:type="gramEnd"/>
                  <w:r w:rsidRPr="00C00E6D">
                    <w:rPr>
                      <w:rFonts w:ascii="Ubuntu Light" w:eastAsia="Calibri" w:hAnsi="Ubuntu Light" w:cs="Arial"/>
                      <w:b/>
                      <w:bCs/>
                      <w:color w:val="FFFFFF"/>
                      <w:vertAlign w:val="superscript"/>
                      <w:lang w:eastAsia="en-GB"/>
                    </w:rPr>
                    <w:t>1]</w:t>
                  </w:r>
                </w:p>
              </w:tc>
            </w:tr>
            <w:tr w:rsidR="00D40EEF" w:rsidRPr="00C00E6D" w14:paraId="5E7EA090" w14:textId="77777777" w:rsidTr="00D40EEF">
              <w:trPr>
                <w:trHeight w:val="306"/>
              </w:trPr>
              <w:tc>
                <w:tcPr>
                  <w:tcW w:w="3880" w:type="dxa"/>
                  <w:tcBorders>
                    <w:top w:val="nil"/>
                    <w:left w:val="single" w:sz="24" w:space="0" w:color="ECA9F1"/>
                    <w:bottom w:val="single" w:sz="8" w:space="0" w:color="F2F2F2"/>
                    <w:right w:val="single" w:sz="8" w:space="0" w:color="F2F2F2"/>
                  </w:tcBorders>
                  <w:tcMar>
                    <w:top w:w="72" w:type="dxa"/>
                    <w:left w:w="144" w:type="dxa"/>
                    <w:bottom w:w="72" w:type="dxa"/>
                    <w:right w:w="144" w:type="dxa"/>
                  </w:tcMar>
                  <w:hideMark/>
                </w:tcPr>
                <w:p w14:paraId="4A4568AC" w14:textId="77777777" w:rsidR="00D40EEF" w:rsidRPr="00C00E6D" w:rsidRDefault="00D40EEF" w:rsidP="000C2AB9">
                  <w:pPr>
                    <w:framePr w:hSpace="180" w:wrap="around" w:vAnchor="text" w:hAnchor="text" w:x="-147" w:y="1"/>
                    <w:spacing w:after="0" w:line="240" w:lineRule="auto"/>
                    <w:suppressOverlap/>
                    <w:rPr>
                      <w:rFonts w:ascii="Ubuntu Light" w:eastAsia="Calibri" w:hAnsi="Ubuntu Light" w:cs="Arial"/>
                      <w:lang w:eastAsia="en-GB"/>
                    </w:rPr>
                  </w:pPr>
                  <w:r w:rsidRPr="00C00E6D">
                    <w:rPr>
                      <w:rFonts w:ascii="Ubuntu Light" w:eastAsia="Calibri" w:hAnsi="Ubuntu Light" w:cs="Arial"/>
                      <w:color w:val="000000"/>
                      <w:lang w:eastAsia="en-GB"/>
                    </w:rPr>
                    <w:t>Working age adults of good health</w:t>
                  </w:r>
                </w:p>
              </w:tc>
              <w:tc>
                <w:tcPr>
                  <w:tcW w:w="1037" w:type="dxa"/>
                  <w:tcBorders>
                    <w:top w:val="nil"/>
                    <w:left w:val="nil"/>
                    <w:bottom w:val="single" w:sz="8" w:space="0" w:color="F2F2F2"/>
                    <w:right w:val="single" w:sz="8" w:space="0" w:color="F2F2F2"/>
                  </w:tcBorders>
                  <w:tcMar>
                    <w:top w:w="72" w:type="dxa"/>
                    <w:left w:w="144" w:type="dxa"/>
                    <w:bottom w:w="72" w:type="dxa"/>
                    <w:right w:w="144" w:type="dxa"/>
                  </w:tcMar>
                </w:tcPr>
                <w:p w14:paraId="63CD6FD0" w14:textId="77777777" w:rsidR="00D40EEF" w:rsidRPr="00C00E6D" w:rsidRDefault="00D40EEF"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color w:val="000000"/>
                      <w:lang w:eastAsia="en-GB"/>
                    </w:rPr>
                    <w:t>2016-17</w:t>
                  </w:r>
                </w:p>
              </w:tc>
              <w:tc>
                <w:tcPr>
                  <w:tcW w:w="1295" w:type="dxa"/>
                  <w:tcBorders>
                    <w:top w:val="nil"/>
                    <w:left w:val="nil"/>
                    <w:bottom w:val="single" w:sz="8" w:space="0" w:color="F2F2F2"/>
                    <w:right w:val="single" w:sz="8" w:space="0" w:color="F2F2F2"/>
                  </w:tcBorders>
                  <w:tcMar>
                    <w:top w:w="72" w:type="dxa"/>
                    <w:left w:w="144" w:type="dxa"/>
                    <w:bottom w:w="72" w:type="dxa"/>
                    <w:right w:w="144" w:type="dxa"/>
                  </w:tcMar>
                </w:tcPr>
                <w:p w14:paraId="5B477CE4" w14:textId="77777777" w:rsidR="00D40EEF" w:rsidRPr="00C00E6D" w:rsidRDefault="00D40EEF"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color w:val="000000"/>
                      <w:lang w:eastAsia="en-GB"/>
                    </w:rPr>
                    <w:t>77.0 %</w:t>
                  </w:r>
                </w:p>
              </w:tc>
              <w:tc>
                <w:tcPr>
                  <w:tcW w:w="1166" w:type="dxa"/>
                  <w:tcBorders>
                    <w:top w:val="nil"/>
                    <w:left w:val="nil"/>
                    <w:bottom w:val="single" w:sz="8" w:space="0" w:color="F2F2F2"/>
                    <w:right w:val="single" w:sz="8" w:space="0" w:color="F2F2F2"/>
                  </w:tcBorders>
                  <w:tcMar>
                    <w:top w:w="72" w:type="dxa"/>
                    <w:left w:w="144" w:type="dxa"/>
                    <w:bottom w:w="72" w:type="dxa"/>
                    <w:right w:w="144" w:type="dxa"/>
                  </w:tcMar>
                </w:tcPr>
                <w:p w14:paraId="608F1A1B" w14:textId="77777777" w:rsidR="00D40EEF" w:rsidRPr="00C00E6D" w:rsidRDefault="00D40EEF"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color w:val="000000"/>
                      <w:lang w:eastAsia="en-GB"/>
                    </w:rPr>
                    <w:t>2022-23</w:t>
                  </w:r>
                </w:p>
              </w:tc>
              <w:tc>
                <w:tcPr>
                  <w:tcW w:w="1189" w:type="dxa"/>
                  <w:tcBorders>
                    <w:top w:val="nil"/>
                    <w:left w:val="nil"/>
                    <w:bottom w:val="single" w:sz="8" w:space="0" w:color="F2F2F2"/>
                    <w:right w:val="single" w:sz="8" w:space="0" w:color="F2F2F2"/>
                  </w:tcBorders>
                  <w:tcMar>
                    <w:top w:w="72" w:type="dxa"/>
                    <w:left w:w="144" w:type="dxa"/>
                    <w:bottom w:w="72" w:type="dxa"/>
                    <w:right w:w="144" w:type="dxa"/>
                  </w:tcMar>
                </w:tcPr>
                <w:p w14:paraId="6CE9717F" w14:textId="77777777" w:rsidR="00D40EEF" w:rsidRPr="00C00E6D" w:rsidRDefault="00D40EEF"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color w:val="000000"/>
                      <w:lang w:eastAsia="en-GB"/>
                    </w:rPr>
                    <w:t>72.6 %</w:t>
                  </w:r>
                </w:p>
              </w:tc>
              <w:tc>
                <w:tcPr>
                  <w:tcW w:w="0" w:type="auto"/>
                  <w:tcBorders>
                    <w:top w:val="nil"/>
                    <w:left w:val="nil"/>
                    <w:bottom w:val="single" w:sz="8" w:space="0" w:color="F2F2F2"/>
                    <w:right w:val="single" w:sz="24" w:space="0" w:color="ECA9F1"/>
                  </w:tcBorders>
                  <w:tcMar>
                    <w:top w:w="72" w:type="dxa"/>
                    <w:left w:w="144" w:type="dxa"/>
                    <w:bottom w:w="72" w:type="dxa"/>
                    <w:right w:w="144" w:type="dxa"/>
                  </w:tcMar>
                </w:tcPr>
                <w:p w14:paraId="52B4005C" w14:textId="77777777" w:rsidR="00D40EEF" w:rsidRPr="00C00E6D" w:rsidRDefault="00D40EEF" w:rsidP="000C2AB9">
                  <w:pPr>
                    <w:framePr w:hSpace="180" w:wrap="around" w:vAnchor="text" w:hAnchor="text" w:x="-147" w:y="1"/>
                    <w:spacing w:after="0" w:line="240" w:lineRule="auto"/>
                    <w:suppressOverlap/>
                    <w:jc w:val="center"/>
                    <w:rPr>
                      <w:rFonts w:ascii="Ubuntu Light" w:eastAsia="Calibri" w:hAnsi="Ubuntu Light" w:cs="Arial"/>
                      <w:color w:val="FF0000"/>
                      <w:lang w:eastAsia="en-GB"/>
                    </w:rPr>
                  </w:pPr>
                  <w:r w:rsidRPr="00C00E6D">
                    <w:rPr>
                      <w:rFonts w:ascii="Ubuntu Light" w:eastAsia="Calibri" w:hAnsi="Ubuntu Light" w:cs="Arial"/>
                      <w:b/>
                      <w:bCs/>
                      <w:color w:val="EB0000"/>
                      <w:lang w:eastAsia="en-GB"/>
                    </w:rPr>
                    <w:t>- 5.7%</w:t>
                  </w:r>
                </w:p>
              </w:tc>
            </w:tr>
            <w:tr w:rsidR="00D40EEF" w:rsidRPr="00C00E6D" w14:paraId="7D00EDAB" w14:textId="77777777" w:rsidTr="00D40EEF">
              <w:trPr>
                <w:trHeight w:val="306"/>
              </w:trPr>
              <w:tc>
                <w:tcPr>
                  <w:tcW w:w="3880" w:type="dxa"/>
                  <w:tcBorders>
                    <w:top w:val="nil"/>
                    <w:left w:val="single" w:sz="24" w:space="0" w:color="ECA9F1"/>
                    <w:bottom w:val="single" w:sz="8" w:space="0" w:color="F2F2F2"/>
                    <w:right w:val="single" w:sz="8" w:space="0" w:color="F2F2F2"/>
                  </w:tcBorders>
                  <w:tcMar>
                    <w:top w:w="72" w:type="dxa"/>
                    <w:left w:w="144" w:type="dxa"/>
                    <w:bottom w:w="72" w:type="dxa"/>
                    <w:right w:w="144" w:type="dxa"/>
                  </w:tcMar>
                  <w:hideMark/>
                </w:tcPr>
                <w:p w14:paraId="3AE297AB" w14:textId="77777777" w:rsidR="00D40EEF" w:rsidRPr="00C00E6D" w:rsidRDefault="00D40EEF" w:rsidP="000C2AB9">
                  <w:pPr>
                    <w:framePr w:hSpace="180" w:wrap="around" w:vAnchor="text" w:hAnchor="text" w:x="-147" w:y="1"/>
                    <w:spacing w:after="0" w:line="240" w:lineRule="auto"/>
                    <w:suppressOverlap/>
                    <w:rPr>
                      <w:rFonts w:ascii="Ubuntu Light" w:eastAsia="Calibri" w:hAnsi="Ubuntu Light" w:cs="Arial"/>
                      <w:lang w:eastAsia="en-GB"/>
                    </w:rPr>
                  </w:pPr>
                  <w:r w:rsidRPr="00C00E6D">
                    <w:rPr>
                      <w:rFonts w:ascii="Ubuntu Light" w:eastAsia="Calibri" w:hAnsi="Ubuntu Light" w:cs="Arial"/>
                      <w:color w:val="000000"/>
                      <w:lang w:eastAsia="en-GB"/>
                    </w:rPr>
                    <w:t>Working age adults free from LLTI</w:t>
                  </w:r>
                </w:p>
              </w:tc>
              <w:tc>
                <w:tcPr>
                  <w:tcW w:w="1037" w:type="dxa"/>
                  <w:tcBorders>
                    <w:top w:val="nil"/>
                    <w:left w:val="nil"/>
                    <w:bottom w:val="single" w:sz="8" w:space="0" w:color="F2F2F2"/>
                    <w:right w:val="single" w:sz="8" w:space="0" w:color="F2F2F2"/>
                  </w:tcBorders>
                  <w:tcMar>
                    <w:top w:w="72" w:type="dxa"/>
                    <w:left w:w="144" w:type="dxa"/>
                    <w:bottom w:w="72" w:type="dxa"/>
                    <w:right w:w="144" w:type="dxa"/>
                  </w:tcMar>
                </w:tcPr>
                <w:p w14:paraId="21E14F6B" w14:textId="77777777" w:rsidR="00D40EEF" w:rsidRPr="00C00E6D" w:rsidRDefault="00D40EEF"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color w:val="000000"/>
                      <w:lang w:eastAsia="en-GB"/>
                    </w:rPr>
                    <w:t>2016-17</w:t>
                  </w:r>
                </w:p>
              </w:tc>
              <w:tc>
                <w:tcPr>
                  <w:tcW w:w="1295" w:type="dxa"/>
                  <w:tcBorders>
                    <w:top w:val="nil"/>
                    <w:left w:val="nil"/>
                    <w:bottom w:val="single" w:sz="8" w:space="0" w:color="F2F2F2"/>
                    <w:right w:val="single" w:sz="8" w:space="0" w:color="F2F2F2"/>
                  </w:tcBorders>
                  <w:tcMar>
                    <w:top w:w="72" w:type="dxa"/>
                    <w:left w:w="144" w:type="dxa"/>
                    <w:bottom w:w="72" w:type="dxa"/>
                    <w:right w:w="144" w:type="dxa"/>
                  </w:tcMar>
                </w:tcPr>
                <w:p w14:paraId="5BB07C9C" w14:textId="77777777" w:rsidR="00D40EEF" w:rsidRPr="00C00E6D" w:rsidRDefault="00D40EEF"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color w:val="000000"/>
                      <w:lang w:eastAsia="en-GB"/>
                    </w:rPr>
                    <w:t>73.7 %</w:t>
                  </w:r>
                </w:p>
              </w:tc>
              <w:tc>
                <w:tcPr>
                  <w:tcW w:w="1166" w:type="dxa"/>
                  <w:tcBorders>
                    <w:top w:val="nil"/>
                    <w:left w:val="nil"/>
                    <w:bottom w:val="single" w:sz="8" w:space="0" w:color="F2F2F2"/>
                    <w:right w:val="single" w:sz="8" w:space="0" w:color="F2F2F2"/>
                  </w:tcBorders>
                  <w:tcMar>
                    <w:top w:w="72" w:type="dxa"/>
                    <w:left w:w="144" w:type="dxa"/>
                    <w:bottom w:w="72" w:type="dxa"/>
                    <w:right w:w="144" w:type="dxa"/>
                  </w:tcMar>
                </w:tcPr>
                <w:p w14:paraId="1CA9441E" w14:textId="77777777" w:rsidR="00D40EEF" w:rsidRPr="00C00E6D" w:rsidRDefault="00D40EEF"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color w:val="000000"/>
                      <w:lang w:eastAsia="en-GB"/>
                    </w:rPr>
                    <w:t>2022-23</w:t>
                  </w:r>
                </w:p>
              </w:tc>
              <w:tc>
                <w:tcPr>
                  <w:tcW w:w="1189" w:type="dxa"/>
                  <w:tcBorders>
                    <w:top w:val="nil"/>
                    <w:left w:val="nil"/>
                    <w:bottom w:val="single" w:sz="8" w:space="0" w:color="F2F2F2"/>
                    <w:right w:val="single" w:sz="8" w:space="0" w:color="F2F2F2"/>
                  </w:tcBorders>
                  <w:tcMar>
                    <w:top w:w="72" w:type="dxa"/>
                    <w:left w:w="144" w:type="dxa"/>
                    <w:bottom w:w="72" w:type="dxa"/>
                    <w:right w:w="144" w:type="dxa"/>
                  </w:tcMar>
                </w:tcPr>
                <w:p w14:paraId="24A6E567" w14:textId="77777777" w:rsidR="00D40EEF" w:rsidRPr="00C00E6D" w:rsidRDefault="00D40EEF"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color w:val="000000"/>
                      <w:lang w:eastAsia="en-GB"/>
                    </w:rPr>
                    <w:t>68.7 %</w:t>
                  </w:r>
                </w:p>
              </w:tc>
              <w:tc>
                <w:tcPr>
                  <w:tcW w:w="0" w:type="auto"/>
                  <w:tcBorders>
                    <w:top w:val="nil"/>
                    <w:left w:val="nil"/>
                    <w:bottom w:val="single" w:sz="8" w:space="0" w:color="F2F2F2"/>
                    <w:right w:val="single" w:sz="24" w:space="0" w:color="ECA9F1"/>
                  </w:tcBorders>
                  <w:tcMar>
                    <w:top w:w="72" w:type="dxa"/>
                    <w:left w:w="144" w:type="dxa"/>
                    <w:bottom w:w="72" w:type="dxa"/>
                    <w:right w:w="144" w:type="dxa"/>
                  </w:tcMar>
                </w:tcPr>
                <w:p w14:paraId="31BB643B" w14:textId="77777777" w:rsidR="00D40EEF" w:rsidRPr="00C00E6D" w:rsidRDefault="00D40EEF" w:rsidP="000C2AB9">
                  <w:pPr>
                    <w:framePr w:hSpace="180" w:wrap="around" w:vAnchor="text" w:hAnchor="text" w:x="-147" w:y="1"/>
                    <w:spacing w:after="0" w:line="240" w:lineRule="auto"/>
                    <w:suppressOverlap/>
                    <w:jc w:val="center"/>
                    <w:rPr>
                      <w:rFonts w:ascii="Ubuntu Light" w:eastAsia="Calibri" w:hAnsi="Ubuntu Light" w:cs="Arial"/>
                      <w:color w:val="FF0000"/>
                      <w:lang w:eastAsia="en-GB"/>
                    </w:rPr>
                  </w:pPr>
                  <w:r w:rsidRPr="00C00E6D">
                    <w:rPr>
                      <w:rFonts w:ascii="Ubuntu Light" w:eastAsia="Calibri" w:hAnsi="Ubuntu Light" w:cs="Arial"/>
                      <w:b/>
                      <w:bCs/>
                      <w:color w:val="EB0000"/>
                      <w:lang w:eastAsia="en-GB"/>
                    </w:rPr>
                    <w:t>- 3.7%</w:t>
                  </w:r>
                </w:p>
              </w:tc>
            </w:tr>
            <w:tr w:rsidR="00D40EEF" w:rsidRPr="00C00E6D" w14:paraId="30C2B247" w14:textId="77777777" w:rsidTr="00D40EEF">
              <w:trPr>
                <w:trHeight w:val="306"/>
              </w:trPr>
              <w:tc>
                <w:tcPr>
                  <w:tcW w:w="3880" w:type="dxa"/>
                  <w:tcBorders>
                    <w:top w:val="nil"/>
                    <w:left w:val="single" w:sz="24" w:space="0" w:color="ECA9F1"/>
                    <w:bottom w:val="single" w:sz="8" w:space="0" w:color="F2F2F2"/>
                    <w:right w:val="single" w:sz="8" w:space="0" w:color="F2F2F2"/>
                  </w:tcBorders>
                  <w:tcMar>
                    <w:top w:w="72" w:type="dxa"/>
                    <w:left w:w="144" w:type="dxa"/>
                    <w:bottom w:w="72" w:type="dxa"/>
                    <w:right w:w="144" w:type="dxa"/>
                  </w:tcMar>
                  <w:hideMark/>
                </w:tcPr>
                <w:p w14:paraId="27AAA8D7" w14:textId="77777777" w:rsidR="00D40EEF" w:rsidRPr="00C00E6D" w:rsidRDefault="00D40EEF" w:rsidP="000C2AB9">
                  <w:pPr>
                    <w:framePr w:hSpace="180" w:wrap="around" w:vAnchor="text" w:hAnchor="text" w:x="-147" w:y="1"/>
                    <w:spacing w:after="0" w:line="240" w:lineRule="auto"/>
                    <w:suppressOverlap/>
                    <w:rPr>
                      <w:rFonts w:ascii="Ubuntu Light" w:eastAsia="Calibri" w:hAnsi="Ubuntu Light" w:cs="Arial"/>
                      <w:lang w:eastAsia="en-GB"/>
                    </w:rPr>
                  </w:pPr>
                  <w:r w:rsidRPr="00C00E6D">
                    <w:rPr>
                      <w:rFonts w:ascii="Ubuntu Light" w:eastAsia="Calibri" w:hAnsi="Ubuntu Light" w:cs="Arial"/>
                      <w:color w:val="000000"/>
                      <w:lang w:eastAsia="en-GB"/>
                    </w:rPr>
                    <w:t>Older people in good health</w:t>
                  </w:r>
                </w:p>
              </w:tc>
              <w:tc>
                <w:tcPr>
                  <w:tcW w:w="1037" w:type="dxa"/>
                  <w:tcBorders>
                    <w:top w:val="nil"/>
                    <w:left w:val="nil"/>
                    <w:bottom w:val="single" w:sz="8" w:space="0" w:color="F2F2F2"/>
                    <w:right w:val="single" w:sz="8" w:space="0" w:color="F2F2F2"/>
                  </w:tcBorders>
                  <w:tcMar>
                    <w:top w:w="72" w:type="dxa"/>
                    <w:left w:w="144" w:type="dxa"/>
                    <w:bottom w:w="72" w:type="dxa"/>
                    <w:right w:w="144" w:type="dxa"/>
                  </w:tcMar>
                  <w:hideMark/>
                </w:tcPr>
                <w:p w14:paraId="591C1359" w14:textId="77777777" w:rsidR="00D40EEF" w:rsidRPr="00C00E6D" w:rsidRDefault="00D40EEF"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color w:val="000000"/>
                      <w:lang w:eastAsia="en-GB"/>
                    </w:rPr>
                    <w:t>2016-17</w:t>
                  </w:r>
                </w:p>
              </w:tc>
              <w:tc>
                <w:tcPr>
                  <w:tcW w:w="1295" w:type="dxa"/>
                  <w:tcBorders>
                    <w:top w:val="nil"/>
                    <w:left w:val="nil"/>
                    <w:bottom w:val="single" w:sz="8" w:space="0" w:color="F2F2F2"/>
                    <w:right w:val="single" w:sz="8" w:space="0" w:color="F2F2F2"/>
                  </w:tcBorders>
                  <w:tcMar>
                    <w:top w:w="72" w:type="dxa"/>
                    <w:left w:w="144" w:type="dxa"/>
                    <w:bottom w:w="72" w:type="dxa"/>
                    <w:right w:w="144" w:type="dxa"/>
                  </w:tcMar>
                  <w:hideMark/>
                </w:tcPr>
                <w:p w14:paraId="251F35F8" w14:textId="77777777" w:rsidR="00D40EEF" w:rsidRPr="00C00E6D" w:rsidRDefault="00D40EEF"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color w:val="000000"/>
                      <w:lang w:eastAsia="en-GB"/>
                    </w:rPr>
                    <w:t>57.6 %</w:t>
                  </w:r>
                </w:p>
              </w:tc>
              <w:tc>
                <w:tcPr>
                  <w:tcW w:w="1166" w:type="dxa"/>
                  <w:tcBorders>
                    <w:top w:val="nil"/>
                    <w:left w:val="nil"/>
                    <w:bottom w:val="single" w:sz="8" w:space="0" w:color="F2F2F2"/>
                    <w:right w:val="single" w:sz="8" w:space="0" w:color="F2F2F2"/>
                  </w:tcBorders>
                  <w:tcMar>
                    <w:top w:w="72" w:type="dxa"/>
                    <w:left w:w="144" w:type="dxa"/>
                    <w:bottom w:w="72" w:type="dxa"/>
                    <w:right w:w="144" w:type="dxa"/>
                  </w:tcMar>
                  <w:hideMark/>
                </w:tcPr>
                <w:p w14:paraId="39662F81" w14:textId="77777777" w:rsidR="00D40EEF" w:rsidRPr="00C00E6D" w:rsidRDefault="00D40EEF"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color w:val="000000"/>
                      <w:lang w:eastAsia="en-GB"/>
                    </w:rPr>
                    <w:t>2022-23</w:t>
                  </w:r>
                </w:p>
              </w:tc>
              <w:tc>
                <w:tcPr>
                  <w:tcW w:w="1189" w:type="dxa"/>
                  <w:tcBorders>
                    <w:top w:val="nil"/>
                    <w:left w:val="nil"/>
                    <w:bottom w:val="single" w:sz="8" w:space="0" w:color="F2F2F2"/>
                    <w:right w:val="single" w:sz="8" w:space="0" w:color="F2F2F2"/>
                  </w:tcBorders>
                  <w:tcMar>
                    <w:top w:w="72" w:type="dxa"/>
                    <w:left w:w="144" w:type="dxa"/>
                    <w:bottom w:w="72" w:type="dxa"/>
                    <w:right w:w="144" w:type="dxa"/>
                  </w:tcMar>
                  <w:hideMark/>
                </w:tcPr>
                <w:p w14:paraId="20393B7C" w14:textId="77777777" w:rsidR="00D40EEF" w:rsidRPr="00C00E6D" w:rsidRDefault="00D40EEF"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color w:val="000000"/>
                      <w:lang w:eastAsia="en-GB"/>
                    </w:rPr>
                    <w:t>59.9 %</w:t>
                  </w:r>
                </w:p>
              </w:tc>
              <w:tc>
                <w:tcPr>
                  <w:tcW w:w="0" w:type="auto"/>
                  <w:tcBorders>
                    <w:top w:val="nil"/>
                    <w:left w:val="nil"/>
                    <w:bottom w:val="single" w:sz="8" w:space="0" w:color="F2F2F2"/>
                    <w:right w:val="single" w:sz="24" w:space="0" w:color="ECA9F1"/>
                  </w:tcBorders>
                  <w:tcMar>
                    <w:top w:w="72" w:type="dxa"/>
                    <w:left w:w="144" w:type="dxa"/>
                    <w:bottom w:w="72" w:type="dxa"/>
                    <w:right w:w="144" w:type="dxa"/>
                  </w:tcMar>
                  <w:hideMark/>
                </w:tcPr>
                <w:p w14:paraId="4EABD2CC" w14:textId="77777777" w:rsidR="00D40EEF" w:rsidRPr="00C00E6D" w:rsidRDefault="00D40EEF"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b/>
                      <w:bCs/>
                      <w:lang w:eastAsia="en-GB"/>
                    </w:rPr>
                    <w:t>+ 4 %</w:t>
                  </w:r>
                </w:p>
              </w:tc>
            </w:tr>
            <w:tr w:rsidR="00D40EEF" w:rsidRPr="00C00E6D" w14:paraId="768F099A" w14:textId="77777777" w:rsidTr="00D40EEF">
              <w:trPr>
                <w:trHeight w:val="226"/>
              </w:trPr>
              <w:tc>
                <w:tcPr>
                  <w:tcW w:w="3880" w:type="dxa"/>
                  <w:tcBorders>
                    <w:top w:val="nil"/>
                    <w:left w:val="single" w:sz="24" w:space="0" w:color="ECA9F1"/>
                    <w:bottom w:val="single" w:sz="24" w:space="0" w:color="ECA9F1"/>
                    <w:right w:val="single" w:sz="8" w:space="0" w:color="F2F2F2"/>
                  </w:tcBorders>
                  <w:tcMar>
                    <w:top w:w="72" w:type="dxa"/>
                    <w:left w:w="144" w:type="dxa"/>
                    <w:bottom w:w="72" w:type="dxa"/>
                    <w:right w:w="144" w:type="dxa"/>
                  </w:tcMar>
                  <w:hideMark/>
                </w:tcPr>
                <w:p w14:paraId="383E2349" w14:textId="77777777" w:rsidR="00D40EEF" w:rsidRPr="00C00E6D" w:rsidRDefault="00D40EEF" w:rsidP="000C2AB9">
                  <w:pPr>
                    <w:framePr w:hSpace="180" w:wrap="around" w:vAnchor="text" w:hAnchor="text" w:x="-147" w:y="1"/>
                    <w:spacing w:after="0" w:line="240" w:lineRule="auto"/>
                    <w:suppressOverlap/>
                    <w:rPr>
                      <w:rFonts w:ascii="Ubuntu Light" w:eastAsia="Calibri" w:hAnsi="Ubuntu Light" w:cs="Arial"/>
                      <w:lang w:eastAsia="en-GB"/>
                    </w:rPr>
                  </w:pPr>
                  <w:r w:rsidRPr="00C00E6D">
                    <w:rPr>
                      <w:rFonts w:ascii="Ubuntu Light" w:eastAsia="Calibri" w:hAnsi="Ubuntu Light" w:cs="Arial"/>
                      <w:color w:val="000000"/>
                      <w:lang w:eastAsia="en-GB"/>
                    </w:rPr>
                    <w:t>Older people free from LLTI</w:t>
                  </w:r>
                </w:p>
              </w:tc>
              <w:tc>
                <w:tcPr>
                  <w:tcW w:w="1037" w:type="dxa"/>
                  <w:tcBorders>
                    <w:top w:val="nil"/>
                    <w:left w:val="nil"/>
                    <w:bottom w:val="single" w:sz="24" w:space="0" w:color="ECA9F1"/>
                    <w:right w:val="single" w:sz="8" w:space="0" w:color="F2F2F2"/>
                  </w:tcBorders>
                  <w:tcMar>
                    <w:top w:w="72" w:type="dxa"/>
                    <w:left w:w="144" w:type="dxa"/>
                    <w:bottom w:w="72" w:type="dxa"/>
                    <w:right w:w="144" w:type="dxa"/>
                  </w:tcMar>
                  <w:hideMark/>
                </w:tcPr>
                <w:p w14:paraId="42DC8B06" w14:textId="77777777" w:rsidR="00D40EEF" w:rsidRPr="00C00E6D" w:rsidRDefault="00D40EEF"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color w:val="000000"/>
                      <w:lang w:eastAsia="en-GB"/>
                    </w:rPr>
                    <w:t>2016-17</w:t>
                  </w:r>
                </w:p>
              </w:tc>
              <w:tc>
                <w:tcPr>
                  <w:tcW w:w="1295" w:type="dxa"/>
                  <w:tcBorders>
                    <w:top w:val="nil"/>
                    <w:left w:val="nil"/>
                    <w:bottom w:val="single" w:sz="24" w:space="0" w:color="ECA9F1"/>
                    <w:right w:val="single" w:sz="8" w:space="0" w:color="F2F2F2"/>
                  </w:tcBorders>
                  <w:tcMar>
                    <w:top w:w="72" w:type="dxa"/>
                    <w:left w:w="144" w:type="dxa"/>
                    <w:bottom w:w="72" w:type="dxa"/>
                    <w:right w:w="144" w:type="dxa"/>
                  </w:tcMar>
                  <w:hideMark/>
                </w:tcPr>
                <w:p w14:paraId="21CE476A" w14:textId="77777777" w:rsidR="00D40EEF" w:rsidRPr="00C00E6D" w:rsidRDefault="00D40EEF"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color w:val="000000"/>
                      <w:lang w:eastAsia="en-GB"/>
                    </w:rPr>
                    <w:t>48.0 %</w:t>
                  </w:r>
                </w:p>
              </w:tc>
              <w:tc>
                <w:tcPr>
                  <w:tcW w:w="1166" w:type="dxa"/>
                  <w:tcBorders>
                    <w:top w:val="nil"/>
                    <w:left w:val="nil"/>
                    <w:bottom w:val="single" w:sz="24" w:space="0" w:color="ECA9F1"/>
                    <w:right w:val="single" w:sz="8" w:space="0" w:color="F2F2F2"/>
                  </w:tcBorders>
                  <w:tcMar>
                    <w:top w:w="72" w:type="dxa"/>
                    <w:left w:w="144" w:type="dxa"/>
                    <w:bottom w:w="72" w:type="dxa"/>
                    <w:right w:w="144" w:type="dxa"/>
                  </w:tcMar>
                  <w:hideMark/>
                </w:tcPr>
                <w:p w14:paraId="01966602" w14:textId="77777777" w:rsidR="00D40EEF" w:rsidRPr="00C00E6D" w:rsidRDefault="00D40EEF"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color w:val="000000"/>
                      <w:lang w:eastAsia="en-GB"/>
                    </w:rPr>
                    <w:t>2022-23</w:t>
                  </w:r>
                </w:p>
              </w:tc>
              <w:tc>
                <w:tcPr>
                  <w:tcW w:w="1189" w:type="dxa"/>
                  <w:tcBorders>
                    <w:top w:val="nil"/>
                    <w:left w:val="nil"/>
                    <w:bottom w:val="single" w:sz="24" w:space="0" w:color="ECA9F1"/>
                    <w:right w:val="single" w:sz="8" w:space="0" w:color="F2F2F2"/>
                  </w:tcBorders>
                  <w:tcMar>
                    <w:top w:w="72" w:type="dxa"/>
                    <w:left w:w="144" w:type="dxa"/>
                    <w:bottom w:w="72" w:type="dxa"/>
                    <w:right w:w="144" w:type="dxa"/>
                  </w:tcMar>
                  <w:hideMark/>
                </w:tcPr>
                <w:p w14:paraId="01D40C8F" w14:textId="77777777" w:rsidR="00D40EEF" w:rsidRPr="00C00E6D" w:rsidRDefault="00D40EEF"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color w:val="000000"/>
                      <w:lang w:eastAsia="en-GB"/>
                    </w:rPr>
                    <w:t>47.7 %</w:t>
                  </w:r>
                </w:p>
              </w:tc>
              <w:tc>
                <w:tcPr>
                  <w:tcW w:w="0" w:type="auto"/>
                  <w:tcBorders>
                    <w:top w:val="nil"/>
                    <w:left w:val="nil"/>
                    <w:bottom w:val="single" w:sz="24" w:space="0" w:color="ECA9F1"/>
                    <w:right w:val="single" w:sz="24" w:space="0" w:color="ECA9F1"/>
                  </w:tcBorders>
                  <w:tcMar>
                    <w:top w:w="72" w:type="dxa"/>
                    <w:left w:w="144" w:type="dxa"/>
                    <w:bottom w:w="72" w:type="dxa"/>
                    <w:right w:w="144" w:type="dxa"/>
                  </w:tcMar>
                  <w:hideMark/>
                </w:tcPr>
                <w:p w14:paraId="3EF27569" w14:textId="77777777" w:rsidR="00D40EEF" w:rsidRPr="00C00E6D" w:rsidRDefault="00D40EEF" w:rsidP="000C2AB9">
                  <w:pPr>
                    <w:framePr w:hSpace="180" w:wrap="around" w:vAnchor="text" w:hAnchor="text" w:x="-147" w:y="1"/>
                    <w:spacing w:after="0" w:line="240" w:lineRule="auto"/>
                    <w:suppressOverlap/>
                    <w:jc w:val="center"/>
                    <w:rPr>
                      <w:rFonts w:ascii="Ubuntu Light" w:eastAsia="Calibri" w:hAnsi="Ubuntu Light" w:cs="Arial"/>
                      <w:color w:val="FFF2CC"/>
                      <w:lang w:eastAsia="en-GB"/>
                    </w:rPr>
                  </w:pPr>
                  <w:r w:rsidRPr="00C00E6D">
                    <w:rPr>
                      <w:rFonts w:ascii="Ubuntu Light" w:eastAsia="Calibri" w:hAnsi="Ubuntu Light" w:cs="Arial"/>
                      <w:b/>
                      <w:bCs/>
                      <w:color w:val="000000"/>
                      <w:lang w:eastAsia="en-GB"/>
                    </w:rPr>
                    <w:t>-</w:t>
                  </w:r>
                </w:p>
              </w:tc>
            </w:tr>
          </w:tbl>
          <w:p w14:paraId="57673238" w14:textId="77777777" w:rsidR="00F57F44" w:rsidRPr="00831227" w:rsidRDefault="00F57F44" w:rsidP="002F4D40">
            <w:pPr>
              <w:rPr>
                <w:rFonts w:ascii="Arial" w:hAnsi="Arial" w:cs="Arial"/>
                <w:b/>
                <w:bCs/>
              </w:rPr>
            </w:pPr>
          </w:p>
        </w:tc>
      </w:tr>
      <w:tr w:rsidR="006B6E83" w:rsidRPr="000C3B7B" w14:paraId="4D3D4093" w14:textId="77777777" w:rsidTr="00E05BB2">
        <w:tc>
          <w:tcPr>
            <w:tcW w:w="5000" w:type="pct"/>
            <w:gridSpan w:val="14"/>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7292229" w14:textId="77777777" w:rsidR="006B6E83" w:rsidRPr="00831227" w:rsidRDefault="006B6E83" w:rsidP="002F4D40">
            <w:pPr>
              <w:rPr>
                <w:rFonts w:ascii="Arial" w:hAnsi="Arial" w:cs="Arial"/>
                <w:b/>
                <w:bCs/>
              </w:rPr>
            </w:pPr>
          </w:p>
          <w:p w14:paraId="40105297" w14:textId="788C8C5A" w:rsidR="00041BF2" w:rsidRPr="00831227" w:rsidRDefault="006B6E83" w:rsidP="00D13707">
            <w:pPr>
              <w:rPr>
                <w:rFonts w:ascii="Arial" w:hAnsi="Arial" w:cs="Arial"/>
                <w:b/>
                <w:bCs/>
              </w:rPr>
            </w:pPr>
            <w:r>
              <w:rPr>
                <w:rFonts w:ascii="Arial" w:hAnsi="Arial" w:cs="Arial"/>
                <w:b/>
                <w:bCs/>
              </w:rPr>
              <w:t xml:space="preserve">Planned milestones for </w:t>
            </w:r>
            <w:r w:rsidRPr="00831227">
              <w:rPr>
                <w:rFonts w:ascii="Arial" w:hAnsi="Arial" w:cs="Arial"/>
                <w:b/>
                <w:bCs/>
              </w:rPr>
              <w:t>Priority area to deliver 2025/26</w:t>
            </w:r>
          </w:p>
        </w:tc>
      </w:tr>
      <w:tr w:rsidR="00A4561D" w:rsidRPr="000C3B7B" w14:paraId="15A41523" w14:textId="77777777" w:rsidTr="00EA59A8">
        <w:tc>
          <w:tcPr>
            <w:tcW w:w="600"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E31973" w14:textId="77777777" w:rsidR="006B6E83" w:rsidRPr="003A420C" w:rsidRDefault="006B6E83" w:rsidP="002F4D40">
            <w:pPr>
              <w:rPr>
                <w:rFonts w:ascii="Arial" w:hAnsi="Arial" w:cs="Arial"/>
              </w:rPr>
            </w:pPr>
          </w:p>
        </w:tc>
        <w:tc>
          <w:tcPr>
            <w:tcW w:w="1078"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5426A5" w14:textId="77777777" w:rsidR="006B6E83" w:rsidRPr="000C3B7B" w:rsidRDefault="006B6E83" w:rsidP="002F4D40">
            <w:pPr>
              <w:rPr>
                <w:rFonts w:ascii="Arial" w:hAnsi="Arial" w:cs="Arial"/>
                <w:b/>
                <w:bCs/>
              </w:rPr>
            </w:pPr>
            <w:r w:rsidRPr="00506635">
              <w:rPr>
                <w:rFonts w:ascii="Arial" w:hAnsi="Arial" w:cs="Arial"/>
                <w:b/>
                <w:bCs/>
              </w:rPr>
              <w:t>Quarter 1</w:t>
            </w:r>
          </w:p>
        </w:tc>
        <w:tc>
          <w:tcPr>
            <w:tcW w:w="1032" w:type="pct"/>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5B67EC" w14:textId="77777777" w:rsidR="006B6E83" w:rsidRPr="000C3B7B" w:rsidRDefault="006B6E83" w:rsidP="002F4D40">
            <w:pPr>
              <w:rPr>
                <w:rFonts w:ascii="Arial" w:hAnsi="Arial" w:cs="Arial"/>
                <w:b/>
                <w:bCs/>
              </w:rPr>
            </w:pPr>
            <w:r w:rsidRPr="00506635">
              <w:rPr>
                <w:rFonts w:ascii="Arial" w:hAnsi="Arial" w:cs="Arial"/>
                <w:b/>
                <w:bCs/>
              </w:rPr>
              <w:t>Quarter 2</w:t>
            </w:r>
          </w:p>
        </w:tc>
        <w:tc>
          <w:tcPr>
            <w:tcW w:w="1032"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8AEBCBA" w14:textId="77777777" w:rsidR="006B6E83" w:rsidRPr="000C3B7B" w:rsidRDefault="006B6E83" w:rsidP="002F4D40">
            <w:pPr>
              <w:rPr>
                <w:rFonts w:ascii="Arial" w:hAnsi="Arial" w:cs="Arial"/>
                <w:b/>
                <w:bCs/>
              </w:rPr>
            </w:pPr>
            <w:r w:rsidRPr="00506635">
              <w:rPr>
                <w:rFonts w:ascii="Arial" w:hAnsi="Arial" w:cs="Arial"/>
                <w:b/>
                <w:bCs/>
              </w:rPr>
              <w:t>Quarter 3</w:t>
            </w:r>
          </w:p>
        </w:tc>
        <w:tc>
          <w:tcPr>
            <w:tcW w:w="1257"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8AE5F1" w14:textId="77777777" w:rsidR="006B6E83" w:rsidRPr="000C3B7B" w:rsidRDefault="006B6E83" w:rsidP="002F4D40">
            <w:pPr>
              <w:rPr>
                <w:rFonts w:ascii="Arial" w:hAnsi="Arial" w:cs="Arial"/>
                <w:b/>
                <w:bCs/>
              </w:rPr>
            </w:pPr>
            <w:r w:rsidRPr="00506635">
              <w:rPr>
                <w:rFonts w:ascii="Arial" w:hAnsi="Arial" w:cs="Arial"/>
                <w:b/>
                <w:bCs/>
              </w:rPr>
              <w:t>Quarter 4</w:t>
            </w:r>
          </w:p>
        </w:tc>
      </w:tr>
      <w:tr w:rsidR="00A4561D" w:rsidRPr="00347009" w14:paraId="2421C060" w14:textId="77777777" w:rsidTr="00EA59A8">
        <w:tc>
          <w:tcPr>
            <w:tcW w:w="600"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2CB973C" w14:textId="77777777" w:rsidR="006B6E83" w:rsidRPr="003A420C" w:rsidRDefault="006B6E83" w:rsidP="002F4D40">
            <w:pPr>
              <w:rPr>
                <w:rFonts w:ascii="Arial" w:hAnsi="Arial" w:cs="Arial"/>
              </w:rPr>
            </w:pPr>
          </w:p>
          <w:p w14:paraId="6775C97D" w14:textId="77777777" w:rsidR="006B6E83" w:rsidRPr="003A420C" w:rsidRDefault="006B6E83" w:rsidP="002F4D40">
            <w:pPr>
              <w:rPr>
                <w:rFonts w:ascii="Arial" w:hAnsi="Arial" w:cs="Arial"/>
                <w:b/>
                <w:bCs/>
              </w:rPr>
            </w:pPr>
            <w:r w:rsidRPr="003A420C">
              <w:rPr>
                <w:rFonts w:ascii="Arial" w:hAnsi="Arial" w:cs="Arial"/>
                <w:b/>
                <w:bCs/>
              </w:rPr>
              <w:t>Ref:</w:t>
            </w:r>
          </w:p>
        </w:tc>
        <w:tc>
          <w:tcPr>
            <w:tcW w:w="1078"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BFA172" w14:textId="0BBB38E9" w:rsidR="004A2989" w:rsidRPr="004A2989" w:rsidRDefault="004A2989" w:rsidP="00041BF2">
            <w:pPr>
              <w:rPr>
                <w:rFonts w:ascii="Arial" w:hAnsi="Arial" w:cs="Arial"/>
              </w:rPr>
            </w:pPr>
            <w:r w:rsidRPr="004A2989">
              <w:rPr>
                <w:rFonts w:ascii="Arial" w:eastAsia="Times New Roman" w:hAnsi="Arial" w:cs="Arial"/>
                <w:color w:val="000000"/>
                <w:sz w:val="20"/>
                <w:szCs w:val="20"/>
                <w:lang w:eastAsia="en-GB"/>
              </w:rPr>
              <w:t>Published the Health Inequalities Action Plan for reducing health inequalities through primary care</w:t>
            </w:r>
            <w:r w:rsidR="0078361A">
              <w:rPr>
                <w:rFonts w:ascii="Arial" w:eastAsia="Times New Roman" w:hAnsi="Arial" w:cs="Arial"/>
                <w:color w:val="000000"/>
                <w:sz w:val="20"/>
                <w:szCs w:val="20"/>
                <w:lang w:eastAsia="en-GB"/>
              </w:rPr>
              <w:t xml:space="preserve"> (SO4.2)</w:t>
            </w:r>
          </w:p>
        </w:tc>
        <w:tc>
          <w:tcPr>
            <w:tcW w:w="1032" w:type="pct"/>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3214633" w14:textId="1C5EF20F" w:rsidR="00596419" w:rsidRDefault="00A347B5" w:rsidP="00041BF2">
            <w:pPr>
              <w:rPr>
                <w:rFonts w:ascii="Arial" w:hAnsi="Arial" w:cs="Arial"/>
                <w:sz w:val="20"/>
                <w:szCs w:val="20"/>
              </w:rPr>
            </w:pPr>
            <w:r w:rsidRPr="00A347B5">
              <w:rPr>
                <w:rFonts w:ascii="Arial" w:hAnsi="Arial" w:cs="Arial"/>
                <w:sz w:val="20"/>
                <w:szCs w:val="20"/>
              </w:rPr>
              <w:t>Piloted and rolled out the Primary Care Safer Surgeries training and approach for Wales</w:t>
            </w:r>
            <w:r w:rsidR="00B40B2A">
              <w:rPr>
                <w:rFonts w:ascii="Arial" w:hAnsi="Arial" w:cs="Arial"/>
                <w:sz w:val="20"/>
                <w:szCs w:val="20"/>
              </w:rPr>
              <w:t xml:space="preserve"> (SO4.2)</w:t>
            </w:r>
          </w:p>
          <w:p w14:paraId="75E5FDCC" w14:textId="77777777" w:rsidR="008401C5" w:rsidRDefault="008401C5" w:rsidP="00041BF2">
            <w:pPr>
              <w:rPr>
                <w:rFonts w:ascii="Arial" w:hAnsi="Arial" w:cs="Arial"/>
                <w:sz w:val="20"/>
                <w:szCs w:val="20"/>
              </w:rPr>
            </w:pPr>
          </w:p>
          <w:p w14:paraId="106703C0" w14:textId="57E4134D" w:rsidR="008401C5" w:rsidRDefault="00E725EF" w:rsidP="00041BF2">
            <w:pPr>
              <w:rPr>
                <w:rFonts w:ascii="Arial" w:hAnsi="Arial" w:cs="Arial"/>
                <w:sz w:val="20"/>
                <w:szCs w:val="20"/>
              </w:rPr>
            </w:pPr>
            <w:r w:rsidRPr="00E725EF">
              <w:rPr>
                <w:rFonts w:ascii="Arial" w:hAnsi="Arial" w:cs="Arial"/>
                <w:sz w:val="20"/>
                <w:szCs w:val="20"/>
              </w:rPr>
              <w:t>Mobilised system partners to take action to strengthen implementation of social prescribing in Wales</w:t>
            </w:r>
            <w:r w:rsidR="00950E81">
              <w:rPr>
                <w:rFonts w:ascii="Arial" w:hAnsi="Arial" w:cs="Arial"/>
                <w:sz w:val="20"/>
                <w:szCs w:val="20"/>
              </w:rPr>
              <w:t xml:space="preserve"> (SO4.1)</w:t>
            </w:r>
          </w:p>
          <w:p w14:paraId="1275A8C3" w14:textId="77777777" w:rsidR="00941031" w:rsidRPr="008401C5" w:rsidRDefault="00941031" w:rsidP="00041BF2">
            <w:pPr>
              <w:rPr>
                <w:rFonts w:ascii="Arial" w:hAnsi="Arial" w:cs="Arial"/>
                <w:sz w:val="20"/>
                <w:szCs w:val="20"/>
              </w:rPr>
            </w:pPr>
          </w:p>
          <w:p w14:paraId="689C07A8" w14:textId="56AB862F" w:rsidR="00596419" w:rsidRDefault="003562A0" w:rsidP="00041BF2">
            <w:pPr>
              <w:rPr>
                <w:rFonts w:ascii="Arial" w:hAnsi="Arial" w:cs="Arial"/>
                <w:sz w:val="20"/>
                <w:szCs w:val="20"/>
              </w:rPr>
            </w:pPr>
            <w:r w:rsidRPr="0016081E">
              <w:rPr>
                <w:rFonts w:ascii="Arial" w:hAnsi="Arial" w:cs="Arial"/>
                <w:sz w:val="20"/>
                <w:szCs w:val="20"/>
              </w:rPr>
              <w:t>Launched MECC Level 2 e-learning module.</w:t>
            </w:r>
            <w:r w:rsidR="0016081E">
              <w:rPr>
                <w:rFonts w:ascii="Arial" w:hAnsi="Arial" w:cs="Arial"/>
                <w:sz w:val="20"/>
                <w:szCs w:val="20"/>
              </w:rPr>
              <w:t xml:space="preserve"> (SO3.5)</w:t>
            </w:r>
          </w:p>
          <w:p w14:paraId="2BE1EEEA" w14:textId="77777777" w:rsidR="00EE328F" w:rsidRDefault="00EE328F" w:rsidP="00041BF2">
            <w:pPr>
              <w:rPr>
                <w:rFonts w:ascii="Arial" w:hAnsi="Arial" w:cs="Arial"/>
                <w:b/>
                <w:bCs/>
              </w:rPr>
            </w:pPr>
          </w:p>
          <w:p w14:paraId="40D10555" w14:textId="6749A595" w:rsidR="00EE328F" w:rsidRDefault="00EE328F" w:rsidP="00041BF2">
            <w:pPr>
              <w:rPr>
                <w:rFonts w:ascii="Arial" w:hAnsi="Arial" w:cs="Arial"/>
                <w:sz w:val="20"/>
                <w:szCs w:val="20"/>
              </w:rPr>
            </w:pPr>
            <w:r w:rsidRPr="00223E3F">
              <w:rPr>
                <w:rFonts w:ascii="Arial" w:hAnsi="Arial" w:cs="Arial"/>
                <w:sz w:val="20"/>
                <w:szCs w:val="20"/>
              </w:rPr>
              <w:t>Disseminated the data, evidence, planning support tools produced and advocate for their use to enable health board and RPBs to improve their inclusion health services.</w:t>
            </w:r>
            <w:r w:rsidRPr="00EE328F">
              <w:rPr>
                <w:rFonts w:ascii="Arial" w:hAnsi="Arial" w:cs="Arial"/>
                <w:sz w:val="20"/>
                <w:szCs w:val="20"/>
              </w:rPr>
              <w:t xml:space="preserve"> </w:t>
            </w:r>
            <w:r w:rsidR="00223E3F">
              <w:rPr>
                <w:rFonts w:ascii="Arial" w:hAnsi="Arial" w:cs="Arial"/>
                <w:sz w:val="20"/>
                <w:szCs w:val="20"/>
              </w:rPr>
              <w:t>(SO4.2)</w:t>
            </w:r>
          </w:p>
          <w:p w14:paraId="2EEA9680" w14:textId="77777777" w:rsidR="00EE328F" w:rsidRDefault="00EE328F" w:rsidP="00041BF2">
            <w:pPr>
              <w:rPr>
                <w:rFonts w:ascii="Arial" w:hAnsi="Arial" w:cs="Arial"/>
                <w:sz w:val="20"/>
                <w:szCs w:val="20"/>
              </w:rPr>
            </w:pPr>
          </w:p>
          <w:p w14:paraId="7A1F7EAB" w14:textId="391413A0" w:rsidR="00EE328F" w:rsidRPr="00B700C5" w:rsidRDefault="00BD144B" w:rsidP="00041BF2">
            <w:pPr>
              <w:rPr>
                <w:rFonts w:ascii="Arial" w:hAnsi="Arial" w:cs="Arial"/>
                <w:sz w:val="20"/>
                <w:szCs w:val="20"/>
              </w:rPr>
            </w:pPr>
            <w:r w:rsidRPr="00B700C5">
              <w:rPr>
                <w:rFonts w:ascii="Arial" w:hAnsi="Arial" w:cs="Arial"/>
                <w:sz w:val="20"/>
                <w:szCs w:val="20"/>
              </w:rPr>
              <w:t>Implemented a pilot of the Competency Framework for Prison and inclusion health</w:t>
            </w:r>
            <w:r w:rsidR="00B700C5" w:rsidRPr="00B700C5">
              <w:rPr>
                <w:rFonts w:ascii="Arial" w:hAnsi="Arial" w:cs="Arial"/>
                <w:sz w:val="20"/>
                <w:szCs w:val="20"/>
              </w:rPr>
              <w:t xml:space="preserve"> (SO4.2)</w:t>
            </w:r>
          </w:p>
          <w:p w14:paraId="4EA14E82" w14:textId="78F521B6" w:rsidR="00BD144B" w:rsidRPr="00EE328F" w:rsidRDefault="00BD144B" w:rsidP="00041BF2">
            <w:pPr>
              <w:rPr>
                <w:rFonts w:ascii="Arial" w:hAnsi="Arial" w:cs="Arial"/>
                <w:sz w:val="20"/>
                <w:szCs w:val="20"/>
              </w:rPr>
            </w:pPr>
          </w:p>
        </w:tc>
        <w:tc>
          <w:tcPr>
            <w:tcW w:w="1032"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9D5A645" w14:textId="1AD9E3E2" w:rsidR="007A3DB0" w:rsidRPr="007A3DB0" w:rsidRDefault="007A3DB0" w:rsidP="007A3DB0">
            <w:pPr>
              <w:rPr>
                <w:rFonts w:ascii="Arial" w:hAnsi="Arial" w:cs="Arial"/>
                <w:sz w:val="20"/>
                <w:szCs w:val="20"/>
              </w:rPr>
            </w:pPr>
            <w:r w:rsidRPr="007A3DB0">
              <w:rPr>
                <w:rFonts w:ascii="Arial" w:hAnsi="Arial" w:cs="Arial"/>
                <w:sz w:val="20"/>
                <w:szCs w:val="20"/>
              </w:rPr>
              <w:t xml:space="preserve">Primary Care Model for Wales Evaluation Plan: Cluster national Key Indicators </w:t>
            </w:r>
            <w:proofErr w:type="gramStart"/>
            <w:r w:rsidRPr="007A3DB0">
              <w:rPr>
                <w:rFonts w:ascii="Arial" w:hAnsi="Arial" w:cs="Arial"/>
                <w:sz w:val="20"/>
                <w:szCs w:val="20"/>
              </w:rPr>
              <w:t>agreed</w:t>
            </w:r>
            <w:proofErr w:type="gramEnd"/>
            <w:r w:rsidRPr="007A3DB0">
              <w:rPr>
                <w:rFonts w:ascii="Arial" w:hAnsi="Arial" w:cs="Arial"/>
                <w:sz w:val="20"/>
                <w:szCs w:val="20"/>
              </w:rPr>
              <w:t xml:space="preserve"> and data dashboard </w:t>
            </w:r>
            <w:r w:rsidR="00FA4BF0">
              <w:rPr>
                <w:rFonts w:ascii="Arial" w:hAnsi="Arial" w:cs="Arial"/>
                <w:sz w:val="20"/>
                <w:szCs w:val="20"/>
              </w:rPr>
              <w:t>scoped</w:t>
            </w:r>
            <w:r w:rsidR="00DA4707">
              <w:rPr>
                <w:rFonts w:ascii="Arial" w:hAnsi="Arial" w:cs="Arial"/>
                <w:sz w:val="20"/>
                <w:szCs w:val="20"/>
              </w:rPr>
              <w:t xml:space="preserve"> (SO4.2)</w:t>
            </w:r>
          </w:p>
          <w:p w14:paraId="081FB9EA" w14:textId="77777777" w:rsidR="007A3DB0" w:rsidRPr="007A3DB0" w:rsidRDefault="007A3DB0" w:rsidP="007A3DB0">
            <w:pPr>
              <w:rPr>
                <w:rFonts w:ascii="Arial" w:hAnsi="Arial" w:cs="Arial"/>
                <w:sz w:val="20"/>
                <w:szCs w:val="20"/>
              </w:rPr>
            </w:pPr>
          </w:p>
          <w:p w14:paraId="03B583D9" w14:textId="6C95DF19" w:rsidR="00400403" w:rsidRDefault="00400403" w:rsidP="007A3DB0">
            <w:pPr>
              <w:rPr>
                <w:rFonts w:ascii="Arial" w:hAnsi="Arial" w:cs="Arial"/>
                <w:sz w:val="20"/>
                <w:szCs w:val="20"/>
              </w:rPr>
            </w:pPr>
            <w:r w:rsidRPr="00DA4707">
              <w:rPr>
                <w:rFonts w:ascii="Arial" w:hAnsi="Arial" w:cs="Arial"/>
                <w:sz w:val="20"/>
                <w:szCs w:val="20"/>
              </w:rPr>
              <w:t>Primary Care Model for Wales Evaluation Plan: Cluster Peer Review Year 3 report published.</w:t>
            </w:r>
            <w:r>
              <w:rPr>
                <w:rFonts w:ascii="Arial" w:hAnsi="Arial" w:cs="Arial"/>
                <w:sz w:val="20"/>
                <w:szCs w:val="20"/>
              </w:rPr>
              <w:t xml:space="preserve"> </w:t>
            </w:r>
            <w:r w:rsidR="00DA4707">
              <w:rPr>
                <w:rFonts w:ascii="Arial" w:hAnsi="Arial" w:cs="Arial"/>
                <w:sz w:val="20"/>
                <w:szCs w:val="20"/>
              </w:rPr>
              <w:t>(SO4.2)</w:t>
            </w:r>
          </w:p>
          <w:p w14:paraId="6DDA170E" w14:textId="77777777" w:rsidR="00D90C20" w:rsidRDefault="00D90C20" w:rsidP="007A3DB0">
            <w:pPr>
              <w:rPr>
                <w:rFonts w:ascii="Arial" w:hAnsi="Arial" w:cs="Arial"/>
                <w:sz w:val="20"/>
                <w:szCs w:val="20"/>
              </w:rPr>
            </w:pPr>
          </w:p>
          <w:p w14:paraId="2BA1473A" w14:textId="19C512D0" w:rsidR="00D90C20" w:rsidRDefault="00D90C20" w:rsidP="007A3DB0">
            <w:pPr>
              <w:rPr>
                <w:rFonts w:ascii="Arial" w:hAnsi="Arial" w:cs="Arial"/>
                <w:sz w:val="20"/>
                <w:szCs w:val="20"/>
              </w:rPr>
            </w:pPr>
            <w:r w:rsidRPr="00D90C20">
              <w:rPr>
                <w:rFonts w:ascii="Arial" w:hAnsi="Arial" w:cs="Arial"/>
                <w:sz w:val="20"/>
                <w:szCs w:val="20"/>
              </w:rPr>
              <w:t xml:space="preserve">Mobilised system partners to agree </w:t>
            </w:r>
            <w:proofErr w:type="gramStart"/>
            <w:r w:rsidRPr="00D90C20">
              <w:rPr>
                <w:rFonts w:ascii="Arial" w:hAnsi="Arial" w:cs="Arial"/>
                <w:sz w:val="20"/>
                <w:szCs w:val="20"/>
              </w:rPr>
              <w:t>Cardiovascular Disease</w:t>
            </w:r>
            <w:proofErr w:type="gramEnd"/>
            <w:r w:rsidRPr="00D90C20">
              <w:rPr>
                <w:rFonts w:ascii="Arial" w:hAnsi="Arial" w:cs="Arial"/>
                <w:sz w:val="20"/>
                <w:szCs w:val="20"/>
              </w:rPr>
              <w:t xml:space="preserve"> (CVD) Prevention Delivery Plan with deliverables identified for short, medium and longer term</w:t>
            </w:r>
            <w:r w:rsidR="007379E2">
              <w:rPr>
                <w:rFonts w:ascii="Arial" w:hAnsi="Arial" w:cs="Arial"/>
                <w:sz w:val="20"/>
                <w:szCs w:val="20"/>
              </w:rPr>
              <w:t xml:space="preserve"> (SO4.1)</w:t>
            </w:r>
          </w:p>
          <w:p w14:paraId="6EC488C0" w14:textId="77777777" w:rsidR="00ED6680" w:rsidRDefault="00ED6680" w:rsidP="007A3DB0">
            <w:pPr>
              <w:rPr>
                <w:rFonts w:ascii="Arial" w:hAnsi="Arial" w:cs="Arial"/>
                <w:sz w:val="20"/>
                <w:szCs w:val="20"/>
              </w:rPr>
            </w:pPr>
          </w:p>
          <w:p w14:paraId="1DA194A7" w14:textId="11814D51" w:rsidR="00ED6680" w:rsidRDefault="00ED6680" w:rsidP="007A3DB0">
            <w:pPr>
              <w:rPr>
                <w:rFonts w:ascii="Arial" w:hAnsi="Arial" w:cs="Arial"/>
                <w:sz w:val="20"/>
                <w:szCs w:val="20"/>
              </w:rPr>
            </w:pPr>
            <w:r w:rsidRPr="00ED6680">
              <w:rPr>
                <w:rFonts w:ascii="Arial" w:hAnsi="Arial" w:cs="Arial"/>
                <w:sz w:val="20"/>
                <w:szCs w:val="20"/>
              </w:rPr>
              <w:t>Supported partners to use the whole of the health and care system to positively influence what matters to the health and well-being of people in Wales</w:t>
            </w:r>
            <w:r w:rsidR="0095377C">
              <w:rPr>
                <w:rFonts w:ascii="Arial" w:hAnsi="Arial" w:cs="Arial"/>
                <w:sz w:val="20"/>
                <w:szCs w:val="20"/>
              </w:rPr>
              <w:t xml:space="preserve"> </w:t>
            </w:r>
            <w:r w:rsidR="0044687A">
              <w:rPr>
                <w:rFonts w:ascii="Arial" w:hAnsi="Arial" w:cs="Arial"/>
                <w:sz w:val="20"/>
                <w:szCs w:val="20"/>
              </w:rPr>
              <w:t>(SO4.1)</w:t>
            </w:r>
          </w:p>
          <w:p w14:paraId="6D9F4111" w14:textId="77777777" w:rsidR="001A40F2" w:rsidRDefault="001A40F2" w:rsidP="007A3DB0">
            <w:pPr>
              <w:rPr>
                <w:rFonts w:ascii="Arial" w:hAnsi="Arial" w:cs="Arial"/>
                <w:sz w:val="20"/>
                <w:szCs w:val="20"/>
              </w:rPr>
            </w:pPr>
          </w:p>
          <w:p w14:paraId="1D4D9EA1" w14:textId="5026143B" w:rsidR="005A4D87" w:rsidRPr="00D90C20" w:rsidRDefault="001A40F2" w:rsidP="002917B4">
            <w:pPr>
              <w:rPr>
                <w:rFonts w:ascii="Arial" w:hAnsi="Arial" w:cs="Arial"/>
                <w:sz w:val="20"/>
                <w:szCs w:val="20"/>
              </w:rPr>
            </w:pPr>
            <w:r>
              <w:rPr>
                <w:rFonts w:ascii="Arial" w:hAnsi="Arial" w:cs="Arial"/>
                <w:sz w:val="20"/>
                <w:szCs w:val="20"/>
              </w:rPr>
              <w:t>Worked with HEIW to assess the actions we can take respectively and jointly to embed prevention in our workforce (SO</w:t>
            </w:r>
            <w:r w:rsidR="00DD0F37">
              <w:rPr>
                <w:rFonts w:ascii="Arial" w:hAnsi="Arial" w:cs="Arial"/>
                <w:sz w:val="20"/>
                <w:szCs w:val="20"/>
              </w:rPr>
              <w:t>4.2)</w:t>
            </w:r>
          </w:p>
        </w:tc>
        <w:tc>
          <w:tcPr>
            <w:tcW w:w="1257"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5A21B4" w14:textId="682D50EF" w:rsidR="00347009" w:rsidRPr="00347009" w:rsidRDefault="00347009" w:rsidP="00347009">
            <w:pPr>
              <w:rPr>
                <w:rFonts w:ascii="Arial" w:hAnsi="Arial" w:cs="Arial"/>
                <w:sz w:val="20"/>
                <w:szCs w:val="20"/>
              </w:rPr>
            </w:pPr>
            <w:r w:rsidRPr="00347009">
              <w:rPr>
                <w:rFonts w:ascii="Arial" w:hAnsi="Arial" w:cs="Arial"/>
                <w:sz w:val="20"/>
                <w:szCs w:val="20"/>
              </w:rPr>
              <w:t>Continued to strengthen the capacity, capability and skill building of the primary and community care workforce across public health priority topics areas, through a range of mechanisms.</w:t>
            </w:r>
            <w:r w:rsidR="00132BFD">
              <w:rPr>
                <w:rFonts w:ascii="Arial" w:hAnsi="Arial" w:cs="Arial"/>
                <w:sz w:val="20"/>
                <w:szCs w:val="20"/>
              </w:rPr>
              <w:t xml:space="preserve"> (SO4.2)</w:t>
            </w:r>
          </w:p>
          <w:p w14:paraId="1FD9FF89" w14:textId="77777777" w:rsidR="00347009" w:rsidRPr="00347009" w:rsidRDefault="00347009" w:rsidP="00347009">
            <w:pPr>
              <w:rPr>
                <w:rFonts w:ascii="Arial" w:hAnsi="Arial" w:cs="Arial"/>
                <w:sz w:val="20"/>
                <w:szCs w:val="20"/>
              </w:rPr>
            </w:pPr>
          </w:p>
          <w:p w14:paraId="1FAAE44F" w14:textId="03770CDC" w:rsidR="006B6E83" w:rsidRDefault="00347009" w:rsidP="00347009">
            <w:pPr>
              <w:rPr>
                <w:rFonts w:ascii="Arial" w:hAnsi="Arial" w:cs="Arial"/>
                <w:sz w:val="20"/>
                <w:szCs w:val="20"/>
              </w:rPr>
            </w:pPr>
            <w:r w:rsidRPr="00347009">
              <w:rPr>
                <w:rFonts w:ascii="Arial" w:hAnsi="Arial" w:cs="Arial"/>
                <w:sz w:val="20"/>
                <w:szCs w:val="20"/>
              </w:rPr>
              <w:t>Provided strategic leadership, advice and support across primary and community care, to strengthen monitoring and evaluation activities and outputs to measure progress in the delivery of the Primary Care Model for Wales.</w:t>
            </w:r>
            <w:r w:rsidR="00C0755D">
              <w:rPr>
                <w:rFonts w:ascii="Arial" w:hAnsi="Arial" w:cs="Arial"/>
                <w:sz w:val="20"/>
                <w:szCs w:val="20"/>
              </w:rPr>
              <w:t xml:space="preserve"> (SO4.2)</w:t>
            </w:r>
          </w:p>
          <w:p w14:paraId="3B65113C" w14:textId="77777777" w:rsidR="00C82CBE" w:rsidRDefault="00C82CBE" w:rsidP="00347009">
            <w:pPr>
              <w:rPr>
                <w:rFonts w:ascii="Arial" w:hAnsi="Arial" w:cs="Arial"/>
                <w:sz w:val="20"/>
                <w:szCs w:val="20"/>
              </w:rPr>
            </w:pPr>
          </w:p>
          <w:p w14:paraId="14592B59" w14:textId="2AF01ABA" w:rsidR="00C82CBE" w:rsidRDefault="00AE1E2B" w:rsidP="00347009">
            <w:pPr>
              <w:rPr>
                <w:rFonts w:ascii="Arial" w:hAnsi="Arial" w:cs="Arial"/>
                <w:sz w:val="20"/>
                <w:szCs w:val="20"/>
              </w:rPr>
            </w:pPr>
            <w:r w:rsidRPr="00AE1E2B">
              <w:rPr>
                <w:rFonts w:ascii="Arial" w:hAnsi="Arial" w:cs="Arial"/>
                <w:sz w:val="20"/>
                <w:szCs w:val="20"/>
              </w:rPr>
              <w:t>Mobilised the system to implement Prevention Based Health and Care (PBHC) action plan</w:t>
            </w:r>
            <w:r w:rsidR="00FA40F8">
              <w:rPr>
                <w:rFonts w:ascii="Arial" w:hAnsi="Arial" w:cs="Arial"/>
                <w:sz w:val="20"/>
                <w:szCs w:val="20"/>
              </w:rPr>
              <w:t xml:space="preserve"> (SO4.1)</w:t>
            </w:r>
          </w:p>
          <w:p w14:paraId="36458D06" w14:textId="77777777" w:rsidR="001472ED" w:rsidRDefault="001472ED" w:rsidP="00347009">
            <w:pPr>
              <w:rPr>
                <w:rFonts w:ascii="Arial" w:hAnsi="Arial" w:cs="Arial"/>
                <w:sz w:val="20"/>
                <w:szCs w:val="20"/>
              </w:rPr>
            </w:pPr>
          </w:p>
          <w:p w14:paraId="253FFF51" w14:textId="51334C66" w:rsidR="001472ED" w:rsidRDefault="001472ED" w:rsidP="001472ED">
            <w:pPr>
              <w:rPr>
                <w:rFonts w:ascii="Arial" w:hAnsi="Arial" w:cs="Arial"/>
                <w:sz w:val="20"/>
                <w:szCs w:val="20"/>
              </w:rPr>
            </w:pPr>
            <w:r w:rsidRPr="00596419">
              <w:rPr>
                <w:rFonts w:ascii="Arial" w:hAnsi="Arial" w:cs="Arial"/>
                <w:sz w:val="20"/>
                <w:szCs w:val="20"/>
              </w:rPr>
              <w:t>Delivered the 'Public Health Approach to Primary and Community Care in 2035' (Phase 2 work) - Concluding work to articulate what a Sustainable Health and Care System in Wales looks like</w:t>
            </w:r>
            <w:r w:rsidR="009F3863">
              <w:rPr>
                <w:rFonts w:ascii="Arial" w:hAnsi="Arial" w:cs="Arial"/>
                <w:sz w:val="20"/>
                <w:szCs w:val="20"/>
              </w:rPr>
              <w:t xml:space="preserve"> (SO4.2)</w:t>
            </w:r>
          </w:p>
          <w:p w14:paraId="2E256276" w14:textId="77777777" w:rsidR="001472ED" w:rsidRDefault="001472ED" w:rsidP="00347009">
            <w:pPr>
              <w:rPr>
                <w:rFonts w:ascii="Arial" w:hAnsi="Arial" w:cs="Arial"/>
                <w:sz w:val="20"/>
                <w:szCs w:val="20"/>
              </w:rPr>
            </w:pPr>
          </w:p>
          <w:p w14:paraId="45CB5251" w14:textId="4D0A6D38" w:rsidR="005D212B" w:rsidRPr="00347009" w:rsidRDefault="00920405" w:rsidP="00347009">
            <w:pPr>
              <w:rPr>
                <w:rFonts w:ascii="Arial" w:hAnsi="Arial" w:cs="Arial"/>
                <w:sz w:val="20"/>
                <w:szCs w:val="20"/>
              </w:rPr>
            </w:pPr>
            <w:r w:rsidRPr="00BE4EEC">
              <w:rPr>
                <w:rFonts w:ascii="Arial" w:hAnsi="Arial" w:cs="Arial"/>
                <w:sz w:val="20"/>
                <w:szCs w:val="20"/>
              </w:rPr>
              <w:t xml:space="preserve">Commenced implementation of a joint plan with HEIW to roll out </w:t>
            </w:r>
            <w:r w:rsidR="005F5F77" w:rsidRPr="00BE4EEC">
              <w:rPr>
                <w:rFonts w:ascii="Arial" w:hAnsi="Arial" w:cs="Arial"/>
                <w:sz w:val="20"/>
                <w:szCs w:val="20"/>
              </w:rPr>
              <w:t>M</w:t>
            </w:r>
            <w:r w:rsidRPr="00BE4EEC">
              <w:rPr>
                <w:rFonts w:ascii="Arial" w:hAnsi="Arial" w:cs="Arial"/>
                <w:sz w:val="20"/>
                <w:szCs w:val="20"/>
              </w:rPr>
              <w:t xml:space="preserve">ECC to the primary care workforce in </w:t>
            </w:r>
            <w:r w:rsidR="0063399A" w:rsidRPr="00BE4EEC">
              <w:rPr>
                <w:rFonts w:ascii="Arial" w:hAnsi="Arial" w:cs="Arial"/>
                <w:sz w:val="20"/>
                <w:szCs w:val="20"/>
              </w:rPr>
              <w:t>Wales</w:t>
            </w:r>
            <w:r w:rsidR="00BE4EEC">
              <w:rPr>
                <w:rFonts w:ascii="Arial" w:hAnsi="Arial" w:cs="Arial"/>
                <w:sz w:val="20"/>
                <w:szCs w:val="20"/>
              </w:rPr>
              <w:t xml:space="preserve"> (SO3.4)</w:t>
            </w:r>
          </w:p>
        </w:tc>
      </w:tr>
      <w:tr w:rsidR="006B6E83" w:rsidRPr="000C3B7B" w14:paraId="2C226D46" w14:textId="77777777" w:rsidTr="00E05BB2">
        <w:tc>
          <w:tcPr>
            <w:tcW w:w="5000" w:type="pct"/>
            <w:gridSpan w:val="1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1BA50C" w14:textId="433909AF" w:rsidR="00D657A6" w:rsidRDefault="006B6E83" w:rsidP="002F4D40">
            <w:pPr>
              <w:rPr>
                <w:rFonts w:ascii="Arial" w:hAnsi="Arial" w:cs="Arial"/>
                <w:b/>
                <w:bCs/>
              </w:rPr>
            </w:pPr>
            <w:r w:rsidRPr="003A420C">
              <w:rPr>
                <w:rFonts w:ascii="Arial" w:hAnsi="Arial" w:cs="Arial"/>
                <w:b/>
                <w:bCs/>
              </w:rPr>
              <w:lastRenderedPageBreak/>
              <w:t>Overarching outcome measures/ metrics:</w:t>
            </w:r>
          </w:p>
          <w:p w14:paraId="0ADA3DD2" w14:textId="3B57E590" w:rsidR="00D657A6" w:rsidRDefault="006F4874" w:rsidP="002F4D40">
            <w:pPr>
              <w:rPr>
                <w:rFonts w:ascii="Arial" w:hAnsi="Arial" w:cs="Arial"/>
                <w:b/>
                <w:bCs/>
              </w:rPr>
            </w:pPr>
            <w:r>
              <w:rPr>
                <w:rFonts w:ascii="Arial" w:hAnsi="Arial" w:cs="Arial"/>
                <w:b/>
                <w:bCs/>
              </w:rPr>
              <w:t xml:space="preserve"> </w:t>
            </w:r>
          </w:p>
          <w:p w14:paraId="7FC928E5" w14:textId="77777777" w:rsidR="00974DB9" w:rsidRDefault="00974DB9" w:rsidP="00974DB9">
            <w:pPr>
              <w:numPr>
                <w:ilvl w:val="0"/>
                <w:numId w:val="22"/>
              </w:numPr>
              <w:rPr>
                <w:rFonts w:ascii="Arial" w:hAnsi="Arial" w:cs="Arial"/>
                <w:b/>
                <w:bCs/>
              </w:rPr>
            </w:pPr>
            <w:r w:rsidRPr="00974DB9">
              <w:rPr>
                <w:rFonts w:ascii="Arial" w:hAnsi="Arial" w:cs="Arial"/>
                <w:b/>
                <w:bCs/>
              </w:rPr>
              <w:t>Reduced avoidable mortality rate (2022, the avoidable mortality rate was 274 per 100,000 population, or 22.7% of all deaths</w:t>
            </w:r>
            <w:r w:rsidRPr="00974DB9">
              <w:rPr>
                <w:rFonts w:ascii="Arial" w:hAnsi="Arial" w:cs="Arial"/>
                <w:b/>
                <w:bCs/>
                <w:vertAlign w:val="superscript"/>
              </w:rPr>
              <w:footnoteReference w:id="8"/>
            </w:r>
            <w:r w:rsidRPr="00974DB9">
              <w:rPr>
                <w:rFonts w:ascii="Arial" w:hAnsi="Arial" w:cs="Arial"/>
                <w:b/>
                <w:bCs/>
              </w:rPr>
              <w:t>.)</w:t>
            </w:r>
          </w:p>
          <w:p w14:paraId="44FC10EC" w14:textId="77777777" w:rsidR="00974DB9" w:rsidRPr="00974DB9" w:rsidRDefault="00974DB9" w:rsidP="00974DB9">
            <w:pPr>
              <w:rPr>
                <w:rFonts w:ascii="Arial" w:hAnsi="Arial" w:cs="Arial"/>
              </w:rPr>
            </w:pPr>
          </w:p>
          <w:p w14:paraId="2D6F5008" w14:textId="7F2335DF" w:rsidR="00974DB9" w:rsidRDefault="003C46FF" w:rsidP="00974DB9">
            <w:pPr>
              <w:numPr>
                <w:ilvl w:val="0"/>
                <w:numId w:val="22"/>
              </w:numPr>
              <w:rPr>
                <w:rFonts w:ascii="Arial" w:hAnsi="Arial" w:cs="Arial"/>
                <w:b/>
                <w:bCs/>
              </w:rPr>
            </w:pPr>
            <w:r>
              <w:rPr>
                <w:rFonts w:ascii="Arial" w:hAnsi="Arial" w:cs="Arial"/>
                <w:b/>
                <w:bCs/>
              </w:rPr>
              <w:t>Monitored</w:t>
            </w:r>
            <w:r w:rsidR="00974DB9" w:rsidRPr="00974DB9">
              <w:rPr>
                <w:rFonts w:ascii="Arial" w:hAnsi="Arial" w:cs="Arial"/>
                <w:b/>
                <w:bCs/>
              </w:rPr>
              <w:t xml:space="preserve"> prevalence of non-communicable disease </w:t>
            </w:r>
          </w:p>
          <w:p w14:paraId="6CC839F6" w14:textId="77777777" w:rsidR="00E7770A" w:rsidRPr="00974DB9" w:rsidRDefault="00E7770A" w:rsidP="00E7770A">
            <w:pPr>
              <w:ind w:left="360"/>
              <w:rPr>
                <w:rFonts w:ascii="Arial" w:hAnsi="Arial" w:cs="Arial"/>
                <w:b/>
                <w:bCs/>
              </w:rPr>
            </w:pPr>
          </w:p>
          <w:p w14:paraId="225E20DE" w14:textId="1E8B5755" w:rsidR="00974DB9" w:rsidRPr="00974DB9" w:rsidRDefault="00974DB9" w:rsidP="00974DB9">
            <w:pPr>
              <w:rPr>
                <w:rFonts w:ascii="Arial" w:hAnsi="Arial" w:cs="Arial"/>
              </w:rPr>
            </w:pPr>
            <w:r w:rsidRPr="00974DB9">
              <w:rPr>
                <w:rFonts w:ascii="Arial" w:hAnsi="Arial" w:cs="Arial"/>
              </w:rPr>
              <w:t xml:space="preserve">The rate of non-communicable diseases, like diabetes and hypertension, has been increasing in recent years and is projected to continue increasing </w:t>
            </w:r>
            <w:r w:rsidR="00E7770A">
              <w:rPr>
                <w:rFonts w:ascii="Arial" w:hAnsi="Arial" w:cs="Arial"/>
              </w:rPr>
              <w:t xml:space="preserve">(see </w:t>
            </w:r>
            <w:r w:rsidR="004F30EE">
              <w:rPr>
                <w:rFonts w:ascii="Arial" w:hAnsi="Arial" w:cs="Arial"/>
              </w:rPr>
              <w:t>figure</w:t>
            </w:r>
            <w:r w:rsidR="00E7770A">
              <w:rPr>
                <w:rFonts w:ascii="Arial" w:hAnsi="Arial" w:cs="Arial"/>
              </w:rPr>
              <w:t xml:space="preserve"> 2 in ou</w:t>
            </w:r>
            <w:r w:rsidR="00CA088F">
              <w:rPr>
                <w:rFonts w:ascii="Arial" w:hAnsi="Arial" w:cs="Arial"/>
              </w:rPr>
              <w:t>r</w:t>
            </w:r>
            <w:r w:rsidR="00E7770A">
              <w:rPr>
                <w:rFonts w:ascii="Arial" w:hAnsi="Arial" w:cs="Arial"/>
              </w:rPr>
              <w:t xml:space="preserve"> IMTP). </w:t>
            </w:r>
            <w:r w:rsidRPr="00974DB9">
              <w:rPr>
                <w:rFonts w:ascii="Arial" w:hAnsi="Arial" w:cs="Arial"/>
              </w:rPr>
              <w:t>We will work to reduce the rates of:</w:t>
            </w:r>
          </w:p>
          <w:p w14:paraId="358594F3" w14:textId="77777777" w:rsidR="00A40BA9" w:rsidRPr="00A40BA9" w:rsidRDefault="00A40BA9" w:rsidP="00A40BA9">
            <w:pPr>
              <w:numPr>
                <w:ilvl w:val="1"/>
                <w:numId w:val="22"/>
              </w:numPr>
              <w:rPr>
                <w:rFonts w:ascii="Arial" w:hAnsi="Arial" w:cs="Arial"/>
                <w:b/>
                <w:bCs/>
              </w:rPr>
            </w:pPr>
            <w:r w:rsidRPr="00A40BA9">
              <w:rPr>
                <w:rFonts w:ascii="Arial" w:hAnsi="Arial" w:cs="Arial"/>
                <w:b/>
                <w:bCs/>
              </w:rPr>
              <w:t xml:space="preserve">Diabetes </w:t>
            </w:r>
          </w:p>
          <w:p w14:paraId="60AFF65C" w14:textId="77777777" w:rsidR="00A40BA9" w:rsidRPr="00A40BA9" w:rsidRDefault="00A40BA9" w:rsidP="00A40BA9">
            <w:pPr>
              <w:numPr>
                <w:ilvl w:val="1"/>
                <w:numId w:val="22"/>
              </w:numPr>
              <w:rPr>
                <w:rFonts w:ascii="Arial" w:hAnsi="Arial" w:cs="Arial"/>
                <w:b/>
                <w:bCs/>
              </w:rPr>
            </w:pPr>
            <w:r w:rsidRPr="00A40BA9">
              <w:rPr>
                <w:rFonts w:ascii="Arial" w:hAnsi="Arial" w:cs="Arial"/>
                <w:b/>
                <w:bCs/>
              </w:rPr>
              <w:t xml:space="preserve">Cardiovascular disease </w:t>
            </w:r>
            <w:r w:rsidRPr="00A40BA9">
              <w:rPr>
                <w:rFonts w:ascii="Arial" w:hAnsi="Arial" w:cs="Arial"/>
              </w:rPr>
              <w:t>(myocardial infarction, heart failure, stroke/transient ischaemic attack)</w:t>
            </w:r>
          </w:p>
          <w:p w14:paraId="598B0E39" w14:textId="77777777" w:rsidR="00A40BA9" w:rsidRPr="00A40BA9" w:rsidRDefault="00A40BA9" w:rsidP="00A40BA9">
            <w:pPr>
              <w:numPr>
                <w:ilvl w:val="1"/>
                <w:numId w:val="22"/>
              </w:numPr>
              <w:rPr>
                <w:rFonts w:ascii="Arial" w:hAnsi="Arial" w:cs="Arial"/>
                <w:b/>
                <w:bCs/>
              </w:rPr>
            </w:pPr>
            <w:r w:rsidRPr="00A40BA9">
              <w:rPr>
                <w:rFonts w:ascii="Arial" w:hAnsi="Arial" w:cs="Arial"/>
                <w:b/>
                <w:bCs/>
              </w:rPr>
              <w:t xml:space="preserve">Respiratory disease </w:t>
            </w:r>
            <w:r w:rsidRPr="00A40BA9">
              <w:rPr>
                <w:rFonts w:ascii="Arial" w:hAnsi="Arial" w:cs="Arial"/>
              </w:rPr>
              <w:t>(asthma and chronic obstructive pulmonary disease)</w:t>
            </w:r>
          </w:p>
          <w:p w14:paraId="46AD82A3" w14:textId="77777777" w:rsidR="00A40BA9" w:rsidRPr="00A40BA9" w:rsidRDefault="00A40BA9" w:rsidP="00A40BA9">
            <w:pPr>
              <w:numPr>
                <w:ilvl w:val="1"/>
                <w:numId w:val="22"/>
              </w:numPr>
              <w:rPr>
                <w:rFonts w:ascii="Arial" w:hAnsi="Arial" w:cs="Arial"/>
                <w:b/>
                <w:bCs/>
              </w:rPr>
            </w:pPr>
            <w:r w:rsidRPr="00A40BA9">
              <w:rPr>
                <w:rFonts w:ascii="Arial" w:hAnsi="Arial" w:cs="Arial"/>
                <w:b/>
                <w:bCs/>
              </w:rPr>
              <w:t xml:space="preserve">Musculoskeletal conditions </w:t>
            </w:r>
            <w:r w:rsidRPr="00A40BA9">
              <w:rPr>
                <w:rFonts w:ascii="Arial" w:hAnsi="Arial" w:cs="Arial"/>
              </w:rPr>
              <w:t>(osteoporosis and rheumatoid arthritis)</w:t>
            </w:r>
          </w:p>
          <w:p w14:paraId="02E52754" w14:textId="77777777" w:rsidR="006B6E83" w:rsidRPr="003A420C" w:rsidRDefault="006B6E83" w:rsidP="002F4D40">
            <w:pPr>
              <w:jc w:val="center"/>
              <w:rPr>
                <w:rFonts w:ascii="Arial" w:hAnsi="Arial" w:cs="Arial"/>
              </w:rPr>
            </w:pPr>
          </w:p>
        </w:tc>
      </w:tr>
      <w:tr w:rsidR="006B6E83" w:rsidRPr="000C3B7B" w14:paraId="52423150" w14:textId="77777777" w:rsidTr="00D13707">
        <w:trPr>
          <w:trHeight w:val="370"/>
        </w:trPr>
        <w:tc>
          <w:tcPr>
            <w:tcW w:w="600" w:type="pct"/>
            <w:vMerge w:val="restart"/>
            <w:tcBorders>
              <w:top w:val="single" w:sz="4" w:space="0" w:color="auto"/>
              <w:left w:val="single" w:sz="4" w:space="0" w:color="auto"/>
              <w:right w:val="single" w:sz="4" w:space="0" w:color="auto"/>
            </w:tcBorders>
            <w:shd w:val="clear" w:color="auto" w:fill="FFE599" w:themeFill="accent4" w:themeFillTint="66"/>
            <w:vAlign w:val="center"/>
          </w:tcPr>
          <w:p w14:paraId="6426D7AC" w14:textId="77777777" w:rsidR="006B6E83" w:rsidRPr="000C3B7B" w:rsidRDefault="006B6E83" w:rsidP="002F4D40">
            <w:pPr>
              <w:rPr>
                <w:rFonts w:ascii="Arial" w:hAnsi="Arial" w:cs="Arial"/>
                <w:b/>
              </w:rPr>
            </w:pPr>
            <w:r>
              <w:rPr>
                <w:rFonts w:ascii="Arial" w:hAnsi="Arial" w:cs="Arial"/>
                <w:b/>
              </w:rPr>
              <w:t>Risks</w:t>
            </w:r>
          </w:p>
        </w:tc>
        <w:tc>
          <w:tcPr>
            <w:tcW w:w="2141" w:type="pct"/>
            <w:gridSpan w:val="8"/>
            <w:tcBorders>
              <w:top w:val="single" w:sz="4" w:space="0" w:color="auto"/>
              <w:left w:val="single" w:sz="4" w:space="0" w:color="auto"/>
              <w:right w:val="single" w:sz="4" w:space="0" w:color="auto"/>
            </w:tcBorders>
            <w:shd w:val="clear" w:color="auto" w:fill="FFE599" w:themeFill="accent4" w:themeFillTint="66"/>
            <w:vAlign w:val="center"/>
          </w:tcPr>
          <w:p w14:paraId="412CC6CA" w14:textId="77777777" w:rsidR="006B6E83" w:rsidRPr="000C3B7B" w:rsidRDefault="006B6E83" w:rsidP="002F4D40">
            <w:pPr>
              <w:rPr>
                <w:rFonts w:ascii="Arial" w:hAnsi="Arial" w:cs="Arial"/>
                <w:b/>
              </w:rPr>
            </w:pPr>
            <w:r w:rsidRPr="000C3B7B">
              <w:rPr>
                <w:rFonts w:ascii="Arial" w:hAnsi="Arial" w:cs="Arial"/>
                <w:b/>
              </w:rPr>
              <w:t xml:space="preserve">Risks </w:t>
            </w:r>
            <w:r>
              <w:rPr>
                <w:rFonts w:ascii="Arial" w:hAnsi="Arial" w:cs="Arial"/>
                <w:b/>
              </w:rPr>
              <w:t xml:space="preserve">of </w:t>
            </w:r>
            <w:proofErr w:type="gramStart"/>
            <w:r w:rsidRPr="000C3B7B">
              <w:rPr>
                <w:rFonts w:ascii="Arial" w:hAnsi="Arial" w:cs="Arial"/>
                <w:b/>
              </w:rPr>
              <w:t>Non-Delivery</w:t>
            </w:r>
            <w:proofErr w:type="gramEnd"/>
          </w:p>
        </w:tc>
        <w:tc>
          <w:tcPr>
            <w:tcW w:w="2259" w:type="pct"/>
            <w:gridSpan w:val="5"/>
            <w:tcBorders>
              <w:top w:val="single" w:sz="4" w:space="0" w:color="auto"/>
              <w:left w:val="single" w:sz="4" w:space="0" w:color="auto"/>
              <w:right w:val="single" w:sz="4" w:space="0" w:color="auto"/>
            </w:tcBorders>
            <w:shd w:val="clear" w:color="auto" w:fill="FFE599" w:themeFill="accent4" w:themeFillTint="66"/>
            <w:vAlign w:val="center"/>
          </w:tcPr>
          <w:p w14:paraId="6DD2FD09" w14:textId="77777777" w:rsidR="006B6E83" w:rsidRPr="000C3B7B" w:rsidRDefault="006B6E83" w:rsidP="002F4D40">
            <w:pPr>
              <w:rPr>
                <w:rFonts w:ascii="Arial" w:hAnsi="Arial" w:cs="Arial"/>
                <w:b/>
              </w:rPr>
            </w:pPr>
            <w:r w:rsidRPr="000C3B7B">
              <w:rPr>
                <w:rFonts w:ascii="Arial" w:hAnsi="Arial" w:cs="Arial"/>
                <w:b/>
              </w:rPr>
              <w:t>Mitigations</w:t>
            </w:r>
          </w:p>
        </w:tc>
      </w:tr>
      <w:tr w:rsidR="00EA59A8" w:rsidRPr="000C3B7B" w14:paraId="6D833B63" w14:textId="77777777" w:rsidTr="00EA59A8">
        <w:trPr>
          <w:trHeight w:val="370"/>
        </w:trPr>
        <w:tc>
          <w:tcPr>
            <w:tcW w:w="600" w:type="pct"/>
            <w:vMerge/>
            <w:tcBorders>
              <w:left w:val="single" w:sz="4" w:space="0" w:color="auto"/>
              <w:right w:val="single" w:sz="4" w:space="0" w:color="auto"/>
            </w:tcBorders>
            <w:shd w:val="clear" w:color="auto" w:fill="FFE599" w:themeFill="accent4" w:themeFillTint="66"/>
            <w:vAlign w:val="center"/>
          </w:tcPr>
          <w:p w14:paraId="506AAB65" w14:textId="77777777" w:rsidR="00EA59A8" w:rsidRPr="000C3B7B" w:rsidRDefault="00EA59A8" w:rsidP="002F4D40">
            <w:pPr>
              <w:rPr>
                <w:rFonts w:ascii="Arial" w:hAnsi="Arial" w:cs="Arial"/>
                <w:b/>
              </w:rPr>
            </w:pPr>
          </w:p>
        </w:tc>
        <w:tc>
          <w:tcPr>
            <w:tcW w:w="4400" w:type="pct"/>
            <w:gridSpan w:val="13"/>
            <w:tcBorders>
              <w:top w:val="single" w:sz="4" w:space="0" w:color="auto"/>
              <w:left w:val="single" w:sz="4" w:space="0" w:color="auto"/>
              <w:right w:val="single" w:sz="4" w:space="0" w:color="auto"/>
            </w:tcBorders>
            <w:shd w:val="clear" w:color="auto" w:fill="FFF2CC" w:themeFill="accent4" w:themeFillTint="33"/>
            <w:vAlign w:val="center"/>
          </w:tcPr>
          <w:p w14:paraId="146B2550" w14:textId="7412D9F3" w:rsidR="00EA59A8" w:rsidRPr="000C3B7B" w:rsidRDefault="00EA59A8" w:rsidP="002F4D40">
            <w:pPr>
              <w:rPr>
                <w:rFonts w:ascii="Arial" w:hAnsi="Arial" w:cs="Arial"/>
                <w:b/>
              </w:rPr>
            </w:pPr>
            <w:r w:rsidRPr="00FB50AF">
              <w:rPr>
                <w:rFonts w:ascii="Arial" w:hAnsi="Arial" w:cs="Arial"/>
                <w:bCs/>
              </w:rPr>
              <w:t>Detail on our refreshed strategic risks that have been identified is provided within our Risk section of our IMTP (section 4.4)</w:t>
            </w:r>
          </w:p>
        </w:tc>
      </w:tr>
      <w:tr w:rsidR="006B6E83" w:rsidRPr="000C3B7B" w14:paraId="13B1B5F8" w14:textId="77777777" w:rsidTr="00E05BB2">
        <w:trPr>
          <w:trHeight w:val="370"/>
        </w:trPr>
        <w:tc>
          <w:tcPr>
            <w:tcW w:w="600" w:type="pct"/>
            <w:vMerge w:val="restart"/>
            <w:tcBorders>
              <w:top w:val="single" w:sz="4" w:space="0" w:color="auto"/>
              <w:left w:val="single" w:sz="4" w:space="0" w:color="auto"/>
              <w:right w:val="single" w:sz="4" w:space="0" w:color="auto"/>
            </w:tcBorders>
            <w:shd w:val="clear" w:color="auto" w:fill="FFE599" w:themeFill="accent4" w:themeFillTint="66"/>
            <w:vAlign w:val="center"/>
          </w:tcPr>
          <w:p w14:paraId="67BE12F6" w14:textId="77777777" w:rsidR="006B6E83" w:rsidRPr="000C3B7B" w:rsidRDefault="006B6E83" w:rsidP="002F4D40">
            <w:pPr>
              <w:rPr>
                <w:rFonts w:ascii="Arial" w:hAnsi="Arial" w:cs="Arial"/>
                <w:b/>
              </w:rPr>
            </w:pPr>
            <w:r w:rsidRPr="000C3B7B">
              <w:rPr>
                <w:rFonts w:ascii="Arial" w:hAnsi="Arial" w:cs="Arial"/>
                <w:b/>
              </w:rPr>
              <w:t>Critical Enablers</w:t>
            </w:r>
          </w:p>
        </w:tc>
        <w:tc>
          <w:tcPr>
            <w:tcW w:w="4400" w:type="pct"/>
            <w:gridSpan w:val="13"/>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1EA46FB" w14:textId="77777777" w:rsidR="006B6E83" w:rsidRPr="000C3B7B" w:rsidRDefault="006B6E83" w:rsidP="002F4D40">
            <w:pPr>
              <w:rPr>
                <w:rFonts w:ascii="Arial" w:hAnsi="Arial" w:cs="Arial"/>
                <w:b/>
              </w:rPr>
            </w:pPr>
            <w:r w:rsidRPr="000C3B7B">
              <w:rPr>
                <w:rFonts w:ascii="Arial" w:hAnsi="Arial" w:cs="Arial"/>
                <w:b/>
              </w:rPr>
              <w:t xml:space="preserve">Finance </w:t>
            </w:r>
          </w:p>
        </w:tc>
      </w:tr>
      <w:tr w:rsidR="006B6E83" w:rsidRPr="000C3B7B" w14:paraId="2BC31DAE" w14:textId="77777777" w:rsidTr="00E05BB2">
        <w:trPr>
          <w:trHeight w:val="370"/>
        </w:trPr>
        <w:tc>
          <w:tcPr>
            <w:tcW w:w="600" w:type="pct"/>
            <w:vMerge/>
            <w:tcBorders>
              <w:left w:val="single" w:sz="4" w:space="0" w:color="auto"/>
              <w:right w:val="single" w:sz="4" w:space="0" w:color="auto"/>
            </w:tcBorders>
            <w:shd w:val="clear" w:color="auto" w:fill="FFE599" w:themeFill="accent4" w:themeFillTint="66"/>
            <w:vAlign w:val="center"/>
          </w:tcPr>
          <w:p w14:paraId="239EBA13" w14:textId="77777777" w:rsidR="006B6E83" w:rsidRPr="000C3B7B" w:rsidRDefault="006B6E83" w:rsidP="002F4D40">
            <w:pPr>
              <w:rPr>
                <w:rFonts w:ascii="Arial" w:hAnsi="Arial" w:cs="Arial"/>
                <w:bCs/>
              </w:rPr>
            </w:pPr>
          </w:p>
        </w:tc>
        <w:tc>
          <w:tcPr>
            <w:tcW w:w="4400" w:type="pct"/>
            <w:gridSpan w:val="1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B552041" w14:textId="6227CCC9" w:rsidR="006B6E83" w:rsidRDefault="009D3BFF" w:rsidP="002F4D40">
            <w:pPr>
              <w:rPr>
                <w:rFonts w:ascii="Arial" w:hAnsi="Arial" w:cs="Arial"/>
                <w:bCs/>
              </w:rPr>
            </w:pPr>
            <w:r w:rsidRPr="009D3BFF">
              <w:rPr>
                <w:rFonts w:ascii="Arial" w:hAnsi="Arial" w:cs="Arial"/>
                <w:bCs/>
              </w:rPr>
              <w:t>Detail on finance is provided within the Finance section of our IMTP (section 4.1)</w:t>
            </w:r>
          </w:p>
        </w:tc>
      </w:tr>
      <w:tr w:rsidR="006B6E83" w:rsidRPr="000C3B7B" w14:paraId="6A602B30" w14:textId="77777777" w:rsidTr="00E05BB2">
        <w:trPr>
          <w:trHeight w:val="370"/>
        </w:trPr>
        <w:tc>
          <w:tcPr>
            <w:tcW w:w="600" w:type="pct"/>
            <w:vMerge/>
            <w:tcBorders>
              <w:left w:val="single" w:sz="4" w:space="0" w:color="auto"/>
              <w:right w:val="single" w:sz="4" w:space="0" w:color="auto"/>
            </w:tcBorders>
            <w:shd w:val="clear" w:color="auto" w:fill="FFE599" w:themeFill="accent4" w:themeFillTint="66"/>
            <w:vAlign w:val="center"/>
          </w:tcPr>
          <w:p w14:paraId="77565B4C" w14:textId="77777777" w:rsidR="006B6E83" w:rsidRPr="000C3B7B" w:rsidRDefault="006B6E83" w:rsidP="002F4D40">
            <w:pPr>
              <w:rPr>
                <w:rFonts w:ascii="Arial" w:hAnsi="Arial" w:cs="Arial"/>
                <w:bCs/>
              </w:rPr>
            </w:pPr>
          </w:p>
        </w:tc>
        <w:tc>
          <w:tcPr>
            <w:tcW w:w="4400" w:type="pct"/>
            <w:gridSpan w:val="13"/>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6F97090" w14:textId="77777777" w:rsidR="006B6E83" w:rsidRPr="000C3B7B" w:rsidRDefault="006B6E83" w:rsidP="002F4D40">
            <w:pPr>
              <w:rPr>
                <w:rFonts w:ascii="Arial" w:hAnsi="Arial" w:cs="Arial"/>
                <w:b/>
              </w:rPr>
            </w:pPr>
            <w:r w:rsidRPr="000C3B7B">
              <w:rPr>
                <w:rFonts w:ascii="Arial" w:hAnsi="Arial" w:cs="Arial"/>
                <w:b/>
              </w:rPr>
              <w:t>Workforce</w:t>
            </w:r>
          </w:p>
        </w:tc>
      </w:tr>
      <w:tr w:rsidR="006B6E83" w:rsidRPr="000C3B7B" w14:paraId="6D9FCDA4" w14:textId="77777777" w:rsidTr="00E05BB2">
        <w:trPr>
          <w:trHeight w:val="370"/>
        </w:trPr>
        <w:tc>
          <w:tcPr>
            <w:tcW w:w="600" w:type="pct"/>
            <w:vMerge/>
            <w:tcBorders>
              <w:left w:val="single" w:sz="4" w:space="0" w:color="auto"/>
              <w:right w:val="single" w:sz="4" w:space="0" w:color="auto"/>
            </w:tcBorders>
            <w:shd w:val="clear" w:color="auto" w:fill="FFE599" w:themeFill="accent4" w:themeFillTint="66"/>
            <w:vAlign w:val="center"/>
          </w:tcPr>
          <w:p w14:paraId="0665B957" w14:textId="77777777" w:rsidR="006B6E83" w:rsidRPr="000C3B7B" w:rsidRDefault="006B6E83" w:rsidP="002F4D40">
            <w:pPr>
              <w:rPr>
                <w:rFonts w:ascii="Arial" w:hAnsi="Arial" w:cs="Arial"/>
                <w:bCs/>
              </w:rPr>
            </w:pPr>
          </w:p>
        </w:tc>
        <w:tc>
          <w:tcPr>
            <w:tcW w:w="4400" w:type="pct"/>
            <w:gridSpan w:val="1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783FD79" w14:textId="1CECCB6B" w:rsidR="006B6E83" w:rsidRDefault="009D3BFF" w:rsidP="002F4D40">
            <w:pPr>
              <w:rPr>
                <w:rFonts w:ascii="Arial" w:hAnsi="Arial" w:cs="Arial"/>
                <w:bCs/>
              </w:rPr>
            </w:pPr>
            <w:r w:rsidRPr="009D3BFF">
              <w:rPr>
                <w:rFonts w:ascii="Arial" w:hAnsi="Arial" w:cs="Arial"/>
                <w:bCs/>
              </w:rPr>
              <w:t>Detail on our workforce developments is set out within the Workforce section of our IMTP (section 4.3)</w:t>
            </w:r>
          </w:p>
        </w:tc>
      </w:tr>
      <w:tr w:rsidR="006B6E83" w:rsidRPr="000C3B7B" w14:paraId="0E1624CE" w14:textId="77777777" w:rsidTr="00E05BB2">
        <w:trPr>
          <w:trHeight w:val="370"/>
        </w:trPr>
        <w:tc>
          <w:tcPr>
            <w:tcW w:w="600" w:type="pct"/>
            <w:vMerge/>
            <w:tcBorders>
              <w:left w:val="single" w:sz="4" w:space="0" w:color="auto"/>
              <w:right w:val="single" w:sz="4" w:space="0" w:color="auto"/>
            </w:tcBorders>
            <w:shd w:val="clear" w:color="auto" w:fill="FFE599" w:themeFill="accent4" w:themeFillTint="66"/>
            <w:vAlign w:val="center"/>
          </w:tcPr>
          <w:p w14:paraId="26A0FFBF" w14:textId="77777777" w:rsidR="006B6E83" w:rsidRPr="000C3B7B" w:rsidRDefault="006B6E83" w:rsidP="002F4D40">
            <w:pPr>
              <w:rPr>
                <w:rFonts w:ascii="Arial" w:hAnsi="Arial" w:cs="Arial"/>
                <w:bCs/>
              </w:rPr>
            </w:pPr>
          </w:p>
        </w:tc>
        <w:tc>
          <w:tcPr>
            <w:tcW w:w="4400" w:type="pct"/>
            <w:gridSpan w:val="13"/>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97FFCE9" w14:textId="77777777" w:rsidR="006B6E83" w:rsidRPr="000C3B7B" w:rsidRDefault="006B6E83" w:rsidP="002F4D40">
            <w:pPr>
              <w:ind w:right="-269"/>
              <w:rPr>
                <w:rFonts w:ascii="Arial" w:hAnsi="Arial" w:cs="Arial"/>
                <w:b/>
              </w:rPr>
            </w:pPr>
            <w:r w:rsidRPr="000C3B7B">
              <w:rPr>
                <w:rFonts w:ascii="Arial" w:hAnsi="Arial" w:cs="Arial"/>
                <w:b/>
              </w:rPr>
              <w:t xml:space="preserve">Digital </w:t>
            </w:r>
          </w:p>
        </w:tc>
      </w:tr>
      <w:tr w:rsidR="006B6E83" w:rsidRPr="000C3B7B" w14:paraId="2EE707D0" w14:textId="77777777" w:rsidTr="00E05BB2">
        <w:trPr>
          <w:trHeight w:val="370"/>
        </w:trPr>
        <w:tc>
          <w:tcPr>
            <w:tcW w:w="600" w:type="pct"/>
            <w:vMerge/>
            <w:tcBorders>
              <w:left w:val="single" w:sz="4" w:space="0" w:color="auto"/>
              <w:right w:val="single" w:sz="4" w:space="0" w:color="auto"/>
            </w:tcBorders>
            <w:shd w:val="clear" w:color="auto" w:fill="FFE599" w:themeFill="accent4" w:themeFillTint="66"/>
            <w:vAlign w:val="center"/>
          </w:tcPr>
          <w:p w14:paraId="028EA21F" w14:textId="77777777" w:rsidR="006B6E83" w:rsidRPr="000C3B7B" w:rsidRDefault="006B6E83" w:rsidP="002F4D40">
            <w:pPr>
              <w:rPr>
                <w:rFonts w:ascii="Arial" w:hAnsi="Arial" w:cs="Arial"/>
                <w:bCs/>
              </w:rPr>
            </w:pPr>
          </w:p>
        </w:tc>
        <w:tc>
          <w:tcPr>
            <w:tcW w:w="4400" w:type="pct"/>
            <w:gridSpan w:val="1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4EE23FA" w14:textId="694A4447" w:rsidR="006B6E83" w:rsidRDefault="009D3BFF" w:rsidP="002F4D40">
            <w:pPr>
              <w:rPr>
                <w:rFonts w:ascii="Arial" w:hAnsi="Arial" w:cs="Arial"/>
                <w:bCs/>
              </w:rPr>
            </w:pPr>
            <w:r w:rsidRPr="009D3BFF">
              <w:rPr>
                <w:rFonts w:ascii="Arial" w:hAnsi="Arial" w:cs="Arial"/>
                <w:bCs/>
              </w:rPr>
              <w:t>Detail on key digital developments, including financial implications, is set out within the Digital section of our IMT</w:t>
            </w:r>
            <w:r w:rsidR="00304DFD">
              <w:rPr>
                <w:rFonts w:ascii="Arial" w:hAnsi="Arial" w:cs="Arial"/>
                <w:bCs/>
              </w:rPr>
              <w:t>P</w:t>
            </w:r>
            <w:r w:rsidRPr="009D3BFF">
              <w:rPr>
                <w:rFonts w:ascii="Arial" w:hAnsi="Arial" w:cs="Arial"/>
                <w:bCs/>
              </w:rPr>
              <w:t xml:space="preserve"> (section 4.2)</w:t>
            </w:r>
          </w:p>
        </w:tc>
      </w:tr>
      <w:tr w:rsidR="006B6E83" w:rsidRPr="000C3B7B" w14:paraId="400106E4" w14:textId="77777777" w:rsidTr="00E05BB2">
        <w:trPr>
          <w:trHeight w:val="370"/>
        </w:trPr>
        <w:tc>
          <w:tcPr>
            <w:tcW w:w="600" w:type="pct"/>
            <w:vMerge/>
            <w:tcBorders>
              <w:left w:val="single" w:sz="4" w:space="0" w:color="auto"/>
              <w:right w:val="single" w:sz="4" w:space="0" w:color="auto"/>
            </w:tcBorders>
            <w:shd w:val="clear" w:color="auto" w:fill="FFE599" w:themeFill="accent4" w:themeFillTint="66"/>
            <w:vAlign w:val="center"/>
          </w:tcPr>
          <w:p w14:paraId="702386CF" w14:textId="77777777" w:rsidR="006B6E83" w:rsidRPr="000C3B7B" w:rsidRDefault="006B6E83" w:rsidP="002F4D40">
            <w:pPr>
              <w:rPr>
                <w:rFonts w:ascii="Arial" w:hAnsi="Arial" w:cs="Arial"/>
                <w:bCs/>
              </w:rPr>
            </w:pPr>
          </w:p>
        </w:tc>
        <w:tc>
          <w:tcPr>
            <w:tcW w:w="4400" w:type="pct"/>
            <w:gridSpan w:val="13"/>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DF7A1A5" w14:textId="77777777" w:rsidR="006B6E83" w:rsidRPr="000C3B7B" w:rsidRDefault="006B6E83" w:rsidP="002F4D40">
            <w:pPr>
              <w:rPr>
                <w:rFonts w:ascii="Arial" w:hAnsi="Arial" w:cs="Arial"/>
                <w:b/>
              </w:rPr>
            </w:pPr>
            <w:r w:rsidRPr="000C3B7B">
              <w:rPr>
                <w:rFonts w:ascii="Arial" w:hAnsi="Arial" w:cs="Arial"/>
                <w:b/>
              </w:rPr>
              <w:t>Other (Specify)</w:t>
            </w:r>
          </w:p>
        </w:tc>
      </w:tr>
      <w:tr w:rsidR="006B6E83" w:rsidRPr="000C3B7B" w14:paraId="6CCD74BE" w14:textId="77777777" w:rsidTr="00E05BB2">
        <w:trPr>
          <w:trHeight w:val="370"/>
        </w:trPr>
        <w:tc>
          <w:tcPr>
            <w:tcW w:w="600" w:type="pct"/>
            <w:vMerge/>
            <w:tcBorders>
              <w:left w:val="single" w:sz="4" w:space="0" w:color="auto"/>
              <w:right w:val="single" w:sz="4" w:space="0" w:color="auto"/>
            </w:tcBorders>
            <w:shd w:val="clear" w:color="auto" w:fill="FFE599" w:themeFill="accent4" w:themeFillTint="66"/>
            <w:vAlign w:val="center"/>
          </w:tcPr>
          <w:p w14:paraId="02722B67" w14:textId="77777777" w:rsidR="006B6E83" w:rsidRPr="000C3B7B" w:rsidRDefault="006B6E83" w:rsidP="002F4D40">
            <w:pPr>
              <w:rPr>
                <w:rFonts w:ascii="Arial" w:hAnsi="Arial" w:cs="Arial"/>
                <w:bCs/>
              </w:rPr>
            </w:pPr>
          </w:p>
        </w:tc>
        <w:tc>
          <w:tcPr>
            <w:tcW w:w="4400" w:type="pct"/>
            <w:gridSpan w:val="1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0F7C856" w14:textId="6F29369C" w:rsidR="006B6E83" w:rsidRDefault="009D3BFF" w:rsidP="002F4D40">
            <w:pPr>
              <w:rPr>
                <w:rFonts w:ascii="Arial" w:hAnsi="Arial" w:cs="Arial"/>
                <w:bCs/>
              </w:rPr>
            </w:pPr>
            <w:r>
              <w:rPr>
                <w:rFonts w:ascii="Arial" w:hAnsi="Arial" w:cs="Arial"/>
                <w:bCs/>
              </w:rPr>
              <w:t>N/A</w:t>
            </w:r>
          </w:p>
        </w:tc>
      </w:tr>
      <w:tr w:rsidR="006B6E83" w:rsidRPr="000C3B7B" w14:paraId="177F5D96" w14:textId="77777777" w:rsidTr="00E05BB2">
        <w:trPr>
          <w:trHeight w:val="370"/>
        </w:trPr>
        <w:tc>
          <w:tcPr>
            <w:tcW w:w="600" w:type="pct"/>
            <w:vMerge w:val="restart"/>
            <w:tcBorders>
              <w:left w:val="single" w:sz="4" w:space="0" w:color="auto"/>
              <w:right w:val="single" w:sz="4" w:space="0" w:color="auto"/>
            </w:tcBorders>
            <w:shd w:val="clear" w:color="auto" w:fill="8EAADB" w:themeFill="accent1" w:themeFillTint="99"/>
            <w:vAlign w:val="center"/>
          </w:tcPr>
          <w:p w14:paraId="2104845A" w14:textId="77777777" w:rsidR="006B6E83" w:rsidRPr="00B35A82" w:rsidRDefault="006B6E83" w:rsidP="002F4D40">
            <w:pPr>
              <w:rPr>
                <w:rFonts w:ascii="Arial" w:hAnsi="Arial" w:cs="Arial"/>
                <w:b/>
              </w:rPr>
            </w:pPr>
            <w:r w:rsidRPr="00B35A82">
              <w:rPr>
                <w:rFonts w:ascii="Arial" w:hAnsi="Arial" w:cs="Arial"/>
                <w:b/>
              </w:rPr>
              <w:t xml:space="preserve">Prevention &amp; Population Health </w:t>
            </w:r>
          </w:p>
        </w:tc>
        <w:tc>
          <w:tcPr>
            <w:tcW w:w="4400" w:type="pct"/>
            <w:gridSpan w:val="13"/>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55636C1" w14:textId="77777777" w:rsidR="006B6E83" w:rsidRPr="00B35A82" w:rsidRDefault="006B6E83" w:rsidP="002F4D40">
            <w:pPr>
              <w:rPr>
                <w:rFonts w:ascii="Arial" w:hAnsi="Arial" w:cs="Arial"/>
                <w:b/>
              </w:rPr>
            </w:pPr>
            <w:r w:rsidRPr="00B35A82">
              <w:rPr>
                <w:rFonts w:ascii="Arial" w:hAnsi="Arial" w:cs="Arial"/>
                <w:b/>
              </w:rPr>
              <w:t>Opportunities identified</w:t>
            </w:r>
          </w:p>
        </w:tc>
      </w:tr>
      <w:tr w:rsidR="006B6E83" w:rsidRPr="000C3B7B" w14:paraId="0B862E22" w14:textId="77777777" w:rsidTr="00E05BB2">
        <w:trPr>
          <w:trHeight w:val="560"/>
        </w:trPr>
        <w:tc>
          <w:tcPr>
            <w:tcW w:w="600" w:type="pct"/>
            <w:vMerge/>
            <w:tcBorders>
              <w:left w:val="single" w:sz="4" w:space="0" w:color="auto"/>
              <w:right w:val="single" w:sz="4" w:space="0" w:color="auto"/>
            </w:tcBorders>
            <w:shd w:val="clear" w:color="auto" w:fill="8EAADB" w:themeFill="accent1" w:themeFillTint="99"/>
            <w:vAlign w:val="center"/>
          </w:tcPr>
          <w:p w14:paraId="0C36044F" w14:textId="77777777" w:rsidR="006B6E83" w:rsidRPr="00B35A82" w:rsidRDefault="006B6E83" w:rsidP="002F4D40">
            <w:pPr>
              <w:rPr>
                <w:rFonts w:ascii="Arial" w:hAnsi="Arial" w:cs="Arial"/>
                <w:b/>
              </w:rPr>
            </w:pPr>
          </w:p>
        </w:tc>
        <w:tc>
          <w:tcPr>
            <w:tcW w:w="4400" w:type="pct"/>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1AE53CA" w14:textId="34CC99FC" w:rsidR="00026C7B" w:rsidRDefault="00FC04D4" w:rsidP="002F4D40">
            <w:pPr>
              <w:rPr>
                <w:rFonts w:ascii="Arial" w:hAnsi="Arial" w:cs="Arial"/>
                <w:bCs/>
              </w:rPr>
            </w:pPr>
            <w:r w:rsidRPr="00FC04D4">
              <w:rPr>
                <w:rFonts w:ascii="Arial" w:hAnsi="Arial" w:cs="Arial"/>
                <w:bCs/>
              </w:rPr>
              <w:t>Over the past year, we have built significant momentum to a shift towards a prevention-focused approach across the health and care system in Wales. The Prevention Based Health and Care framework has been launched alongside a steering group to guide this transition.</w:t>
            </w:r>
            <w:r w:rsidR="00EA59A8">
              <w:rPr>
                <w:rFonts w:ascii="Arial" w:hAnsi="Arial" w:cs="Arial"/>
                <w:bCs/>
              </w:rPr>
              <w:t xml:space="preserve"> </w:t>
            </w:r>
            <w:r w:rsidR="00026C7B">
              <w:rPr>
                <w:rFonts w:ascii="Arial" w:hAnsi="Arial" w:cs="Arial"/>
                <w:bCs/>
              </w:rPr>
              <w:t>We will also work together with</w:t>
            </w:r>
            <w:r w:rsidR="00026C7B" w:rsidRPr="00026C7B">
              <w:rPr>
                <w:rFonts w:ascii="Arial" w:hAnsi="Arial" w:cs="Arial"/>
                <w:bCs/>
              </w:rPr>
              <w:t xml:space="preserve"> HEIW on our shared and respective roles in the preventive importance of the NHS workforce. </w:t>
            </w:r>
          </w:p>
          <w:p w14:paraId="7D3E0EC0" w14:textId="77777777" w:rsidR="00026C7B" w:rsidRDefault="00026C7B" w:rsidP="002F4D40">
            <w:pPr>
              <w:rPr>
                <w:rFonts w:ascii="Arial" w:hAnsi="Arial" w:cs="Arial"/>
                <w:bCs/>
              </w:rPr>
            </w:pPr>
          </w:p>
          <w:p w14:paraId="786C4690" w14:textId="35D3F586" w:rsidR="006B6E83" w:rsidRDefault="003C0637" w:rsidP="002F4D40">
            <w:pPr>
              <w:rPr>
                <w:rFonts w:ascii="Arial" w:hAnsi="Arial" w:cs="Arial"/>
                <w:bCs/>
              </w:rPr>
            </w:pPr>
            <w:r w:rsidRPr="003C0637">
              <w:rPr>
                <w:rFonts w:ascii="Arial" w:hAnsi="Arial" w:cs="Arial"/>
                <w:bCs/>
              </w:rPr>
              <w:t>In response to the stark figures and future protections of the rise of diabetes in Wales, we have established Tackling Diabetes Together, a programme which brings together key partners from across the system to improve outcomes for people living with Diabetes (types 1 and 2) and halt the rise in prevalence of Type 2 Diabetes by 2028.</w:t>
            </w:r>
            <w:r w:rsidR="007A0CB3">
              <w:rPr>
                <w:rFonts w:ascii="Arial" w:hAnsi="Arial" w:cs="Arial"/>
                <w:bCs/>
              </w:rPr>
              <w:t xml:space="preserve"> </w:t>
            </w:r>
            <w:r w:rsidR="007A0CB3" w:rsidRPr="007129BB">
              <w:rPr>
                <w:rFonts w:ascii="Ubuntu Light" w:eastAsia="Times New Roman" w:hAnsi="Ubuntu Light" w:cs="Segoe UI"/>
                <w:sz w:val="24"/>
                <w:szCs w:val="24"/>
                <w:lang w:eastAsia="en-GB"/>
              </w:rPr>
              <w:t xml:space="preserve"> </w:t>
            </w:r>
            <w:r w:rsidR="007A0CB3" w:rsidRPr="007A0CB3">
              <w:rPr>
                <w:rFonts w:ascii="Arial" w:hAnsi="Arial" w:cs="Arial"/>
                <w:bCs/>
              </w:rPr>
              <w:t>The All Wales Diabetes Prevention Programme (AWDPP) continues to show positive results, with nearly 10,000 people attending consultations. An equity toolkit and a service user experience report were also published to assess the programme’s impact.</w:t>
            </w:r>
          </w:p>
          <w:p w14:paraId="4BAD5DEA" w14:textId="77777777" w:rsidR="00FC04D4" w:rsidRDefault="00FC04D4" w:rsidP="002F4D40">
            <w:pPr>
              <w:rPr>
                <w:rFonts w:ascii="Arial" w:hAnsi="Arial" w:cs="Arial"/>
                <w:bCs/>
              </w:rPr>
            </w:pPr>
          </w:p>
          <w:p w14:paraId="32A888EE" w14:textId="7AABF7FB" w:rsidR="00F963EA" w:rsidRDefault="00F963EA" w:rsidP="00F963EA">
            <w:pPr>
              <w:rPr>
                <w:rFonts w:ascii="Arial" w:hAnsi="Arial" w:cs="Arial"/>
                <w:bCs/>
              </w:rPr>
            </w:pPr>
            <w:r w:rsidRPr="00F963EA">
              <w:rPr>
                <w:rFonts w:ascii="Arial" w:hAnsi="Arial" w:cs="Arial"/>
                <w:bCs/>
              </w:rPr>
              <w:t xml:space="preserve">A strong focus has been placed on reducing health inequalities through primary care. Key actions </w:t>
            </w:r>
            <w:r w:rsidR="00D029D0">
              <w:rPr>
                <w:rFonts w:ascii="Arial" w:hAnsi="Arial" w:cs="Arial"/>
                <w:bCs/>
              </w:rPr>
              <w:t xml:space="preserve">in 24/25 </w:t>
            </w:r>
            <w:r w:rsidRPr="00F963EA">
              <w:rPr>
                <w:rFonts w:ascii="Arial" w:hAnsi="Arial" w:cs="Arial"/>
                <w:bCs/>
              </w:rPr>
              <w:t>included co-producing with professionals a consensus framework for action and collaborating with partners to create a multi-professional education framework on health inequalities and inclusion health, with resources, made available on the Primary Care One website to support embedding these in practice.</w:t>
            </w:r>
          </w:p>
          <w:p w14:paraId="04A228E7" w14:textId="77777777" w:rsidR="00205A98" w:rsidRDefault="00205A98" w:rsidP="00F963EA">
            <w:pPr>
              <w:rPr>
                <w:rFonts w:ascii="Arial" w:hAnsi="Arial" w:cs="Arial"/>
                <w:bCs/>
              </w:rPr>
            </w:pPr>
          </w:p>
          <w:p w14:paraId="436878FC" w14:textId="0C870D08" w:rsidR="00565EF0" w:rsidRDefault="00205A98" w:rsidP="00F963EA">
            <w:pPr>
              <w:rPr>
                <w:rFonts w:ascii="Arial" w:hAnsi="Arial" w:cs="Arial"/>
                <w:bCs/>
              </w:rPr>
            </w:pPr>
            <w:r w:rsidRPr="00205A98">
              <w:rPr>
                <w:rFonts w:ascii="Arial" w:hAnsi="Arial" w:cs="Arial"/>
                <w:bCs/>
              </w:rPr>
              <w:t xml:space="preserve">In dental care, national coordination of programmes like Designed to Smile and child dental health inspections all aim to prevent tooth decay in children. </w:t>
            </w:r>
            <w:r w:rsidR="00E936A6">
              <w:rPr>
                <w:rFonts w:ascii="Arial" w:hAnsi="Arial" w:cs="Arial"/>
                <w:bCs/>
              </w:rPr>
              <w:t>In 24/25, c</w:t>
            </w:r>
            <w:r w:rsidRPr="00205A98">
              <w:rPr>
                <w:rFonts w:ascii="Arial" w:hAnsi="Arial" w:cs="Arial"/>
                <w:bCs/>
              </w:rPr>
              <w:t>ollaborative work with the Care Inspectorate Wales (CIW) sought to improve the oral health of care home residents.</w:t>
            </w:r>
          </w:p>
          <w:p w14:paraId="3D21520D" w14:textId="77777777" w:rsidR="00565EF0" w:rsidRPr="00565EF0" w:rsidRDefault="00565EF0" w:rsidP="00565EF0">
            <w:pPr>
              <w:spacing w:before="240"/>
              <w:jc w:val="both"/>
              <w:textAlignment w:val="baseline"/>
              <w:rPr>
                <w:rFonts w:ascii="Arial" w:hAnsi="Arial" w:cs="Arial"/>
                <w:bCs/>
              </w:rPr>
            </w:pPr>
            <w:r w:rsidRPr="00565EF0">
              <w:rPr>
                <w:rFonts w:ascii="Arial" w:hAnsi="Arial" w:cs="Arial"/>
                <w:bCs/>
              </w:rPr>
              <w:lastRenderedPageBreak/>
              <w:t>We have also worked with a focus on social value methods which has included delivering training on assessing well-being impact and creating a toolkit to help shift NHS budgets towards prevention.</w:t>
            </w:r>
          </w:p>
          <w:p w14:paraId="0F5002C0" w14:textId="77777777" w:rsidR="00FC04D4" w:rsidRPr="00AA5338" w:rsidRDefault="00FC04D4" w:rsidP="002F4D40">
            <w:pPr>
              <w:rPr>
                <w:rFonts w:ascii="Arial" w:hAnsi="Arial" w:cs="Arial"/>
                <w:bCs/>
              </w:rPr>
            </w:pPr>
          </w:p>
        </w:tc>
      </w:tr>
    </w:tbl>
    <w:p w14:paraId="2F23C6AE" w14:textId="77777777" w:rsidR="006B6E83" w:rsidRDefault="006B6E83" w:rsidP="00AA5338">
      <w:pPr>
        <w:rPr>
          <w:rFonts w:ascii="Arial" w:hAnsi="Arial" w:cs="Arial"/>
          <w:sz w:val="24"/>
          <w:szCs w:val="24"/>
        </w:rPr>
      </w:pPr>
    </w:p>
    <w:p w14:paraId="684E760D" w14:textId="77777777" w:rsidR="006B6E83" w:rsidRDefault="006B6E83" w:rsidP="00AA5338">
      <w:pPr>
        <w:rPr>
          <w:rFonts w:ascii="Arial" w:hAnsi="Arial" w:cs="Arial"/>
          <w:sz w:val="24"/>
          <w:szCs w:val="24"/>
        </w:rPr>
      </w:pPr>
    </w:p>
    <w:tbl>
      <w:tblPr>
        <w:tblStyle w:val="TableGrid1"/>
        <w:tblpPr w:leftFromText="180" w:rightFromText="180" w:vertAnchor="text" w:tblpX="-147" w:tblpY="1"/>
        <w:tblOverlap w:val="never"/>
        <w:tblW w:w="5361" w:type="pct"/>
        <w:tblInd w:w="0" w:type="dxa"/>
        <w:tblLook w:val="04A0" w:firstRow="1" w:lastRow="0" w:firstColumn="1" w:lastColumn="0" w:noHBand="0" w:noVBand="1"/>
      </w:tblPr>
      <w:tblGrid>
        <w:gridCol w:w="804"/>
        <w:gridCol w:w="751"/>
        <w:gridCol w:w="1154"/>
        <w:gridCol w:w="153"/>
        <w:gridCol w:w="489"/>
        <w:gridCol w:w="435"/>
        <w:gridCol w:w="404"/>
        <w:gridCol w:w="1605"/>
        <w:gridCol w:w="74"/>
        <w:gridCol w:w="437"/>
        <w:gridCol w:w="229"/>
        <w:gridCol w:w="1702"/>
        <w:gridCol w:w="171"/>
        <w:gridCol w:w="2803"/>
      </w:tblGrid>
      <w:tr w:rsidR="006B6E83" w:rsidRPr="000C3B7B" w14:paraId="17E06DBF" w14:textId="77777777" w:rsidTr="000F3610">
        <w:tc>
          <w:tcPr>
            <w:tcW w:w="5000" w:type="pct"/>
            <w:gridSpan w:val="14"/>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882AAD5" w14:textId="77777777" w:rsidR="006B6E83" w:rsidRPr="006179A4" w:rsidRDefault="006B6E83" w:rsidP="002F4D40">
            <w:pPr>
              <w:rPr>
                <w:rFonts w:ascii="Arial" w:hAnsi="Arial"/>
              </w:rPr>
            </w:pPr>
            <w:r w:rsidRPr="006179A4">
              <w:rPr>
                <w:rFonts w:ascii="Arial" w:eastAsia="Times New Roman" w:hAnsi="Arial" w:cs="Arial"/>
                <w:b/>
                <w:bCs/>
              </w:rPr>
              <w:t xml:space="preserve">Priority area(s) to deliver 25/26:  </w:t>
            </w:r>
          </w:p>
        </w:tc>
      </w:tr>
      <w:tr w:rsidR="006B6E83" w:rsidRPr="000C3B7B" w14:paraId="69011AC0" w14:textId="77777777" w:rsidTr="000F3610">
        <w:tc>
          <w:tcPr>
            <w:tcW w:w="1209" w:type="pct"/>
            <w:gridSpan w:val="3"/>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DEECFD" w14:textId="77777777" w:rsidR="006B6E83" w:rsidRPr="006179A4" w:rsidRDefault="006B6E83" w:rsidP="002F4D40">
            <w:pPr>
              <w:rPr>
                <w:rFonts w:ascii="Arial" w:eastAsia="Times New Roman" w:hAnsi="Arial" w:cs="Arial"/>
                <w:b/>
                <w:bCs/>
              </w:rPr>
            </w:pPr>
            <w:r w:rsidRPr="006179A4">
              <w:rPr>
                <w:rFonts w:ascii="Arial" w:hAnsi="Arial" w:cs="Arial"/>
                <w:b/>
                <w:bCs/>
              </w:rPr>
              <w:t>Key focus should be on delivering</w:t>
            </w:r>
          </w:p>
        </w:tc>
        <w:tc>
          <w:tcPr>
            <w:tcW w:w="3791" w:type="pct"/>
            <w:gridSpan w:val="11"/>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366D04" w14:textId="06A0B03D" w:rsidR="006B6E83" w:rsidRPr="006B6E83" w:rsidRDefault="006B6E83" w:rsidP="002F4D40">
            <w:pPr>
              <w:rPr>
                <w:rFonts w:ascii="Arial" w:eastAsia="Times New Roman" w:hAnsi="Arial" w:cs="Arial"/>
                <w:sz w:val="28"/>
                <w:szCs w:val="28"/>
              </w:rPr>
            </w:pPr>
            <w:r w:rsidRPr="006B6E83">
              <w:rPr>
                <w:rFonts w:ascii="Arial" w:eastAsia="Times New Roman" w:hAnsi="Arial" w:cs="Arial"/>
                <w:sz w:val="28"/>
                <w:szCs w:val="28"/>
              </w:rPr>
              <w:t>Mental Health Access</w:t>
            </w:r>
          </w:p>
        </w:tc>
      </w:tr>
      <w:tr w:rsidR="006B6E83" w:rsidRPr="000C3B7B" w14:paraId="38860975" w14:textId="77777777" w:rsidTr="00A135D7">
        <w:trPr>
          <w:trHeight w:val="112"/>
        </w:trPr>
        <w:tc>
          <w:tcPr>
            <w:tcW w:w="694" w:type="pct"/>
            <w:gridSpan w:val="2"/>
            <w:tcBorders>
              <w:top w:val="single" w:sz="4" w:space="0" w:color="auto"/>
              <w:left w:val="single" w:sz="4" w:space="0" w:color="auto"/>
              <w:bottom w:val="single" w:sz="4" w:space="0" w:color="auto"/>
              <w:right w:val="single" w:sz="4" w:space="0" w:color="auto"/>
            </w:tcBorders>
            <w:shd w:val="clear" w:color="auto" w:fill="000000" w:themeFill="text1"/>
          </w:tcPr>
          <w:p w14:paraId="6A6C31F5" w14:textId="77777777" w:rsidR="006B6E83" w:rsidRPr="000C3B7B" w:rsidRDefault="006B6E83" w:rsidP="002F4D40">
            <w:pPr>
              <w:rPr>
                <w:rFonts w:ascii="Arial" w:hAnsi="Arial" w:cs="Arial"/>
                <w:b/>
                <w:bCs/>
              </w:rPr>
            </w:pPr>
          </w:p>
        </w:tc>
        <w:tc>
          <w:tcPr>
            <w:tcW w:w="583" w:type="pct"/>
            <w:gridSpan w:val="2"/>
            <w:tcBorders>
              <w:top w:val="single" w:sz="4" w:space="0" w:color="auto"/>
              <w:left w:val="single" w:sz="4" w:space="0" w:color="auto"/>
              <w:bottom w:val="single" w:sz="4" w:space="0" w:color="auto"/>
              <w:right w:val="single" w:sz="4" w:space="0" w:color="auto"/>
            </w:tcBorders>
            <w:shd w:val="clear" w:color="auto" w:fill="000000" w:themeFill="text1"/>
          </w:tcPr>
          <w:p w14:paraId="53C567A8" w14:textId="77777777" w:rsidR="006B6E83" w:rsidRPr="000C3B7B" w:rsidRDefault="006B6E83" w:rsidP="002F4D40">
            <w:pPr>
              <w:rPr>
                <w:rFonts w:ascii="Arial" w:hAnsi="Arial" w:cs="Arial"/>
                <w:b/>
                <w:bCs/>
              </w:rPr>
            </w:pPr>
          </w:p>
        </w:tc>
        <w:tc>
          <w:tcPr>
            <w:tcW w:w="592" w:type="pct"/>
            <w:gridSpan w:val="3"/>
            <w:tcBorders>
              <w:top w:val="single" w:sz="4" w:space="0" w:color="auto"/>
              <w:left w:val="single" w:sz="4" w:space="0" w:color="auto"/>
              <w:bottom w:val="single" w:sz="4" w:space="0" w:color="auto"/>
              <w:right w:val="single" w:sz="4" w:space="0" w:color="auto"/>
            </w:tcBorders>
            <w:shd w:val="clear" w:color="auto" w:fill="000000" w:themeFill="text1"/>
          </w:tcPr>
          <w:p w14:paraId="57268833" w14:textId="77777777" w:rsidR="006B6E83" w:rsidRPr="000C3B7B" w:rsidRDefault="006B6E83" w:rsidP="002F4D40">
            <w:pPr>
              <w:rPr>
                <w:rFonts w:ascii="Arial" w:hAnsi="Arial" w:cs="Arial"/>
                <w:i/>
                <w:iCs/>
              </w:rPr>
            </w:pPr>
          </w:p>
        </w:tc>
        <w:tc>
          <w:tcPr>
            <w:tcW w:w="1046" w:type="pct"/>
            <w:gridSpan w:val="4"/>
            <w:tcBorders>
              <w:top w:val="single" w:sz="4" w:space="0" w:color="auto"/>
              <w:left w:val="single" w:sz="4" w:space="0" w:color="auto"/>
              <w:bottom w:val="single" w:sz="4" w:space="0" w:color="auto"/>
              <w:right w:val="single" w:sz="4" w:space="0" w:color="auto"/>
            </w:tcBorders>
            <w:shd w:val="clear" w:color="auto" w:fill="000000" w:themeFill="text1"/>
          </w:tcPr>
          <w:p w14:paraId="7C43E324" w14:textId="77777777" w:rsidR="006B6E83" w:rsidRPr="000C3B7B" w:rsidRDefault="006B6E83" w:rsidP="002F4D40">
            <w:pPr>
              <w:rPr>
                <w:rFonts w:ascii="Arial" w:hAnsi="Arial" w:cs="Arial"/>
                <w:i/>
                <w:iCs/>
              </w:rPr>
            </w:pPr>
          </w:p>
        </w:tc>
        <w:tc>
          <w:tcPr>
            <w:tcW w:w="2085" w:type="pct"/>
            <w:gridSpan w:val="3"/>
            <w:tcBorders>
              <w:top w:val="single" w:sz="4" w:space="0" w:color="auto"/>
              <w:left w:val="single" w:sz="4" w:space="0" w:color="auto"/>
              <w:bottom w:val="single" w:sz="4" w:space="0" w:color="auto"/>
              <w:right w:val="single" w:sz="4" w:space="0" w:color="auto"/>
            </w:tcBorders>
            <w:shd w:val="clear" w:color="auto" w:fill="000000" w:themeFill="text1"/>
          </w:tcPr>
          <w:p w14:paraId="536DDB61" w14:textId="77777777" w:rsidR="006B6E83" w:rsidRPr="000C3B7B" w:rsidRDefault="006B6E83" w:rsidP="002F4D40">
            <w:pPr>
              <w:rPr>
                <w:rFonts w:ascii="Arial" w:hAnsi="Arial" w:cs="Arial"/>
                <w:i/>
                <w:iCs/>
              </w:rPr>
            </w:pPr>
          </w:p>
        </w:tc>
      </w:tr>
      <w:tr w:rsidR="006B6E83" w:rsidRPr="000C3B7B" w14:paraId="11685542" w14:textId="77777777" w:rsidTr="000F3610">
        <w:tc>
          <w:tcPr>
            <w:tcW w:w="694"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9259297" w14:textId="77777777" w:rsidR="006B6E83" w:rsidRPr="000C3B7B" w:rsidRDefault="006B6E83" w:rsidP="002F4D40">
            <w:pPr>
              <w:rPr>
                <w:rFonts w:ascii="Arial" w:hAnsi="Arial" w:cs="Arial"/>
                <w:b/>
                <w:bCs/>
              </w:rPr>
            </w:pPr>
            <w:r>
              <w:rPr>
                <w:rFonts w:ascii="Arial" w:hAnsi="Arial" w:cs="Arial"/>
                <w:b/>
                <w:bCs/>
              </w:rPr>
              <w:t>R</w:t>
            </w:r>
            <w:r w:rsidRPr="000C3B7B">
              <w:rPr>
                <w:rFonts w:ascii="Arial" w:hAnsi="Arial" w:cs="Arial"/>
                <w:b/>
                <w:bCs/>
              </w:rPr>
              <w:t>ef:</w:t>
            </w:r>
          </w:p>
        </w:tc>
        <w:tc>
          <w:tcPr>
            <w:tcW w:w="4306" w:type="pct"/>
            <w:gridSpan w:val="1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1757078" w14:textId="1AA00454" w:rsidR="006B6E83" w:rsidRPr="000C3B7B" w:rsidRDefault="00A135D7" w:rsidP="00A135D7">
            <w:pPr>
              <w:rPr>
                <w:rFonts w:ascii="Arial" w:hAnsi="Arial" w:cs="Arial"/>
                <w:b/>
                <w:iCs/>
              </w:rPr>
            </w:pPr>
            <w:r w:rsidRPr="00D13707">
              <w:rPr>
                <w:rFonts w:ascii="Arial" w:hAnsi="Arial" w:cs="Arial"/>
                <w:bCs/>
                <w:sz w:val="24"/>
                <w:szCs w:val="24"/>
              </w:rPr>
              <w:t>Continued from 24/25</w:t>
            </w:r>
          </w:p>
        </w:tc>
      </w:tr>
      <w:tr w:rsidR="006B6E83" w:rsidRPr="000C3B7B" w14:paraId="64D1BD68" w14:textId="77777777" w:rsidTr="000F3610">
        <w:tc>
          <w:tcPr>
            <w:tcW w:w="5000" w:type="pct"/>
            <w:gridSpan w:val="14"/>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7D3D61B" w14:textId="77777777" w:rsidR="006B6E83" w:rsidRDefault="006B6E83" w:rsidP="002F4D40">
            <w:pPr>
              <w:rPr>
                <w:rFonts w:ascii="Arial" w:hAnsi="Arial" w:cs="Arial"/>
                <w:b/>
                <w:bCs/>
              </w:rPr>
            </w:pPr>
            <w:r>
              <w:rPr>
                <w:rFonts w:ascii="Arial" w:hAnsi="Arial" w:cs="Arial"/>
                <w:b/>
                <w:bCs/>
              </w:rPr>
              <w:t xml:space="preserve"> Resume of planning </w:t>
            </w:r>
            <w:r w:rsidRPr="000C3B7B">
              <w:rPr>
                <w:rFonts w:ascii="Arial" w:hAnsi="Arial" w:cs="Arial"/>
                <w:b/>
                <w:bCs/>
              </w:rPr>
              <w:t>Milestones 2</w:t>
            </w:r>
            <w:r>
              <w:rPr>
                <w:rFonts w:ascii="Arial" w:hAnsi="Arial" w:cs="Arial"/>
                <w:b/>
                <w:bCs/>
              </w:rPr>
              <w:t>4</w:t>
            </w:r>
            <w:r w:rsidRPr="000C3B7B">
              <w:rPr>
                <w:rFonts w:ascii="Arial" w:hAnsi="Arial" w:cs="Arial"/>
                <w:b/>
                <w:bCs/>
              </w:rPr>
              <w:t>/2</w:t>
            </w:r>
            <w:r>
              <w:rPr>
                <w:rFonts w:ascii="Arial" w:hAnsi="Arial" w:cs="Arial"/>
                <w:b/>
                <w:bCs/>
              </w:rPr>
              <w:t>5</w:t>
            </w:r>
            <w:r w:rsidRPr="000C3B7B">
              <w:rPr>
                <w:rFonts w:ascii="Arial" w:hAnsi="Arial" w:cs="Arial"/>
                <w:b/>
                <w:bCs/>
              </w:rPr>
              <w:t xml:space="preserve">: </w:t>
            </w:r>
          </w:p>
          <w:p w14:paraId="24C997D0" w14:textId="77777777" w:rsidR="006B6E83" w:rsidRPr="000C3B7B" w:rsidRDefault="006B6E83" w:rsidP="002F4D40">
            <w:pPr>
              <w:rPr>
                <w:rFonts w:ascii="Arial" w:hAnsi="Arial" w:cs="Arial"/>
                <w:b/>
                <w:bCs/>
              </w:rPr>
            </w:pPr>
          </w:p>
        </w:tc>
      </w:tr>
      <w:tr w:rsidR="006B6E83" w:rsidRPr="000C3B7B" w14:paraId="2D4E1A2D" w14:textId="77777777" w:rsidTr="00137CCB">
        <w:trPr>
          <w:trHeight w:val="382"/>
        </w:trPr>
        <w:tc>
          <w:tcPr>
            <w:tcW w:w="694"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5C3D7C" w14:textId="77777777" w:rsidR="006B6E83" w:rsidRDefault="006B6E83" w:rsidP="002F4D40">
            <w:pPr>
              <w:rPr>
                <w:rFonts w:ascii="Arial" w:hAnsi="Arial" w:cs="Arial"/>
                <w:b/>
              </w:rPr>
            </w:pPr>
          </w:p>
        </w:tc>
        <w:tc>
          <w:tcPr>
            <w:tcW w:w="995"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AF9DCE" w14:textId="77777777" w:rsidR="006B6E83" w:rsidRPr="00506635" w:rsidRDefault="006B6E83" w:rsidP="002F4D40">
            <w:pPr>
              <w:rPr>
                <w:rFonts w:ascii="Arial" w:hAnsi="Arial" w:cs="Arial"/>
                <w:b/>
                <w:bCs/>
              </w:rPr>
            </w:pPr>
            <w:r w:rsidRPr="00506635">
              <w:rPr>
                <w:rFonts w:ascii="Arial" w:hAnsi="Arial" w:cs="Arial"/>
                <w:b/>
                <w:bCs/>
              </w:rPr>
              <w:t>Quarter 1</w:t>
            </w:r>
          </w:p>
        </w:tc>
        <w:tc>
          <w:tcPr>
            <w:tcW w:w="1124"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45C6EC" w14:textId="77777777" w:rsidR="006B6E83" w:rsidRPr="00506635" w:rsidRDefault="006B6E83" w:rsidP="002F4D40">
            <w:pPr>
              <w:rPr>
                <w:rFonts w:ascii="Arial" w:hAnsi="Arial" w:cs="Arial"/>
                <w:b/>
                <w:bCs/>
              </w:rPr>
            </w:pPr>
            <w:r w:rsidRPr="00506635">
              <w:rPr>
                <w:rFonts w:ascii="Arial" w:hAnsi="Arial" w:cs="Arial"/>
                <w:b/>
                <w:bCs/>
              </w:rPr>
              <w:t>Quarter 2</w:t>
            </w:r>
          </w:p>
        </w:tc>
        <w:tc>
          <w:tcPr>
            <w:tcW w:w="937" w:type="pct"/>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1ED1278" w14:textId="77777777" w:rsidR="006B6E83" w:rsidRPr="00506635" w:rsidRDefault="006B6E83" w:rsidP="002F4D40">
            <w:pPr>
              <w:rPr>
                <w:rFonts w:ascii="Arial" w:hAnsi="Arial" w:cs="Arial"/>
                <w:b/>
                <w:bCs/>
              </w:rPr>
            </w:pPr>
            <w:r w:rsidRPr="00506635">
              <w:rPr>
                <w:rFonts w:ascii="Arial" w:hAnsi="Arial" w:cs="Arial"/>
                <w:b/>
                <w:bCs/>
              </w:rPr>
              <w:t>Quarter 3</w:t>
            </w:r>
          </w:p>
        </w:tc>
        <w:tc>
          <w:tcPr>
            <w:tcW w:w="125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EA4B0D" w14:textId="77777777" w:rsidR="006B6E83" w:rsidRPr="00506635" w:rsidRDefault="006B6E83" w:rsidP="002F4D40">
            <w:pPr>
              <w:rPr>
                <w:rFonts w:ascii="Arial" w:hAnsi="Arial" w:cs="Arial"/>
                <w:b/>
                <w:bCs/>
              </w:rPr>
            </w:pPr>
            <w:r w:rsidRPr="00506635">
              <w:rPr>
                <w:rFonts w:ascii="Arial" w:hAnsi="Arial" w:cs="Arial"/>
                <w:b/>
                <w:bCs/>
              </w:rPr>
              <w:t>Quarter 4</w:t>
            </w:r>
          </w:p>
        </w:tc>
      </w:tr>
      <w:tr w:rsidR="006B6E83" w:rsidRPr="000C3B7B" w14:paraId="254F18BD" w14:textId="77777777" w:rsidTr="00137CCB">
        <w:trPr>
          <w:trHeight w:val="513"/>
        </w:trPr>
        <w:tc>
          <w:tcPr>
            <w:tcW w:w="694"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84EEBEB" w14:textId="77777777" w:rsidR="006B6E83" w:rsidRPr="000C3B7B" w:rsidRDefault="006B6E83" w:rsidP="002F4D40">
            <w:pPr>
              <w:rPr>
                <w:rFonts w:ascii="Arial" w:hAnsi="Arial" w:cs="Arial"/>
                <w:b/>
              </w:rPr>
            </w:pPr>
            <w:r>
              <w:rPr>
                <w:rFonts w:ascii="Arial" w:hAnsi="Arial" w:cs="Arial"/>
                <w:b/>
              </w:rPr>
              <w:t>Ref:</w:t>
            </w:r>
          </w:p>
        </w:tc>
        <w:tc>
          <w:tcPr>
            <w:tcW w:w="995"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6BD595B" w14:textId="45739076" w:rsidR="006B6E83" w:rsidRDefault="00D8205B" w:rsidP="002F4D40">
            <w:pPr>
              <w:rPr>
                <w:rFonts w:ascii="Arial" w:hAnsi="Arial" w:cs="Arial"/>
              </w:rPr>
            </w:pPr>
            <w:r w:rsidRPr="00D8205B">
              <w:rPr>
                <w:rFonts w:ascii="Arial" w:hAnsi="Arial" w:cs="Arial"/>
              </w:rPr>
              <w:t>Produced report on the discovery phase of Every Child Wales refresh</w:t>
            </w:r>
            <w:r w:rsidR="00AD47C5">
              <w:rPr>
                <w:rFonts w:ascii="Arial" w:hAnsi="Arial" w:cs="Arial"/>
              </w:rPr>
              <w:t xml:space="preserve"> </w:t>
            </w:r>
            <w:r w:rsidR="00B633B6">
              <w:rPr>
                <w:rFonts w:ascii="Arial" w:hAnsi="Arial" w:cs="Arial"/>
              </w:rPr>
              <w:t>(</w:t>
            </w:r>
            <w:r w:rsidR="00B633B6" w:rsidRPr="001B69FC">
              <w:rPr>
                <w:rFonts w:ascii="Arial" w:hAnsi="Arial" w:cs="Arial"/>
                <w:b/>
                <w:bCs/>
                <w:color w:val="000000" w:themeColor="text1"/>
              </w:rPr>
              <w:t>complet</w:t>
            </w:r>
            <w:r w:rsidR="00BA3327" w:rsidRPr="001B69FC">
              <w:rPr>
                <w:rFonts w:ascii="Arial" w:hAnsi="Arial" w:cs="Arial"/>
                <w:b/>
                <w:bCs/>
                <w:color w:val="000000" w:themeColor="text1"/>
              </w:rPr>
              <w:t>ed</w:t>
            </w:r>
            <w:r w:rsidR="00B633B6">
              <w:rPr>
                <w:rFonts w:ascii="Arial" w:hAnsi="Arial" w:cs="Arial"/>
              </w:rPr>
              <w:t>)</w:t>
            </w:r>
          </w:p>
          <w:p w14:paraId="5919E0BB" w14:textId="77777777" w:rsidR="006B6E83" w:rsidRDefault="006B6E83" w:rsidP="002F4D40">
            <w:pPr>
              <w:rPr>
                <w:rFonts w:ascii="Arial" w:hAnsi="Arial" w:cs="Arial"/>
              </w:rPr>
            </w:pPr>
          </w:p>
        </w:tc>
        <w:tc>
          <w:tcPr>
            <w:tcW w:w="1124"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CF5CB2" w14:textId="0712D402" w:rsidR="006B6E83" w:rsidRDefault="003976DC" w:rsidP="002F4D40">
            <w:pPr>
              <w:rPr>
                <w:rFonts w:ascii="Arial" w:hAnsi="Arial" w:cs="Arial"/>
              </w:rPr>
            </w:pPr>
            <w:r w:rsidRPr="003976DC">
              <w:rPr>
                <w:rFonts w:ascii="Arial" w:hAnsi="Arial" w:cs="Arial"/>
              </w:rPr>
              <w:t>Published report on barriers and enablers to engagement with mental wellbeing</w:t>
            </w:r>
            <w:r w:rsidR="00B95F75">
              <w:rPr>
                <w:rFonts w:ascii="Arial" w:hAnsi="Arial" w:cs="Arial"/>
              </w:rPr>
              <w:t xml:space="preserve"> </w:t>
            </w:r>
            <w:r w:rsidRPr="003976DC">
              <w:rPr>
                <w:rFonts w:ascii="Arial" w:hAnsi="Arial" w:cs="Arial"/>
              </w:rPr>
              <w:t>promoting activities</w:t>
            </w:r>
            <w:r w:rsidR="0039234A">
              <w:rPr>
                <w:rFonts w:ascii="Arial" w:hAnsi="Arial" w:cs="Arial"/>
              </w:rPr>
              <w:t xml:space="preserve"> (</w:t>
            </w:r>
            <w:r w:rsidR="00BA3327" w:rsidRPr="001B69FC">
              <w:rPr>
                <w:rFonts w:ascii="Arial" w:hAnsi="Arial" w:cs="Arial"/>
                <w:b/>
                <w:bCs/>
                <w:color w:val="000000" w:themeColor="text1"/>
              </w:rPr>
              <w:t>completed</w:t>
            </w:r>
            <w:r w:rsidR="0039234A">
              <w:rPr>
                <w:rFonts w:ascii="Arial" w:hAnsi="Arial" w:cs="Arial"/>
              </w:rPr>
              <w:t>)</w:t>
            </w:r>
          </w:p>
        </w:tc>
        <w:tc>
          <w:tcPr>
            <w:tcW w:w="937" w:type="pct"/>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A017FC" w14:textId="305BC287" w:rsidR="0073596C" w:rsidRDefault="0073596C" w:rsidP="002F4D40">
            <w:pPr>
              <w:rPr>
                <w:rFonts w:ascii="Arial" w:hAnsi="Arial" w:cs="Arial"/>
              </w:rPr>
            </w:pPr>
            <w:r w:rsidRPr="0073596C">
              <w:rPr>
                <w:rFonts w:ascii="Arial" w:hAnsi="Arial" w:cs="Arial"/>
              </w:rPr>
              <w:t xml:space="preserve">Undertaken review of evidence on improving psychological and emotional domains of mental wellbeing. </w:t>
            </w:r>
            <w:r w:rsidR="0010284A">
              <w:rPr>
                <w:rFonts w:ascii="Arial" w:hAnsi="Arial" w:cs="Arial"/>
              </w:rPr>
              <w:t>(</w:t>
            </w:r>
            <w:r w:rsidR="00BA3327" w:rsidRPr="001B69FC">
              <w:rPr>
                <w:rFonts w:ascii="Arial" w:hAnsi="Arial" w:cs="Arial"/>
                <w:b/>
                <w:bCs/>
                <w:color w:val="000000" w:themeColor="text1"/>
              </w:rPr>
              <w:t>completed</w:t>
            </w:r>
            <w:r w:rsidR="0010284A">
              <w:rPr>
                <w:rFonts w:ascii="Arial" w:hAnsi="Arial" w:cs="Arial"/>
              </w:rPr>
              <w:t>)</w:t>
            </w:r>
          </w:p>
          <w:p w14:paraId="4D3D8DDD" w14:textId="77777777" w:rsidR="0073596C" w:rsidRDefault="0073596C" w:rsidP="002F4D40">
            <w:pPr>
              <w:rPr>
                <w:rFonts w:ascii="Arial" w:hAnsi="Arial" w:cs="Arial"/>
              </w:rPr>
            </w:pPr>
          </w:p>
          <w:p w14:paraId="15E1F73B" w14:textId="05F87505" w:rsidR="0073596C" w:rsidRDefault="0073596C" w:rsidP="002F4D40">
            <w:pPr>
              <w:rPr>
                <w:rFonts w:ascii="Arial" w:hAnsi="Arial" w:cs="Arial"/>
              </w:rPr>
            </w:pPr>
            <w:r w:rsidRPr="0073596C">
              <w:rPr>
                <w:rFonts w:ascii="Arial" w:hAnsi="Arial" w:cs="Arial"/>
              </w:rPr>
              <w:t xml:space="preserve">Recommendations made for the next phase of implementation of the Whole School Approach to Mental and Emotional Wellbeing. </w:t>
            </w:r>
            <w:r w:rsidR="009D7018">
              <w:rPr>
                <w:rFonts w:ascii="Arial" w:hAnsi="Arial" w:cs="Arial"/>
              </w:rPr>
              <w:t>(</w:t>
            </w:r>
            <w:r w:rsidR="00791F06" w:rsidRPr="001B69FC">
              <w:rPr>
                <w:rFonts w:ascii="Arial" w:hAnsi="Arial" w:cs="Arial"/>
                <w:b/>
                <w:bCs/>
                <w:color w:val="000000" w:themeColor="text1"/>
              </w:rPr>
              <w:t>completed</w:t>
            </w:r>
            <w:r w:rsidR="009D7018">
              <w:rPr>
                <w:rFonts w:ascii="Arial" w:hAnsi="Arial" w:cs="Arial"/>
              </w:rPr>
              <w:t>)</w:t>
            </w:r>
          </w:p>
          <w:p w14:paraId="7377DCF2" w14:textId="77777777" w:rsidR="0073596C" w:rsidRDefault="0073596C" w:rsidP="002F4D40">
            <w:pPr>
              <w:rPr>
                <w:rFonts w:ascii="Arial" w:hAnsi="Arial" w:cs="Arial"/>
              </w:rPr>
            </w:pPr>
          </w:p>
          <w:p w14:paraId="3E23EEAF" w14:textId="3A87040A" w:rsidR="006B6E83" w:rsidRDefault="0073596C" w:rsidP="002F4D40">
            <w:pPr>
              <w:rPr>
                <w:rFonts w:ascii="Arial" w:hAnsi="Arial" w:cs="Arial"/>
              </w:rPr>
            </w:pPr>
            <w:r w:rsidRPr="0073596C">
              <w:rPr>
                <w:rFonts w:ascii="Arial" w:hAnsi="Arial" w:cs="Arial"/>
              </w:rPr>
              <w:t>Whole system understanding and response to children and young people mental health and wellbeing informed by linked data research programme.</w:t>
            </w:r>
            <w:r w:rsidR="00F541C6">
              <w:rPr>
                <w:rFonts w:ascii="Arial" w:hAnsi="Arial" w:cs="Arial"/>
              </w:rPr>
              <w:t xml:space="preserve"> </w:t>
            </w:r>
            <w:r w:rsidR="00F541C6" w:rsidRPr="00057F03">
              <w:rPr>
                <w:rFonts w:ascii="Arial" w:hAnsi="Arial" w:cs="Arial"/>
                <w:b/>
                <w:bCs/>
              </w:rPr>
              <w:t>(</w:t>
            </w:r>
            <w:r w:rsidR="00057F03" w:rsidRPr="00057F03">
              <w:rPr>
                <w:rFonts w:ascii="Arial" w:hAnsi="Arial" w:cs="Arial"/>
                <w:b/>
                <w:bCs/>
              </w:rPr>
              <w:t xml:space="preserve">to </w:t>
            </w:r>
            <w:r w:rsidR="00F541C6" w:rsidRPr="00057F03">
              <w:rPr>
                <w:rFonts w:ascii="Arial" w:hAnsi="Arial" w:cs="Arial"/>
                <w:b/>
                <w:bCs/>
              </w:rPr>
              <w:t>be delivered 31</w:t>
            </w:r>
            <w:r w:rsidR="00B21399" w:rsidRPr="00057F03">
              <w:rPr>
                <w:rFonts w:ascii="Arial" w:hAnsi="Arial" w:cs="Arial"/>
                <w:b/>
                <w:bCs/>
              </w:rPr>
              <w:t>/03/</w:t>
            </w:r>
            <w:r w:rsidR="00BA3327" w:rsidRPr="00057F03">
              <w:rPr>
                <w:rFonts w:ascii="Arial" w:hAnsi="Arial" w:cs="Arial"/>
                <w:b/>
                <w:bCs/>
              </w:rPr>
              <w:t>2025</w:t>
            </w:r>
            <w:r w:rsidR="00BA3327">
              <w:rPr>
                <w:rFonts w:ascii="Arial" w:hAnsi="Arial" w:cs="Arial"/>
              </w:rPr>
              <w:t>)</w:t>
            </w:r>
          </w:p>
        </w:tc>
        <w:tc>
          <w:tcPr>
            <w:tcW w:w="125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9ADDC4" w14:textId="111ED5AF" w:rsidR="00CB2476" w:rsidRDefault="00B03D87" w:rsidP="002F4D40">
            <w:pPr>
              <w:rPr>
                <w:rFonts w:ascii="Arial" w:hAnsi="Arial" w:cs="Arial"/>
              </w:rPr>
            </w:pPr>
            <w:r w:rsidRPr="00B03D87">
              <w:rPr>
                <w:rFonts w:ascii="Arial" w:hAnsi="Arial" w:cs="Arial"/>
              </w:rPr>
              <w:t xml:space="preserve">Hapus Delivery Network established. </w:t>
            </w:r>
            <w:r w:rsidR="00CB2476" w:rsidRPr="004A6561">
              <w:rPr>
                <w:rFonts w:ascii="Arial" w:hAnsi="Arial" w:cs="Arial"/>
                <w:b/>
                <w:bCs/>
                <w:color w:val="000000" w:themeColor="text1"/>
              </w:rPr>
              <w:t>(completed)</w:t>
            </w:r>
          </w:p>
          <w:p w14:paraId="7745A10E" w14:textId="77777777" w:rsidR="00CB2476" w:rsidRDefault="00CB2476" w:rsidP="002F4D40">
            <w:pPr>
              <w:rPr>
                <w:rFonts w:ascii="Arial" w:hAnsi="Arial" w:cs="Arial"/>
              </w:rPr>
            </w:pPr>
          </w:p>
          <w:p w14:paraId="459FDA04" w14:textId="11C140C5" w:rsidR="00B03D87" w:rsidRDefault="00B03D87" w:rsidP="002F4D40">
            <w:pPr>
              <w:rPr>
                <w:rFonts w:ascii="Arial" w:hAnsi="Arial" w:cs="Arial"/>
              </w:rPr>
            </w:pPr>
            <w:r w:rsidRPr="00B03D87">
              <w:rPr>
                <w:rFonts w:ascii="Arial" w:hAnsi="Arial" w:cs="Arial"/>
              </w:rPr>
              <w:t xml:space="preserve">All Wales operating Model for Violence developed building on the South Wales Violence Prevention Unit model. </w:t>
            </w:r>
            <w:r w:rsidR="00C35809" w:rsidRPr="00BA3327">
              <w:rPr>
                <w:rFonts w:ascii="Arial" w:hAnsi="Arial" w:cs="Arial"/>
                <w:b/>
                <w:bCs/>
                <w:color w:val="70AD47" w:themeColor="accent6"/>
              </w:rPr>
              <w:t xml:space="preserve"> </w:t>
            </w:r>
            <w:r w:rsidR="00C35809" w:rsidRPr="004A6561">
              <w:rPr>
                <w:rFonts w:ascii="Arial" w:hAnsi="Arial" w:cs="Arial"/>
              </w:rPr>
              <w:t>(on track)</w:t>
            </w:r>
          </w:p>
          <w:p w14:paraId="4030DA8F" w14:textId="77777777" w:rsidR="00B03D87" w:rsidRDefault="00B03D87" w:rsidP="002F4D40">
            <w:pPr>
              <w:rPr>
                <w:rFonts w:ascii="Arial" w:hAnsi="Arial" w:cs="Arial"/>
              </w:rPr>
            </w:pPr>
          </w:p>
          <w:p w14:paraId="27D2415A" w14:textId="333FE9E8" w:rsidR="001706F9" w:rsidRDefault="00B03D87" w:rsidP="001706F9">
            <w:pPr>
              <w:rPr>
                <w:rFonts w:ascii="Arial" w:hAnsi="Arial" w:cs="Arial"/>
              </w:rPr>
            </w:pPr>
            <w:r w:rsidRPr="00B03D87">
              <w:rPr>
                <w:rFonts w:ascii="Arial" w:hAnsi="Arial" w:cs="Arial"/>
              </w:rPr>
              <w:t>Implementation Plan for the delivery of the Wales Trauma</w:t>
            </w:r>
            <w:r>
              <w:rPr>
                <w:rFonts w:ascii="Arial" w:hAnsi="Arial" w:cs="Arial"/>
              </w:rPr>
              <w:t xml:space="preserve"> </w:t>
            </w:r>
            <w:r w:rsidRPr="00B03D87">
              <w:rPr>
                <w:rFonts w:ascii="Arial" w:hAnsi="Arial" w:cs="Arial"/>
              </w:rPr>
              <w:t>informed Framework beyond 2025 developed</w:t>
            </w:r>
            <w:r w:rsidRPr="004A6561">
              <w:rPr>
                <w:rFonts w:ascii="Arial" w:hAnsi="Arial" w:cs="Arial"/>
                <w:b/>
                <w:bCs/>
              </w:rPr>
              <w:t xml:space="preserve">. </w:t>
            </w:r>
            <w:r w:rsidR="001706F9" w:rsidRPr="004A6561">
              <w:rPr>
                <w:rFonts w:ascii="Arial" w:hAnsi="Arial" w:cs="Arial"/>
                <w:b/>
                <w:bCs/>
              </w:rPr>
              <w:t>(on track)</w:t>
            </w:r>
          </w:p>
          <w:p w14:paraId="6DF9BB65" w14:textId="4821EC91" w:rsidR="00B03D87" w:rsidRDefault="00B03D87" w:rsidP="002F4D40">
            <w:pPr>
              <w:rPr>
                <w:rFonts w:ascii="Arial" w:hAnsi="Arial" w:cs="Arial"/>
              </w:rPr>
            </w:pPr>
          </w:p>
          <w:p w14:paraId="43798834" w14:textId="5193EEE0" w:rsidR="00B03D87" w:rsidRDefault="00B03D87" w:rsidP="001706F9">
            <w:pPr>
              <w:rPr>
                <w:rFonts w:ascii="Arial" w:hAnsi="Arial" w:cs="Arial"/>
              </w:rPr>
            </w:pPr>
            <w:r w:rsidRPr="00B03D87">
              <w:rPr>
                <w:rFonts w:ascii="Arial" w:hAnsi="Arial" w:cs="Arial"/>
              </w:rPr>
              <w:t xml:space="preserve">Learning report published on the rollout of the CAMHS-in Reach to </w:t>
            </w:r>
            <w:proofErr w:type="gramStart"/>
            <w:r w:rsidRPr="00B03D87">
              <w:rPr>
                <w:rFonts w:ascii="Arial" w:hAnsi="Arial" w:cs="Arial"/>
              </w:rPr>
              <w:t>schools</w:t>
            </w:r>
            <w:proofErr w:type="gramEnd"/>
            <w:r w:rsidRPr="00B03D87">
              <w:rPr>
                <w:rFonts w:ascii="Arial" w:hAnsi="Arial" w:cs="Arial"/>
              </w:rPr>
              <w:t xml:space="preserve"> programme. </w:t>
            </w:r>
            <w:r w:rsidR="001706F9" w:rsidRPr="004A6561">
              <w:rPr>
                <w:rFonts w:ascii="Arial" w:hAnsi="Arial" w:cs="Arial"/>
                <w:b/>
                <w:bCs/>
              </w:rPr>
              <w:t>(on track)</w:t>
            </w:r>
          </w:p>
          <w:p w14:paraId="2EBA2943" w14:textId="77777777" w:rsidR="00B03D87" w:rsidRDefault="00B03D87" w:rsidP="002F4D40">
            <w:pPr>
              <w:rPr>
                <w:rFonts w:ascii="Arial" w:hAnsi="Arial" w:cs="Arial"/>
              </w:rPr>
            </w:pPr>
          </w:p>
          <w:p w14:paraId="03887722" w14:textId="43121DFD" w:rsidR="006B6E83" w:rsidRPr="000C3B7B" w:rsidRDefault="00B03D87" w:rsidP="002F4D40">
            <w:pPr>
              <w:rPr>
                <w:rFonts w:ascii="Arial" w:hAnsi="Arial" w:cs="Arial"/>
              </w:rPr>
            </w:pPr>
            <w:r w:rsidRPr="00B03D87">
              <w:rPr>
                <w:rFonts w:ascii="Arial" w:hAnsi="Arial" w:cs="Arial"/>
              </w:rPr>
              <w:t>Launched the national conversation on mental wellbeing – Hapus</w:t>
            </w:r>
            <w:r w:rsidR="00C35809">
              <w:rPr>
                <w:rFonts w:ascii="Arial" w:hAnsi="Arial" w:cs="Arial"/>
              </w:rPr>
              <w:t xml:space="preserve"> (</w:t>
            </w:r>
            <w:r w:rsidR="00C35809" w:rsidRPr="004A6561">
              <w:rPr>
                <w:rFonts w:ascii="Arial" w:hAnsi="Arial" w:cs="Arial"/>
                <w:b/>
                <w:bCs/>
                <w:color w:val="000000" w:themeColor="text1"/>
              </w:rPr>
              <w:t>completed</w:t>
            </w:r>
            <w:r w:rsidR="00C35809">
              <w:rPr>
                <w:rFonts w:ascii="Arial" w:hAnsi="Arial" w:cs="Arial"/>
              </w:rPr>
              <w:t>)</w:t>
            </w:r>
          </w:p>
        </w:tc>
      </w:tr>
      <w:tr w:rsidR="006B6E83" w:rsidRPr="000C3B7B" w14:paraId="6AA0179A" w14:textId="77777777" w:rsidTr="00137CCB">
        <w:tc>
          <w:tcPr>
            <w:tcW w:w="694"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674C5C7" w14:textId="77777777" w:rsidR="006B6E83" w:rsidRPr="000C3B7B" w:rsidRDefault="006B6E83" w:rsidP="002F4D40">
            <w:pPr>
              <w:rPr>
                <w:rFonts w:ascii="Arial" w:hAnsi="Arial" w:cs="Arial"/>
                <w:b/>
              </w:rPr>
            </w:pPr>
            <w:r>
              <w:rPr>
                <w:rFonts w:ascii="Arial" w:hAnsi="Arial" w:cs="Arial"/>
                <w:b/>
              </w:rPr>
              <w:t>Progress synopsis</w:t>
            </w:r>
          </w:p>
        </w:tc>
        <w:tc>
          <w:tcPr>
            <w:tcW w:w="995"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D44932" w14:textId="2B009E7D" w:rsidR="006B6E83" w:rsidRPr="000C3B7B" w:rsidRDefault="00AD47C5" w:rsidP="002F4D40">
            <w:pPr>
              <w:rPr>
                <w:rFonts w:ascii="Arial" w:hAnsi="Arial" w:cs="Arial"/>
              </w:rPr>
            </w:pPr>
            <w:r>
              <w:rPr>
                <w:rFonts w:ascii="Arial" w:hAnsi="Arial" w:cs="Arial"/>
              </w:rPr>
              <w:t>Completed</w:t>
            </w:r>
          </w:p>
        </w:tc>
        <w:tc>
          <w:tcPr>
            <w:tcW w:w="1124"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08DE33" w14:textId="1368095B" w:rsidR="006B6E83" w:rsidRPr="000C3B7B" w:rsidRDefault="00AD4E19" w:rsidP="002F4D40">
            <w:pPr>
              <w:rPr>
                <w:rFonts w:ascii="Arial" w:hAnsi="Arial" w:cs="Arial"/>
              </w:rPr>
            </w:pPr>
            <w:r>
              <w:rPr>
                <w:rFonts w:ascii="Arial" w:hAnsi="Arial" w:cs="Arial"/>
              </w:rPr>
              <w:t>Completed</w:t>
            </w:r>
          </w:p>
        </w:tc>
        <w:tc>
          <w:tcPr>
            <w:tcW w:w="937" w:type="pct"/>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413EF8" w14:textId="68B2D051" w:rsidR="006B6E83" w:rsidRPr="00057F03" w:rsidRDefault="00C35809" w:rsidP="002F4D40">
            <w:pPr>
              <w:rPr>
                <w:rFonts w:ascii="Arial" w:hAnsi="Arial" w:cs="Arial"/>
              </w:rPr>
            </w:pPr>
            <w:r w:rsidRPr="00057F03">
              <w:rPr>
                <w:rFonts w:ascii="Arial" w:hAnsi="Arial" w:cs="Arial"/>
              </w:rPr>
              <w:t>31/03/2025</w:t>
            </w:r>
          </w:p>
        </w:tc>
        <w:tc>
          <w:tcPr>
            <w:tcW w:w="125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0196E10" w14:textId="432AADD6" w:rsidR="006B6E83" w:rsidRPr="00057F03" w:rsidRDefault="00262893" w:rsidP="002F4D40">
            <w:pPr>
              <w:rPr>
                <w:rFonts w:ascii="Arial" w:hAnsi="Arial" w:cs="Arial"/>
              </w:rPr>
            </w:pPr>
            <w:r>
              <w:rPr>
                <w:rFonts w:ascii="Arial" w:hAnsi="Arial" w:cs="Arial"/>
              </w:rPr>
              <w:t>O</w:t>
            </w:r>
            <w:r w:rsidR="00C35809" w:rsidRPr="00057F03">
              <w:rPr>
                <w:rFonts w:ascii="Arial" w:hAnsi="Arial" w:cs="Arial"/>
              </w:rPr>
              <w:t>n track to be delivered 31/03/2025</w:t>
            </w:r>
          </w:p>
        </w:tc>
      </w:tr>
      <w:tr w:rsidR="006B6E83" w:rsidRPr="000C3B7B" w14:paraId="63882779" w14:textId="77777777" w:rsidTr="000F3610">
        <w:tc>
          <w:tcPr>
            <w:tcW w:w="5000" w:type="pct"/>
            <w:gridSpan w:val="1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AB66D34" w14:textId="77777777" w:rsidR="006B6E83" w:rsidRPr="00603272" w:rsidRDefault="006B6E83" w:rsidP="002F4D40">
            <w:pPr>
              <w:rPr>
                <w:rFonts w:ascii="Arial" w:hAnsi="Arial" w:cs="Arial"/>
              </w:rPr>
            </w:pPr>
            <w:r w:rsidRPr="00603272">
              <w:rPr>
                <w:rFonts w:ascii="Arial" w:hAnsi="Arial" w:cs="Arial"/>
                <w:b/>
                <w:bCs/>
              </w:rPr>
              <w:t>Outcomes of delivering Ministerial Priorities:</w:t>
            </w:r>
          </w:p>
        </w:tc>
      </w:tr>
      <w:tr w:rsidR="006B6E83" w:rsidRPr="000C3B7B" w14:paraId="1FAB14C7" w14:textId="77777777" w:rsidTr="000F3610">
        <w:tc>
          <w:tcPr>
            <w:tcW w:w="359"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95F4703" w14:textId="77777777" w:rsidR="006B6E83" w:rsidRDefault="006B6E83" w:rsidP="002F4D40">
            <w:pPr>
              <w:rPr>
                <w:rFonts w:ascii="Arial" w:hAnsi="Arial" w:cs="Arial"/>
                <w:b/>
              </w:rPr>
            </w:pPr>
            <w:r w:rsidRPr="00603272">
              <w:rPr>
                <w:rFonts w:ascii="Arial" w:hAnsi="Arial" w:cs="Arial"/>
                <w:b/>
              </w:rPr>
              <w:t>Ref:</w:t>
            </w:r>
          </w:p>
        </w:tc>
        <w:tc>
          <w:tcPr>
            <w:tcW w:w="4641" w:type="pct"/>
            <w:gridSpan w:val="1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591717" w14:textId="77777777" w:rsidR="00EF11DF" w:rsidRPr="00F737E1" w:rsidRDefault="00EF11DF" w:rsidP="00EF11DF">
            <w:pPr>
              <w:rPr>
                <w:rFonts w:ascii="Arial" w:hAnsi="Arial" w:cs="Arial"/>
                <w:b/>
                <w:bCs/>
              </w:rPr>
            </w:pPr>
            <w:r w:rsidRPr="00F737E1">
              <w:rPr>
                <w:rFonts w:ascii="Arial" w:hAnsi="Arial" w:cs="Arial"/>
                <w:b/>
                <w:bCs/>
              </w:rPr>
              <w:t xml:space="preserve">Overarching outcome measures/ metrics: </w:t>
            </w:r>
          </w:p>
          <w:p w14:paraId="41D79151" w14:textId="77777777" w:rsidR="00EF11DF" w:rsidRPr="00F737E1" w:rsidRDefault="00EF11DF" w:rsidP="00EF11DF">
            <w:pPr>
              <w:rPr>
                <w:rFonts w:ascii="Arial" w:hAnsi="Arial" w:cs="Arial"/>
              </w:rPr>
            </w:pPr>
          </w:p>
          <w:p w14:paraId="05EEA09A" w14:textId="77777777" w:rsidR="00EF11DF" w:rsidRPr="00F737E1" w:rsidRDefault="00EF11DF" w:rsidP="00EF11DF">
            <w:pPr>
              <w:rPr>
                <w:rFonts w:ascii="Arial" w:hAnsi="Arial" w:cs="Arial"/>
              </w:rPr>
            </w:pPr>
            <w:r w:rsidRPr="00F737E1">
              <w:rPr>
                <w:rFonts w:ascii="Arial" w:hAnsi="Arial" w:cs="Arial"/>
              </w:rPr>
              <w:t xml:space="preserve">Our work </w:t>
            </w:r>
            <w:r>
              <w:rPr>
                <w:rFonts w:ascii="Arial" w:hAnsi="Arial" w:cs="Arial"/>
              </w:rPr>
              <w:t>during 24/25 aimed to</w:t>
            </w:r>
            <w:r w:rsidRPr="00F737E1">
              <w:rPr>
                <w:rFonts w:ascii="Arial" w:hAnsi="Arial" w:cs="Arial"/>
              </w:rPr>
              <w:t xml:space="preserve"> support</w:t>
            </w:r>
            <w:r>
              <w:rPr>
                <w:rFonts w:ascii="Arial" w:hAnsi="Arial" w:cs="Arial"/>
              </w:rPr>
              <w:t xml:space="preserve"> </w:t>
            </w:r>
            <w:r w:rsidRPr="00F737E1">
              <w:rPr>
                <w:rFonts w:ascii="Arial" w:hAnsi="Arial" w:cs="Arial"/>
              </w:rPr>
              <w:t xml:space="preserve">the achievement of the following systems wide outcomes: </w:t>
            </w:r>
          </w:p>
          <w:p w14:paraId="13C9B84A" w14:textId="2E3F35F2" w:rsidR="000A7A1D" w:rsidRPr="000A7A1D" w:rsidRDefault="000A7A1D" w:rsidP="000A7A1D">
            <w:pPr>
              <w:pStyle w:val="ListParagraph"/>
              <w:numPr>
                <w:ilvl w:val="0"/>
                <w:numId w:val="19"/>
              </w:numPr>
              <w:rPr>
                <w:rFonts w:ascii="Arial" w:hAnsi="Arial" w:cs="Arial"/>
              </w:rPr>
            </w:pPr>
            <w:r w:rsidRPr="000A7A1D">
              <w:rPr>
                <w:rFonts w:ascii="Arial" w:hAnsi="Arial" w:cs="Arial"/>
              </w:rPr>
              <w:t>Improve population mental well-being and reduce the gap in mental well-being</w:t>
            </w:r>
            <w:r w:rsidR="00176D4E">
              <w:rPr>
                <w:rFonts w:ascii="Arial" w:hAnsi="Arial" w:cs="Arial"/>
              </w:rPr>
              <w:t xml:space="preserve">   </w:t>
            </w:r>
            <w:r w:rsidRPr="000A7A1D">
              <w:rPr>
                <w:rFonts w:ascii="Arial" w:hAnsi="Arial" w:cs="Arial"/>
              </w:rPr>
              <w:t xml:space="preserve">between the most affluent and most disadvantaged groups </w:t>
            </w:r>
          </w:p>
          <w:p w14:paraId="57343A2C" w14:textId="2FB6D302" w:rsidR="006B6E83" w:rsidRDefault="000A7A1D" w:rsidP="000A7A1D">
            <w:pPr>
              <w:pStyle w:val="ListParagraph"/>
              <w:numPr>
                <w:ilvl w:val="0"/>
                <w:numId w:val="19"/>
              </w:numPr>
              <w:rPr>
                <w:rFonts w:ascii="Arial" w:hAnsi="Arial" w:cs="Arial"/>
              </w:rPr>
            </w:pPr>
            <w:r w:rsidRPr="000A7A1D">
              <w:rPr>
                <w:rFonts w:ascii="Arial" w:hAnsi="Arial" w:cs="Arial"/>
              </w:rPr>
              <w:t>Increase the proportion of the population who say they have a sense of community</w:t>
            </w:r>
          </w:p>
          <w:p w14:paraId="755043B9" w14:textId="77777777" w:rsidR="004621BC" w:rsidRDefault="004621BC" w:rsidP="004621BC">
            <w:pPr>
              <w:rPr>
                <w:rFonts w:ascii="Arial" w:hAnsi="Arial" w:cs="Arial"/>
              </w:rPr>
            </w:pPr>
          </w:p>
          <w:tbl>
            <w:tblPr>
              <w:tblW w:w="10158" w:type="dxa"/>
              <w:tblCellMar>
                <w:left w:w="0" w:type="dxa"/>
                <w:right w:w="0" w:type="dxa"/>
              </w:tblCellMar>
              <w:tblLook w:val="04A0" w:firstRow="1" w:lastRow="0" w:firstColumn="1" w:lastColumn="0" w:noHBand="0" w:noVBand="1"/>
            </w:tblPr>
            <w:tblGrid>
              <w:gridCol w:w="4041"/>
              <w:gridCol w:w="1089"/>
              <w:gridCol w:w="1357"/>
              <w:gridCol w:w="1224"/>
              <w:gridCol w:w="1248"/>
              <w:gridCol w:w="1199"/>
            </w:tblGrid>
            <w:tr w:rsidR="00030A3F" w:rsidRPr="00C00E6D" w14:paraId="64C108C7" w14:textId="77777777" w:rsidTr="00030A3F">
              <w:trPr>
                <w:trHeight w:val="368"/>
              </w:trPr>
              <w:tc>
                <w:tcPr>
                  <w:tcW w:w="4078" w:type="dxa"/>
                  <w:tcBorders>
                    <w:top w:val="single" w:sz="8" w:space="0" w:color="FFFFFF"/>
                    <w:left w:val="single" w:sz="8" w:space="0" w:color="FFFFFF"/>
                    <w:bottom w:val="single" w:sz="24" w:space="0" w:color="8EAADB"/>
                    <w:right w:val="single" w:sz="8" w:space="0" w:color="FFFFFF"/>
                  </w:tcBorders>
                  <w:shd w:val="clear" w:color="auto" w:fill="324F82"/>
                  <w:tcMar>
                    <w:top w:w="72" w:type="dxa"/>
                    <w:left w:w="144" w:type="dxa"/>
                    <w:bottom w:w="72" w:type="dxa"/>
                    <w:right w:w="144" w:type="dxa"/>
                  </w:tcMar>
                  <w:hideMark/>
                </w:tcPr>
                <w:p w14:paraId="204BF33B" w14:textId="77777777" w:rsidR="00030A3F" w:rsidRPr="00C00E6D" w:rsidRDefault="00030A3F" w:rsidP="000C2AB9">
                  <w:pPr>
                    <w:framePr w:hSpace="180" w:wrap="around" w:vAnchor="text" w:hAnchor="text" w:x="-147" w:y="1"/>
                    <w:spacing w:after="0" w:line="240" w:lineRule="auto"/>
                    <w:suppressOverlap/>
                    <w:rPr>
                      <w:rFonts w:ascii="Ubuntu Light" w:eastAsia="Calibri" w:hAnsi="Ubuntu Light" w:cs="Arial"/>
                      <w:lang w:eastAsia="en-GB"/>
                    </w:rPr>
                  </w:pPr>
                  <w:r w:rsidRPr="00C00E6D">
                    <w:rPr>
                      <w:rFonts w:ascii="Ubuntu Light" w:eastAsia="Times New Roman" w:hAnsi="Ubuntu Light" w:cs="Arial"/>
                      <w:color w:val="000000"/>
                    </w:rPr>
                    <w:lastRenderedPageBreak/>
                    <w:br w:type="page"/>
                  </w:r>
                  <w:r w:rsidRPr="00C00E6D">
                    <w:rPr>
                      <w:rFonts w:ascii="Ubuntu Light" w:eastAsia="Times New Roman" w:hAnsi="Ubuntu Light" w:cs="Arial"/>
                      <w:color w:val="000000"/>
                    </w:rPr>
                    <w:br w:type="page"/>
                  </w:r>
                  <w:r w:rsidRPr="00C00E6D">
                    <w:rPr>
                      <w:rFonts w:ascii="Ubuntu Light" w:eastAsia="Calibri" w:hAnsi="Ubuntu Light" w:cs="Arial"/>
                      <w:b/>
                      <w:bCs/>
                      <w:color w:val="FFFFFF"/>
                      <w:lang w:eastAsia="en-GB"/>
                    </w:rPr>
                    <w:t>Indicator</w:t>
                  </w:r>
                </w:p>
              </w:tc>
              <w:tc>
                <w:tcPr>
                  <w:tcW w:w="1090" w:type="dxa"/>
                  <w:tcBorders>
                    <w:top w:val="single" w:sz="8" w:space="0" w:color="FFFFFF"/>
                    <w:left w:val="nil"/>
                    <w:bottom w:val="single" w:sz="24" w:space="0" w:color="8EAADB"/>
                    <w:right w:val="single" w:sz="8" w:space="0" w:color="FFFFFF"/>
                  </w:tcBorders>
                  <w:shd w:val="clear" w:color="auto" w:fill="324F82"/>
                  <w:tcMar>
                    <w:top w:w="72" w:type="dxa"/>
                    <w:left w:w="144" w:type="dxa"/>
                    <w:bottom w:w="72" w:type="dxa"/>
                    <w:right w:w="144" w:type="dxa"/>
                  </w:tcMar>
                  <w:hideMark/>
                </w:tcPr>
                <w:p w14:paraId="1CBECF84" w14:textId="77777777" w:rsidR="00030A3F" w:rsidRPr="00C00E6D" w:rsidRDefault="00030A3F"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b/>
                      <w:bCs/>
                      <w:color w:val="FFFFFF"/>
                      <w:lang w:eastAsia="en-GB"/>
                    </w:rPr>
                    <w:t>Earliest date</w:t>
                  </w:r>
                </w:p>
              </w:tc>
              <w:tc>
                <w:tcPr>
                  <w:tcW w:w="1362" w:type="dxa"/>
                  <w:tcBorders>
                    <w:top w:val="single" w:sz="8" w:space="0" w:color="FFFFFF"/>
                    <w:left w:val="nil"/>
                    <w:bottom w:val="single" w:sz="24" w:space="0" w:color="8EAADB"/>
                    <w:right w:val="single" w:sz="8" w:space="0" w:color="FFFFFF"/>
                  </w:tcBorders>
                  <w:shd w:val="clear" w:color="auto" w:fill="324F82"/>
                  <w:tcMar>
                    <w:top w:w="72" w:type="dxa"/>
                    <w:left w:w="144" w:type="dxa"/>
                    <w:bottom w:w="72" w:type="dxa"/>
                    <w:right w:w="144" w:type="dxa"/>
                  </w:tcMar>
                  <w:hideMark/>
                </w:tcPr>
                <w:p w14:paraId="5F2BAD74" w14:textId="77777777" w:rsidR="00030A3F" w:rsidRPr="00C00E6D" w:rsidRDefault="00030A3F"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b/>
                      <w:bCs/>
                      <w:color w:val="FFFFFF"/>
                      <w:lang w:eastAsia="en-GB"/>
                    </w:rPr>
                    <w:t>Earliest</w:t>
                  </w:r>
                </w:p>
              </w:tc>
              <w:tc>
                <w:tcPr>
                  <w:tcW w:w="1226" w:type="dxa"/>
                  <w:tcBorders>
                    <w:top w:val="single" w:sz="8" w:space="0" w:color="FFFFFF"/>
                    <w:left w:val="nil"/>
                    <w:bottom w:val="single" w:sz="24" w:space="0" w:color="8EAADB"/>
                    <w:right w:val="single" w:sz="8" w:space="0" w:color="FFFFFF"/>
                  </w:tcBorders>
                  <w:shd w:val="clear" w:color="auto" w:fill="324F82"/>
                  <w:tcMar>
                    <w:top w:w="72" w:type="dxa"/>
                    <w:left w:w="144" w:type="dxa"/>
                    <w:bottom w:w="72" w:type="dxa"/>
                    <w:right w:w="144" w:type="dxa"/>
                  </w:tcMar>
                  <w:hideMark/>
                </w:tcPr>
                <w:p w14:paraId="29AA2551" w14:textId="77777777" w:rsidR="00030A3F" w:rsidRPr="00C00E6D" w:rsidRDefault="00030A3F"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b/>
                      <w:bCs/>
                      <w:color w:val="FFFFFF"/>
                      <w:lang w:eastAsia="en-GB"/>
                    </w:rPr>
                    <w:t>Baseline date</w:t>
                  </w:r>
                </w:p>
              </w:tc>
              <w:tc>
                <w:tcPr>
                  <w:tcW w:w="1250" w:type="dxa"/>
                  <w:tcBorders>
                    <w:top w:val="single" w:sz="8" w:space="0" w:color="FFFFFF"/>
                    <w:left w:val="nil"/>
                    <w:bottom w:val="single" w:sz="24" w:space="0" w:color="8EAADB"/>
                    <w:right w:val="single" w:sz="8" w:space="0" w:color="FFFFFF"/>
                  </w:tcBorders>
                  <w:shd w:val="clear" w:color="auto" w:fill="324F82"/>
                  <w:tcMar>
                    <w:top w:w="72" w:type="dxa"/>
                    <w:left w:w="144" w:type="dxa"/>
                    <w:bottom w:w="72" w:type="dxa"/>
                    <w:right w:w="144" w:type="dxa"/>
                  </w:tcMar>
                  <w:hideMark/>
                </w:tcPr>
                <w:p w14:paraId="7F6656A9" w14:textId="77777777" w:rsidR="00030A3F" w:rsidRPr="00C00E6D" w:rsidRDefault="00030A3F"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b/>
                      <w:bCs/>
                      <w:color w:val="FFFFFF"/>
                      <w:lang w:eastAsia="en-GB"/>
                    </w:rPr>
                    <w:t>Baseline</w:t>
                  </w:r>
                </w:p>
              </w:tc>
              <w:tc>
                <w:tcPr>
                  <w:tcW w:w="0" w:type="auto"/>
                  <w:tcBorders>
                    <w:top w:val="single" w:sz="8" w:space="0" w:color="FFFFFF"/>
                    <w:left w:val="nil"/>
                    <w:bottom w:val="single" w:sz="24" w:space="0" w:color="8EAADB"/>
                    <w:right w:val="single" w:sz="8" w:space="0" w:color="FFFFFF"/>
                  </w:tcBorders>
                  <w:shd w:val="clear" w:color="auto" w:fill="324F82"/>
                  <w:tcMar>
                    <w:top w:w="72" w:type="dxa"/>
                    <w:left w:w="144" w:type="dxa"/>
                    <w:bottom w:w="72" w:type="dxa"/>
                    <w:right w:w="144" w:type="dxa"/>
                  </w:tcMar>
                  <w:hideMark/>
                </w:tcPr>
                <w:p w14:paraId="1417811E" w14:textId="77777777" w:rsidR="00030A3F" w:rsidRPr="00C00E6D" w:rsidRDefault="00030A3F" w:rsidP="000C2AB9">
                  <w:pPr>
                    <w:framePr w:hSpace="180" w:wrap="around" w:vAnchor="text" w:hAnchor="text" w:x="-147" w:y="1"/>
                    <w:spacing w:after="0" w:line="240" w:lineRule="auto"/>
                    <w:suppressOverlap/>
                    <w:jc w:val="center"/>
                    <w:rPr>
                      <w:rFonts w:ascii="Ubuntu Light" w:eastAsia="Calibri" w:hAnsi="Ubuntu Light" w:cs="Arial"/>
                      <w:lang w:eastAsia="en-GB"/>
                    </w:rPr>
                  </w:pPr>
                  <w:proofErr w:type="gramStart"/>
                  <w:r w:rsidRPr="00C00E6D">
                    <w:rPr>
                      <w:rFonts w:ascii="Ubuntu Light" w:eastAsia="Calibri" w:hAnsi="Ubuntu Light" w:cs="Arial"/>
                      <w:b/>
                      <w:bCs/>
                      <w:color w:val="FFFFFF"/>
                      <w:lang w:eastAsia="en-GB"/>
                    </w:rPr>
                    <w:t>Change</w:t>
                  </w:r>
                  <w:r w:rsidRPr="00C00E6D">
                    <w:rPr>
                      <w:rFonts w:ascii="Ubuntu Light" w:eastAsia="Calibri" w:hAnsi="Ubuntu Light" w:cs="Arial"/>
                      <w:b/>
                      <w:bCs/>
                      <w:color w:val="FFFFFF"/>
                      <w:vertAlign w:val="superscript"/>
                      <w:lang w:eastAsia="en-GB"/>
                    </w:rPr>
                    <w:footnoteReference w:customMarkFollows="1" w:id="9"/>
                    <w:t>[</w:t>
                  </w:r>
                  <w:proofErr w:type="gramEnd"/>
                  <w:r w:rsidRPr="00C00E6D">
                    <w:rPr>
                      <w:rFonts w:ascii="Ubuntu Light" w:eastAsia="Calibri" w:hAnsi="Ubuntu Light" w:cs="Arial"/>
                      <w:b/>
                      <w:bCs/>
                      <w:color w:val="FFFFFF"/>
                      <w:vertAlign w:val="superscript"/>
                      <w:lang w:eastAsia="en-GB"/>
                    </w:rPr>
                    <w:t>1]</w:t>
                  </w:r>
                </w:p>
              </w:tc>
            </w:tr>
            <w:tr w:rsidR="00030A3F" w:rsidRPr="00C00E6D" w14:paraId="74219F0B" w14:textId="77777777" w:rsidTr="00030A3F">
              <w:trPr>
                <w:trHeight w:val="323"/>
              </w:trPr>
              <w:tc>
                <w:tcPr>
                  <w:tcW w:w="4078" w:type="dxa"/>
                  <w:tcBorders>
                    <w:top w:val="nil"/>
                    <w:left w:val="single" w:sz="24" w:space="0" w:color="A8D08D"/>
                    <w:bottom w:val="single" w:sz="8" w:space="0" w:color="F2F2F2"/>
                    <w:right w:val="single" w:sz="8" w:space="0" w:color="F2F2F2"/>
                  </w:tcBorders>
                  <w:tcMar>
                    <w:top w:w="72" w:type="dxa"/>
                    <w:left w:w="144" w:type="dxa"/>
                    <w:bottom w:w="72" w:type="dxa"/>
                    <w:right w:w="144" w:type="dxa"/>
                  </w:tcMar>
                  <w:hideMark/>
                </w:tcPr>
                <w:p w14:paraId="5C7AB2ED" w14:textId="77777777" w:rsidR="00030A3F" w:rsidRPr="00C00E6D" w:rsidRDefault="00030A3F" w:rsidP="000C2AB9">
                  <w:pPr>
                    <w:framePr w:hSpace="180" w:wrap="around" w:vAnchor="text" w:hAnchor="text" w:x="-147" w:y="1"/>
                    <w:spacing w:after="0" w:line="240" w:lineRule="auto"/>
                    <w:suppressOverlap/>
                    <w:rPr>
                      <w:rFonts w:ascii="Ubuntu Light" w:eastAsia="Calibri" w:hAnsi="Ubuntu Light" w:cs="Arial"/>
                      <w:lang w:eastAsia="en-GB"/>
                    </w:rPr>
                  </w:pPr>
                  <w:r w:rsidRPr="00C00E6D">
                    <w:rPr>
                      <w:rFonts w:ascii="Ubuntu Light" w:eastAsia="Calibri" w:hAnsi="Ubuntu Light" w:cs="Arial"/>
                      <w:color w:val="000000"/>
                      <w:lang w:eastAsia="en-GB"/>
                    </w:rPr>
                    <w:t>Mean well-being scores among adults (inequality gap)</w:t>
                  </w:r>
                </w:p>
              </w:tc>
              <w:tc>
                <w:tcPr>
                  <w:tcW w:w="1090" w:type="dxa"/>
                  <w:tcBorders>
                    <w:top w:val="nil"/>
                    <w:left w:val="nil"/>
                    <w:bottom w:val="single" w:sz="8" w:space="0" w:color="F2F2F2"/>
                    <w:right w:val="single" w:sz="8" w:space="0" w:color="F2F2F2"/>
                  </w:tcBorders>
                  <w:tcMar>
                    <w:top w:w="72" w:type="dxa"/>
                    <w:left w:w="144" w:type="dxa"/>
                    <w:bottom w:w="72" w:type="dxa"/>
                    <w:right w:w="144" w:type="dxa"/>
                  </w:tcMar>
                </w:tcPr>
                <w:p w14:paraId="6A2F18DE" w14:textId="77777777" w:rsidR="00030A3F" w:rsidRPr="00C00E6D" w:rsidRDefault="00030A3F"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color w:val="000000"/>
                      <w:lang w:eastAsia="en-GB"/>
                    </w:rPr>
                    <w:t>2016-17</w:t>
                  </w:r>
                </w:p>
              </w:tc>
              <w:tc>
                <w:tcPr>
                  <w:tcW w:w="1362" w:type="dxa"/>
                  <w:tcBorders>
                    <w:top w:val="nil"/>
                    <w:left w:val="nil"/>
                    <w:bottom w:val="single" w:sz="8" w:space="0" w:color="F2F2F2"/>
                    <w:right w:val="single" w:sz="8" w:space="0" w:color="F2F2F2"/>
                  </w:tcBorders>
                  <w:tcMar>
                    <w:top w:w="72" w:type="dxa"/>
                    <w:left w:w="144" w:type="dxa"/>
                    <w:bottom w:w="72" w:type="dxa"/>
                    <w:right w:w="144" w:type="dxa"/>
                  </w:tcMar>
                </w:tcPr>
                <w:p w14:paraId="2BD9F6A2" w14:textId="77777777" w:rsidR="00030A3F" w:rsidRPr="00C00E6D" w:rsidRDefault="00030A3F"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color w:val="000000"/>
                      <w:lang w:eastAsia="en-GB"/>
                    </w:rPr>
                    <w:t>2.9</w:t>
                  </w:r>
                </w:p>
              </w:tc>
              <w:tc>
                <w:tcPr>
                  <w:tcW w:w="1226" w:type="dxa"/>
                  <w:tcBorders>
                    <w:top w:val="nil"/>
                    <w:left w:val="nil"/>
                    <w:bottom w:val="single" w:sz="8" w:space="0" w:color="F2F2F2"/>
                    <w:right w:val="single" w:sz="8" w:space="0" w:color="F2F2F2"/>
                  </w:tcBorders>
                  <w:tcMar>
                    <w:top w:w="72" w:type="dxa"/>
                    <w:left w:w="144" w:type="dxa"/>
                    <w:bottom w:w="72" w:type="dxa"/>
                    <w:right w:w="144" w:type="dxa"/>
                  </w:tcMar>
                </w:tcPr>
                <w:p w14:paraId="63D77399" w14:textId="77777777" w:rsidR="00030A3F" w:rsidRPr="00C00E6D" w:rsidRDefault="00030A3F"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color w:val="000000"/>
                      <w:lang w:eastAsia="en-GB"/>
                    </w:rPr>
                    <w:t>2022-23</w:t>
                  </w:r>
                </w:p>
              </w:tc>
              <w:tc>
                <w:tcPr>
                  <w:tcW w:w="1250" w:type="dxa"/>
                  <w:tcBorders>
                    <w:top w:val="nil"/>
                    <w:left w:val="nil"/>
                    <w:bottom w:val="single" w:sz="8" w:space="0" w:color="F2F2F2"/>
                    <w:right w:val="single" w:sz="8" w:space="0" w:color="F2F2F2"/>
                  </w:tcBorders>
                  <w:tcMar>
                    <w:top w:w="72" w:type="dxa"/>
                    <w:left w:w="144" w:type="dxa"/>
                    <w:bottom w:w="72" w:type="dxa"/>
                    <w:right w:w="144" w:type="dxa"/>
                  </w:tcMar>
                </w:tcPr>
                <w:p w14:paraId="5B7AB11D" w14:textId="77777777" w:rsidR="00030A3F" w:rsidRPr="00C00E6D" w:rsidRDefault="00030A3F"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color w:val="000000"/>
                      <w:lang w:eastAsia="en-GB"/>
                    </w:rPr>
                    <w:t>3.3</w:t>
                  </w:r>
                </w:p>
              </w:tc>
              <w:tc>
                <w:tcPr>
                  <w:tcW w:w="0" w:type="auto"/>
                  <w:tcBorders>
                    <w:top w:val="nil"/>
                    <w:left w:val="nil"/>
                    <w:bottom w:val="single" w:sz="8" w:space="0" w:color="F2F2F2"/>
                    <w:right w:val="single" w:sz="24" w:space="0" w:color="A8D08D"/>
                  </w:tcBorders>
                  <w:tcMar>
                    <w:top w:w="72" w:type="dxa"/>
                    <w:left w:w="144" w:type="dxa"/>
                    <w:bottom w:w="72" w:type="dxa"/>
                    <w:right w:w="144" w:type="dxa"/>
                  </w:tcMar>
                </w:tcPr>
                <w:p w14:paraId="0CE97B08" w14:textId="77777777" w:rsidR="00030A3F" w:rsidRPr="00C00E6D" w:rsidRDefault="00030A3F"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b/>
                      <w:bCs/>
                      <w:lang w:eastAsia="en-GB"/>
                    </w:rPr>
                    <w:t>+ 13.8 %</w:t>
                  </w:r>
                </w:p>
              </w:tc>
            </w:tr>
            <w:tr w:rsidR="00030A3F" w:rsidRPr="00C00E6D" w14:paraId="3C171282" w14:textId="77777777" w:rsidTr="00030A3F">
              <w:trPr>
                <w:trHeight w:val="323"/>
              </w:trPr>
              <w:tc>
                <w:tcPr>
                  <w:tcW w:w="4078" w:type="dxa"/>
                  <w:tcBorders>
                    <w:top w:val="nil"/>
                    <w:left w:val="single" w:sz="24" w:space="0" w:color="A8D08D"/>
                    <w:bottom w:val="single" w:sz="24" w:space="0" w:color="A8D08D"/>
                    <w:right w:val="single" w:sz="8" w:space="0" w:color="F2F2F2"/>
                  </w:tcBorders>
                  <w:tcMar>
                    <w:top w:w="72" w:type="dxa"/>
                    <w:left w:w="144" w:type="dxa"/>
                    <w:bottom w:w="72" w:type="dxa"/>
                    <w:right w:w="144" w:type="dxa"/>
                  </w:tcMar>
                  <w:hideMark/>
                </w:tcPr>
                <w:p w14:paraId="48DF7197" w14:textId="77777777" w:rsidR="00030A3F" w:rsidRPr="00C00E6D" w:rsidRDefault="00030A3F" w:rsidP="000C2AB9">
                  <w:pPr>
                    <w:framePr w:hSpace="180" w:wrap="around" w:vAnchor="text" w:hAnchor="text" w:x="-147" w:y="1"/>
                    <w:spacing w:after="0" w:line="240" w:lineRule="auto"/>
                    <w:suppressOverlap/>
                    <w:rPr>
                      <w:rFonts w:ascii="Ubuntu Light" w:eastAsia="Calibri" w:hAnsi="Ubuntu Light" w:cs="Arial"/>
                      <w:color w:val="000000"/>
                      <w:lang w:eastAsia="en-GB"/>
                    </w:rPr>
                  </w:pPr>
                  <w:r w:rsidRPr="00C00E6D">
                    <w:rPr>
                      <w:rFonts w:ascii="Ubuntu Light" w:eastAsia="Calibri" w:hAnsi="Ubuntu Light" w:cs="Arial"/>
                      <w:color w:val="000000"/>
                      <w:lang w:eastAsia="en-GB"/>
                    </w:rPr>
                    <w:t>Sense of community</w:t>
                  </w:r>
                </w:p>
              </w:tc>
              <w:tc>
                <w:tcPr>
                  <w:tcW w:w="1090" w:type="dxa"/>
                  <w:tcBorders>
                    <w:top w:val="nil"/>
                    <w:left w:val="nil"/>
                    <w:bottom w:val="single" w:sz="24" w:space="0" w:color="A8D08D"/>
                    <w:right w:val="single" w:sz="8" w:space="0" w:color="F2F2F2"/>
                  </w:tcBorders>
                  <w:tcMar>
                    <w:top w:w="72" w:type="dxa"/>
                    <w:left w:w="144" w:type="dxa"/>
                    <w:bottom w:w="72" w:type="dxa"/>
                    <w:right w:w="144" w:type="dxa"/>
                  </w:tcMar>
                  <w:hideMark/>
                </w:tcPr>
                <w:p w14:paraId="3F158CCA" w14:textId="77777777" w:rsidR="00030A3F" w:rsidRPr="00C00E6D" w:rsidRDefault="00030A3F"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color w:val="000000"/>
                      <w:lang w:eastAsia="en-GB"/>
                    </w:rPr>
                    <w:t>2016-17</w:t>
                  </w:r>
                </w:p>
              </w:tc>
              <w:tc>
                <w:tcPr>
                  <w:tcW w:w="1362" w:type="dxa"/>
                  <w:tcBorders>
                    <w:top w:val="nil"/>
                    <w:left w:val="nil"/>
                    <w:bottom w:val="single" w:sz="24" w:space="0" w:color="A8D08D"/>
                    <w:right w:val="single" w:sz="8" w:space="0" w:color="F2F2F2"/>
                  </w:tcBorders>
                  <w:tcMar>
                    <w:top w:w="72" w:type="dxa"/>
                    <w:left w:w="144" w:type="dxa"/>
                    <w:bottom w:w="72" w:type="dxa"/>
                    <w:right w:w="144" w:type="dxa"/>
                  </w:tcMar>
                  <w:hideMark/>
                </w:tcPr>
                <w:p w14:paraId="38C7008B" w14:textId="77777777" w:rsidR="00030A3F" w:rsidRPr="00C00E6D" w:rsidRDefault="00030A3F"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color w:val="000000"/>
                      <w:lang w:eastAsia="en-GB"/>
                    </w:rPr>
                    <w:t>50.0 %</w:t>
                  </w:r>
                </w:p>
              </w:tc>
              <w:tc>
                <w:tcPr>
                  <w:tcW w:w="1226" w:type="dxa"/>
                  <w:tcBorders>
                    <w:top w:val="nil"/>
                    <w:left w:val="nil"/>
                    <w:bottom w:val="single" w:sz="24" w:space="0" w:color="A8D08D"/>
                    <w:right w:val="single" w:sz="8" w:space="0" w:color="F2F2F2"/>
                  </w:tcBorders>
                  <w:tcMar>
                    <w:top w:w="72" w:type="dxa"/>
                    <w:left w:w="144" w:type="dxa"/>
                    <w:bottom w:w="72" w:type="dxa"/>
                    <w:right w:w="144" w:type="dxa"/>
                  </w:tcMar>
                  <w:hideMark/>
                </w:tcPr>
                <w:p w14:paraId="456CA232" w14:textId="77777777" w:rsidR="00030A3F" w:rsidRPr="00C00E6D" w:rsidRDefault="00030A3F"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color w:val="000000"/>
                      <w:lang w:eastAsia="en-GB"/>
                    </w:rPr>
                    <w:t>2021-22</w:t>
                  </w:r>
                </w:p>
              </w:tc>
              <w:tc>
                <w:tcPr>
                  <w:tcW w:w="1250" w:type="dxa"/>
                  <w:tcBorders>
                    <w:top w:val="nil"/>
                    <w:left w:val="nil"/>
                    <w:bottom w:val="single" w:sz="24" w:space="0" w:color="A8D08D"/>
                    <w:right w:val="single" w:sz="8" w:space="0" w:color="F2F2F2"/>
                  </w:tcBorders>
                  <w:tcMar>
                    <w:top w:w="72" w:type="dxa"/>
                    <w:left w:w="144" w:type="dxa"/>
                    <w:bottom w:w="72" w:type="dxa"/>
                    <w:right w:w="144" w:type="dxa"/>
                  </w:tcMar>
                  <w:hideMark/>
                </w:tcPr>
                <w:p w14:paraId="73973FDD" w14:textId="77777777" w:rsidR="00030A3F" w:rsidRPr="00C00E6D" w:rsidRDefault="00030A3F" w:rsidP="000C2AB9">
                  <w:pPr>
                    <w:framePr w:hSpace="180" w:wrap="around" w:vAnchor="text" w:hAnchor="text" w:x="-147" w:y="1"/>
                    <w:spacing w:after="0" w:line="240" w:lineRule="auto"/>
                    <w:suppressOverlap/>
                    <w:jc w:val="center"/>
                    <w:rPr>
                      <w:rFonts w:ascii="Ubuntu Light" w:eastAsia="Calibri" w:hAnsi="Ubuntu Light" w:cs="Arial"/>
                      <w:lang w:eastAsia="en-GB"/>
                    </w:rPr>
                  </w:pPr>
                  <w:r w:rsidRPr="00C00E6D">
                    <w:rPr>
                      <w:rFonts w:ascii="Ubuntu Light" w:eastAsia="Calibri" w:hAnsi="Ubuntu Light" w:cs="Arial"/>
                      <w:color w:val="000000"/>
                      <w:lang w:eastAsia="en-GB"/>
                    </w:rPr>
                    <w:t>63.8 %</w:t>
                  </w:r>
                </w:p>
              </w:tc>
              <w:tc>
                <w:tcPr>
                  <w:tcW w:w="0" w:type="auto"/>
                  <w:tcBorders>
                    <w:top w:val="nil"/>
                    <w:left w:val="nil"/>
                    <w:bottom w:val="single" w:sz="24" w:space="0" w:color="A8D08D"/>
                    <w:right w:val="single" w:sz="24" w:space="0" w:color="A8D08D"/>
                  </w:tcBorders>
                  <w:tcMar>
                    <w:top w:w="72" w:type="dxa"/>
                    <w:left w:w="144" w:type="dxa"/>
                    <w:bottom w:w="72" w:type="dxa"/>
                    <w:right w:w="144" w:type="dxa"/>
                  </w:tcMar>
                  <w:hideMark/>
                </w:tcPr>
                <w:p w14:paraId="0C79EA1D" w14:textId="77777777" w:rsidR="00030A3F" w:rsidRPr="00C00E6D" w:rsidRDefault="00030A3F" w:rsidP="000C2AB9">
                  <w:pPr>
                    <w:framePr w:hSpace="180" w:wrap="around" w:vAnchor="text" w:hAnchor="text" w:x="-147" w:y="1"/>
                    <w:spacing w:after="0" w:line="240" w:lineRule="auto"/>
                    <w:suppressOverlap/>
                    <w:jc w:val="center"/>
                    <w:rPr>
                      <w:rFonts w:ascii="Ubuntu Light" w:eastAsia="Calibri" w:hAnsi="Ubuntu Light" w:cs="Arial"/>
                      <w:color w:val="00853C"/>
                      <w:lang w:eastAsia="en-GB"/>
                    </w:rPr>
                  </w:pPr>
                  <w:r w:rsidRPr="00C00E6D">
                    <w:rPr>
                      <w:rFonts w:ascii="Ubuntu Light" w:eastAsia="Calibri" w:hAnsi="Ubuntu Light" w:cs="Arial"/>
                      <w:b/>
                      <w:bCs/>
                      <w:color w:val="00853C"/>
                      <w:lang w:eastAsia="en-GB"/>
                    </w:rPr>
                    <w:t>+ 27.6 %</w:t>
                  </w:r>
                </w:p>
              </w:tc>
            </w:tr>
          </w:tbl>
          <w:p w14:paraId="09A87C09" w14:textId="65D3735A" w:rsidR="006B6E83" w:rsidRPr="0009477F" w:rsidRDefault="00030A3F" w:rsidP="002F4D40">
            <w:pPr>
              <w:rPr>
                <w:rFonts w:ascii="Arial" w:hAnsi="Arial" w:cs="Arial"/>
              </w:rPr>
            </w:pPr>
            <w:r>
              <w:rPr>
                <w:rFonts w:ascii="Arial" w:hAnsi="Arial" w:cs="Arial"/>
              </w:rPr>
              <w:t xml:space="preserve"> </w:t>
            </w:r>
          </w:p>
        </w:tc>
      </w:tr>
      <w:tr w:rsidR="006B6E83" w:rsidRPr="000C3B7B" w14:paraId="4A7A5496" w14:textId="77777777" w:rsidTr="000F3610">
        <w:tc>
          <w:tcPr>
            <w:tcW w:w="5000" w:type="pct"/>
            <w:gridSpan w:val="14"/>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148CFEB" w14:textId="77777777" w:rsidR="006B6E83" w:rsidRPr="00831227" w:rsidRDefault="006B6E83" w:rsidP="002F4D40">
            <w:pPr>
              <w:rPr>
                <w:rFonts w:ascii="Arial" w:hAnsi="Arial" w:cs="Arial"/>
                <w:b/>
                <w:bCs/>
              </w:rPr>
            </w:pPr>
          </w:p>
          <w:p w14:paraId="615D11A2" w14:textId="301434E5" w:rsidR="008E7C5F" w:rsidRPr="00A135D7" w:rsidRDefault="006B6E83" w:rsidP="00A135D7">
            <w:pPr>
              <w:rPr>
                <w:rFonts w:ascii="Arial" w:hAnsi="Arial" w:cs="Arial"/>
                <w:b/>
                <w:bCs/>
              </w:rPr>
            </w:pPr>
            <w:r>
              <w:rPr>
                <w:rFonts w:ascii="Arial" w:hAnsi="Arial" w:cs="Arial"/>
                <w:b/>
                <w:bCs/>
              </w:rPr>
              <w:t xml:space="preserve">Planned milestones for </w:t>
            </w:r>
            <w:r w:rsidRPr="00831227">
              <w:rPr>
                <w:rFonts w:ascii="Arial" w:hAnsi="Arial" w:cs="Arial"/>
                <w:b/>
                <w:bCs/>
              </w:rPr>
              <w:t>Priority area to deliver 2025/26</w:t>
            </w:r>
          </w:p>
        </w:tc>
      </w:tr>
      <w:tr w:rsidR="006B6E83" w:rsidRPr="000C3B7B" w14:paraId="3A6C796D" w14:textId="77777777" w:rsidTr="000F3610">
        <w:tc>
          <w:tcPr>
            <w:tcW w:w="694"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20BD08A" w14:textId="77777777" w:rsidR="006B6E83" w:rsidRPr="003A420C" w:rsidRDefault="006B6E83" w:rsidP="002F4D40">
            <w:pPr>
              <w:rPr>
                <w:rFonts w:ascii="Arial" w:hAnsi="Arial" w:cs="Arial"/>
              </w:rPr>
            </w:pPr>
          </w:p>
        </w:tc>
        <w:tc>
          <w:tcPr>
            <w:tcW w:w="801" w:type="pct"/>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A4C1401" w14:textId="77777777" w:rsidR="006B6E83" w:rsidRPr="000C3B7B" w:rsidRDefault="006B6E83" w:rsidP="002F4D40">
            <w:pPr>
              <w:rPr>
                <w:rFonts w:ascii="Arial" w:hAnsi="Arial" w:cs="Arial"/>
                <w:b/>
                <w:bCs/>
              </w:rPr>
            </w:pPr>
            <w:r w:rsidRPr="00506635">
              <w:rPr>
                <w:rFonts w:ascii="Arial" w:hAnsi="Arial" w:cs="Arial"/>
                <w:b/>
                <w:bCs/>
              </w:rPr>
              <w:t>Quarter 1</w:t>
            </w:r>
          </w:p>
        </w:tc>
        <w:tc>
          <w:tcPr>
            <w:tcW w:w="1090" w:type="pct"/>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3A823FC" w14:textId="77777777" w:rsidR="006B6E83" w:rsidRPr="000C3B7B" w:rsidRDefault="006B6E83" w:rsidP="002F4D40">
            <w:pPr>
              <w:rPr>
                <w:rFonts w:ascii="Arial" w:hAnsi="Arial" w:cs="Arial"/>
                <w:b/>
                <w:bCs/>
              </w:rPr>
            </w:pPr>
            <w:r w:rsidRPr="00506635">
              <w:rPr>
                <w:rFonts w:ascii="Arial" w:hAnsi="Arial" w:cs="Arial"/>
                <w:b/>
                <w:bCs/>
              </w:rPr>
              <w:t>Quarter 2</w:t>
            </w:r>
          </w:p>
        </w:tc>
        <w:tc>
          <w:tcPr>
            <w:tcW w:w="1089"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479482D" w14:textId="77777777" w:rsidR="006B6E83" w:rsidRPr="000C3B7B" w:rsidRDefault="006B6E83" w:rsidP="002F4D40">
            <w:pPr>
              <w:rPr>
                <w:rFonts w:ascii="Arial" w:hAnsi="Arial" w:cs="Arial"/>
                <w:b/>
                <w:bCs/>
              </w:rPr>
            </w:pPr>
            <w:r w:rsidRPr="00506635">
              <w:rPr>
                <w:rFonts w:ascii="Arial" w:hAnsi="Arial" w:cs="Arial"/>
                <w:b/>
                <w:bCs/>
              </w:rPr>
              <w:t>Quarter 3</w:t>
            </w:r>
          </w:p>
        </w:tc>
        <w:tc>
          <w:tcPr>
            <w:tcW w:w="1326"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D2A0B7" w14:textId="77777777" w:rsidR="006B6E83" w:rsidRPr="000C3B7B" w:rsidRDefault="006B6E83" w:rsidP="002F4D40">
            <w:pPr>
              <w:rPr>
                <w:rFonts w:ascii="Arial" w:hAnsi="Arial" w:cs="Arial"/>
                <w:b/>
                <w:bCs/>
              </w:rPr>
            </w:pPr>
            <w:r w:rsidRPr="00506635">
              <w:rPr>
                <w:rFonts w:ascii="Arial" w:hAnsi="Arial" w:cs="Arial"/>
                <w:b/>
                <w:bCs/>
              </w:rPr>
              <w:t>Quarter 4</w:t>
            </w:r>
          </w:p>
        </w:tc>
      </w:tr>
      <w:tr w:rsidR="00EA5F8B" w:rsidRPr="000C3B7B" w14:paraId="28051F87" w14:textId="77777777" w:rsidTr="000F3610">
        <w:tc>
          <w:tcPr>
            <w:tcW w:w="694"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E7B287B" w14:textId="77777777" w:rsidR="00EA5F8B" w:rsidRPr="003A420C" w:rsidRDefault="00EA5F8B" w:rsidP="00EA5F8B">
            <w:pPr>
              <w:rPr>
                <w:rFonts w:ascii="Arial" w:hAnsi="Arial" w:cs="Arial"/>
              </w:rPr>
            </w:pPr>
          </w:p>
          <w:p w14:paraId="05CCE761" w14:textId="77777777" w:rsidR="00EA5F8B" w:rsidRPr="003A420C" w:rsidRDefault="00EA5F8B" w:rsidP="00EA5F8B">
            <w:pPr>
              <w:rPr>
                <w:rFonts w:ascii="Arial" w:hAnsi="Arial" w:cs="Arial"/>
                <w:b/>
                <w:bCs/>
              </w:rPr>
            </w:pPr>
            <w:r w:rsidRPr="003A420C">
              <w:rPr>
                <w:rFonts w:ascii="Arial" w:hAnsi="Arial" w:cs="Arial"/>
                <w:b/>
                <w:bCs/>
              </w:rPr>
              <w:t>Ref:</w:t>
            </w:r>
          </w:p>
        </w:tc>
        <w:tc>
          <w:tcPr>
            <w:tcW w:w="801" w:type="pct"/>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09A9CC27" w14:textId="050AB559" w:rsidR="00EA5F8B" w:rsidRPr="00B657FD" w:rsidRDefault="00EA5F8B" w:rsidP="00EA5F8B">
            <w:pPr>
              <w:rPr>
                <w:rFonts w:ascii="Arial" w:eastAsia="Times New Roman" w:hAnsi="Arial" w:cs="Arial"/>
                <w:color w:val="000000"/>
                <w:sz w:val="20"/>
                <w:szCs w:val="20"/>
                <w:lang w:eastAsia="en-GB"/>
              </w:rPr>
            </w:pPr>
            <w:r w:rsidRPr="00B657FD">
              <w:rPr>
                <w:rFonts w:ascii="Arial" w:eastAsia="Times New Roman" w:hAnsi="Arial" w:cs="Arial"/>
                <w:color w:val="000000"/>
                <w:sz w:val="20"/>
                <w:szCs w:val="20"/>
                <w:lang w:eastAsia="en-GB"/>
              </w:rPr>
              <w:t>Produced guidance on creating inclusive wellbeing-promoting community activities</w:t>
            </w:r>
            <w:r w:rsidR="009B11AF">
              <w:rPr>
                <w:rFonts w:ascii="Arial" w:eastAsia="Times New Roman" w:hAnsi="Arial" w:cs="Arial"/>
                <w:color w:val="000000"/>
                <w:sz w:val="20"/>
                <w:szCs w:val="20"/>
                <w:lang w:eastAsia="en-GB"/>
              </w:rPr>
              <w:t xml:space="preserve"> (SO2.2)</w:t>
            </w:r>
          </w:p>
          <w:p w14:paraId="56C79E3E" w14:textId="77777777" w:rsidR="004B6425" w:rsidRPr="00B657FD" w:rsidRDefault="004B6425" w:rsidP="00EA5F8B">
            <w:pPr>
              <w:rPr>
                <w:rFonts w:ascii="Arial" w:eastAsia="Times New Roman" w:hAnsi="Arial" w:cs="Arial"/>
                <w:b/>
                <w:bCs/>
                <w:color w:val="000000"/>
                <w:lang w:eastAsia="en-GB"/>
              </w:rPr>
            </w:pPr>
          </w:p>
          <w:p w14:paraId="1987164A" w14:textId="6E6ED3AC" w:rsidR="002550B8" w:rsidRDefault="002550B8" w:rsidP="00EA5F8B">
            <w:pPr>
              <w:rPr>
                <w:rFonts w:ascii="Arial" w:hAnsi="Arial" w:cs="Arial"/>
                <w:sz w:val="20"/>
                <w:szCs w:val="20"/>
              </w:rPr>
            </w:pPr>
            <w:r w:rsidRPr="00241F84">
              <w:rPr>
                <w:rFonts w:ascii="Arial" w:hAnsi="Arial" w:cs="Arial"/>
                <w:sz w:val="20"/>
                <w:szCs w:val="20"/>
              </w:rPr>
              <w:t>Produced an action tool on how to create inclusive well-being promoting community activities. (SO2.4)</w:t>
            </w:r>
          </w:p>
          <w:p w14:paraId="28E83EAD" w14:textId="77777777" w:rsidR="002550B8" w:rsidRDefault="002550B8" w:rsidP="00EA5F8B">
            <w:pPr>
              <w:rPr>
                <w:rFonts w:ascii="Arial" w:eastAsia="Times New Roman" w:hAnsi="Arial" w:cs="Arial"/>
                <w:color w:val="000000"/>
                <w:sz w:val="20"/>
                <w:szCs w:val="20"/>
                <w:lang w:eastAsia="en-GB"/>
              </w:rPr>
            </w:pPr>
          </w:p>
          <w:p w14:paraId="0C08586B" w14:textId="77777777" w:rsidR="002550B8" w:rsidRDefault="002550B8" w:rsidP="00EA5F8B">
            <w:pPr>
              <w:rPr>
                <w:rFonts w:ascii="Arial" w:eastAsia="Times New Roman" w:hAnsi="Arial" w:cs="Arial"/>
                <w:color w:val="000000"/>
                <w:sz w:val="20"/>
                <w:szCs w:val="20"/>
                <w:lang w:eastAsia="en-GB"/>
              </w:rPr>
            </w:pPr>
          </w:p>
          <w:p w14:paraId="7F1C67CA" w14:textId="77777777" w:rsidR="002550B8" w:rsidRDefault="002550B8" w:rsidP="00EA5F8B">
            <w:pPr>
              <w:rPr>
                <w:rFonts w:ascii="Arial" w:eastAsia="Times New Roman" w:hAnsi="Arial" w:cs="Arial"/>
                <w:color w:val="000000"/>
                <w:sz w:val="20"/>
                <w:szCs w:val="20"/>
                <w:lang w:eastAsia="en-GB"/>
              </w:rPr>
            </w:pPr>
          </w:p>
          <w:p w14:paraId="03ED0231" w14:textId="77777777" w:rsidR="002550B8" w:rsidRDefault="002550B8" w:rsidP="00EA5F8B">
            <w:pPr>
              <w:rPr>
                <w:rFonts w:ascii="Arial" w:eastAsia="Times New Roman" w:hAnsi="Arial" w:cs="Arial"/>
                <w:color w:val="000000"/>
                <w:sz w:val="20"/>
                <w:szCs w:val="20"/>
                <w:lang w:eastAsia="en-GB"/>
              </w:rPr>
            </w:pPr>
          </w:p>
          <w:p w14:paraId="7938BEF6" w14:textId="77777777" w:rsidR="002550B8" w:rsidRDefault="002550B8" w:rsidP="00EA5F8B">
            <w:pPr>
              <w:rPr>
                <w:rFonts w:ascii="Arial" w:eastAsia="Times New Roman" w:hAnsi="Arial" w:cs="Arial"/>
                <w:color w:val="000000"/>
                <w:sz w:val="20"/>
                <w:szCs w:val="20"/>
                <w:lang w:eastAsia="en-GB"/>
              </w:rPr>
            </w:pPr>
          </w:p>
          <w:p w14:paraId="357CB9D3" w14:textId="77777777" w:rsidR="002550B8" w:rsidRDefault="002550B8" w:rsidP="00EA5F8B">
            <w:pPr>
              <w:rPr>
                <w:rFonts w:ascii="Arial" w:eastAsia="Times New Roman" w:hAnsi="Arial" w:cs="Arial"/>
                <w:color w:val="000000"/>
                <w:sz w:val="20"/>
                <w:szCs w:val="20"/>
                <w:lang w:eastAsia="en-GB"/>
              </w:rPr>
            </w:pPr>
          </w:p>
          <w:p w14:paraId="2BAB4E33" w14:textId="77777777" w:rsidR="002550B8" w:rsidRDefault="002550B8" w:rsidP="00EA5F8B">
            <w:pPr>
              <w:rPr>
                <w:rFonts w:ascii="Arial" w:eastAsia="Times New Roman" w:hAnsi="Arial" w:cs="Arial"/>
                <w:color w:val="000000"/>
                <w:sz w:val="20"/>
                <w:szCs w:val="20"/>
                <w:lang w:eastAsia="en-GB"/>
              </w:rPr>
            </w:pPr>
          </w:p>
          <w:p w14:paraId="707C4A23" w14:textId="77777777" w:rsidR="002550B8" w:rsidRDefault="002550B8" w:rsidP="00EA5F8B">
            <w:pPr>
              <w:rPr>
                <w:rFonts w:ascii="Arial" w:eastAsia="Times New Roman" w:hAnsi="Arial" w:cs="Arial"/>
                <w:color w:val="000000"/>
                <w:sz w:val="20"/>
                <w:szCs w:val="20"/>
                <w:lang w:eastAsia="en-GB"/>
              </w:rPr>
            </w:pPr>
          </w:p>
          <w:p w14:paraId="6DE3E438" w14:textId="77777777" w:rsidR="002550B8" w:rsidRDefault="002550B8" w:rsidP="00EA5F8B">
            <w:pPr>
              <w:rPr>
                <w:rFonts w:ascii="Arial" w:eastAsia="Times New Roman" w:hAnsi="Arial" w:cs="Arial"/>
                <w:color w:val="000000"/>
                <w:sz w:val="20"/>
                <w:szCs w:val="20"/>
                <w:lang w:eastAsia="en-GB"/>
              </w:rPr>
            </w:pPr>
          </w:p>
          <w:p w14:paraId="40E1B18A" w14:textId="77777777" w:rsidR="002550B8" w:rsidRDefault="002550B8" w:rsidP="00EA5F8B">
            <w:pPr>
              <w:rPr>
                <w:rFonts w:ascii="Arial" w:eastAsia="Times New Roman" w:hAnsi="Arial" w:cs="Arial"/>
                <w:color w:val="000000"/>
                <w:sz w:val="20"/>
                <w:szCs w:val="20"/>
                <w:lang w:eastAsia="en-GB"/>
              </w:rPr>
            </w:pPr>
          </w:p>
          <w:p w14:paraId="0EFDE948" w14:textId="77777777" w:rsidR="004B6425" w:rsidRPr="00B657FD" w:rsidRDefault="004B6425" w:rsidP="00EA5F8B">
            <w:pPr>
              <w:rPr>
                <w:rFonts w:ascii="Arial" w:eastAsia="Times New Roman" w:hAnsi="Arial" w:cs="Arial"/>
                <w:b/>
                <w:bCs/>
                <w:color w:val="000000"/>
                <w:lang w:eastAsia="en-GB"/>
              </w:rPr>
            </w:pPr>
          </w:p>
          <w:p w14:paraId="20D52EE9" w14:textId="4949F849" w:rsidR="004B6425" w:rsidRPr="00B657FD" w:rsidRDefault="004B6425" w:rsidP="00EA5F8B">
            <w:pPr>
              <w:rPr>
                <w:rFonts w:ascii="Arial" w:hAnsi="Arial" w:cs="Arial"/>
                <w:b/>
                <w:bCs/>
              </w:rPr>
            </w:pPr>
          </w:p>
        </w:tc>
        <w:tc>
          <w:tcPr>
            <w:tcW w:w="1090" w:type="pct"/>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D755CBD" w14:textId="3BE92277" w:rsidR="00EA5F8B" w:rsidRPr="00B657FD" w:rsidRDefault="00EA5F8B" w:rsidP="00EA5F8B">
            <w:pPr>
              <w:rPr>
                <w:rFonts w:ascii="Arial" w:hAnsi="Arial" w:cs="Arial"/>
                <w:b/>
                <w:bCs/>
              </w:rPr>
            </w:pPr>
          </w:p>
        </w:tc>
        <w:tc>
          <w:tcPr>
            <w:tcW w:w="1089"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4A4C548" w14:textId="2DDEF606" w:rsidR="000801AF" w:rsidRPr="00820E05" w:rsidRDefault="000801AF" w:rsidP="00EA5F8B">
            <w:pPr>
              <w:rPr>
                <w:rFonts w:ascii="Arial" w:eastAsia="Times New Roman" w:hAnsi="Arial" w:cs="Arial"/>
                <w:color w:val="000000"/>
                <w:sz w:val="20"/>
                <w:szCs w:val="20"/>
                <w:lang w:eastAsia="en-GB"/>
              </w:rPr>
            </w:pPr>
            <w:r w:rsidRPr="00E246E9">
              <w:rPr>
                <w:rFonts w:ascii="Arial" w:eastAsia="Times New Roman" w:hAnsi="Arial" w:cs="Arial"/>
                <w:color w:val="000000"/>
                <w:sz w:val="20"/>
                <w:szCs w:val="20"/>
                <w:lang w:eastAsia="en-GB"/>
              </w:rPr>
              <w:t xml:space="preserve">Working with Welsh Government, Iestyn and Directors of Education, agreed shared and respective actions on improving the mental health and wellbeing of children and young people in school </w:t>
            </w:r>
            <w:r w:rsidR="00E246E9" w:rsidRPr="00E246E9">
              <w:rPr>
                <w:rFonts w:ascii="Arial" w:eastAsia="Times New Roman" w:hAnsi="Arial" w:cs="Arial"/>
                <w:color w:val="000000"/>
                <w:sz w:val="20"/>
                <w:szCs w:val="20"/>
                <w:lang w:eastAsia="en-GB"/>
              </w:rPr>
              <w:t>(SO2.1)</w:t>
            </w:r>
          </w:p>
          <w:p w14:paraId="1B1C1A1B" w14:textId="77777777" w:rsidR="009260BE" w:rsidRDefault="009260BE" w:rsidP="00EA5F8B">
            <w:pPr>
              <w:rPr>
                <w:rFonts w:ascii="Arial" w:eastAsia="Times New Roman" w:hAnsi="Arial" w:cs="Arial"/>
                <w:color w:val="000000"/>
                <w:sz w:val="20"/>
                <w:szCs w:val="20"/>
                <w:lang w:eastAsia="en-GB"/>
              </w:rPr>
            </w:pPr>
          </w:p>
          <w:p w14:paraId="59153CFA" w14:textId="78775B64" w:rsidR="009260BE" w:rsidRPr="00E50473" w:rsidRDefault="008A1C0F" w:rsidP="00EA5F8B">
            <w:pPr>
              <w:rPr>
                <w:rFonts w:ascii="Arial" w:eastAsia="Times New Roman" w:hAnsi="Arial" w:cs="Arial"/>
                <w:color w:val="000000"/>
                <w:sz w:val="20"/>
                <w:szCs w:val="20"/>
                <w:lang w:eastAsia="en-GB"/>
              </w:rPr>
            </w:pPr>
            <w:r w:rsidRPr="00E50473">
              <w:rPr>
                <w:rFonts w:ascii="Arial" w:eastAsia="Times New Roman" w:hAnsi="Arial" w:cs="Arial"/>
                <w:color w:val="000000"/>
                <w:sz w:val="20"/>
                <w:szCs w:val="20"/>
                <w:lang w:eastAsia="en-GB"/>
              </w:rPr>
              <w:t xml:space="preserve">Completed the first service needs for Child and Adolescent Mental Health Services working with the Strategic </w:t>
            </w:r>
            <w:r w:rsidR="008E4BC1" w:rsidRPr="00E50473">
              <w:rPr>
                <w:rFonts w:ascii="Arial" w:eastAsia="Times New Roman" w:hAnsi="Arial" w:cs="Arial"/>
                <w:color w:val="000000"/>
                <w:sz w:val="20"/>
                <w:szCs w:val="20"/>
                <w:lang w:eastAsia="en-GB"/>
              </w:rPr>
              <w:t>Programme</w:t>
            </w:r>
            <w:r w:rsidRPr="00E50473">
              <w:rPr>
                <w:rFonts w:ascii="Arial" w:eastAsia="Times New Roman" w:hAnsi="Arial" w:cs="Arial"/>
                <w:color w:val="000000"/>
                <w:sz w:val="20"/>
                <w:szCs w:val="20"/>
                <w:lang w:eastAsia="en-GB"/>
              </w:rPr>
              <w:t xml:space="preserve"> </w:t>
            </w:r>
            <w:r w:rsidR="004C6F4B" w:rsidRPr="00E50473">
              <w:rPr>
                <w:rFonts w:ascii="Arial" w:eastAsia="Times New Roman" w:hAnsi="Arial" w:cs="Arial"/>
                <w:color w:val="000000"/>
                <w:sz w:val="20"/>
                <w:szCs w:val="20"/>
                <w:lang w:eastAsia="en-GB"/>
              </w:rPr>
              <w:t>for Mental Health.</w:t>
            </w:r>
            <w:r w:rsidR="0019055D" w:rsidRPr="00E50473">
              <w:rPr>
                <w:rFonts w:ascii="Arial" w:eastAsia="Times New Roman" w:hAnsi="Arial" w:cs="Arial"/>
                <w:color w:val="000000"/>
                <w:sz w:val="20"/>
                <w:szCs w:val="20"/>
                <w:lang w:eastAsia="en-GB"/>
              </w:rPr>
              <w:t xml:space="preserve"> (SO4.1)</w:t>
            </w:r>
          </w:p>
          <w:p w14:paraId="584DC52B" w14:textId="77777777" w:rsidR="004C6F4B" w:rsidRPr="004C6F4B" w:rsidRDefault="004C6F4B" w:rsidP="00EA5F8B">
            <w:pPr>
              <w:rPr>
                <w:rFonts w:ascii="Arial" w:eastAsia="Times New Roman" w:hAnsi="Arial" w:cs="Arial"/>
                <w:color w:val="000000"/>
                <w:sz w:val="20"/>
                <w:szCs w:val="20"/>
                <w:highlight w:val="lightGray"/>
                <w:lang w:eastAsia="en-GB"/>
              </w:rPr>
            </w:pPr>
          </w:p>
          <w:p w14:paraId="0A738C11" w14:textId="3E72B85E" w:rsidR="004C6F4B" w:rsidRPr="000801AF" w:rsidRDefault="004C6F4B" w:rsidP="00EA5F8B">
            <w:pPr>
              <w:rPr>
                <w:rFonts w:ascii="Arial" w:eastAsia="Times New Roman" w:hAnsi="Arial" w:cs="Arial"/>
                <w:color w:val="000000"/>
                <w:sz w:val="20"/>
                <w:szCs w:val="20"/>
                <w:lang w:eastAsia="en-GB"/>
              </w:rPr>
            </w:pPr>
            <w:r w:rsidRPr="00E50473">
              <w:rPr>
                <w:rFonts w:ascii="Arial" w:eastAsia="Times New Roman" w:hAnsi="Arial" w:cs="Arial"/>
                <w:color w:val="000000"/>
                <w:sz w:val="20"/>
                <w:szCs w:val="20"/>
                <w:lang w:eastAsia="en-GB"/>
              </w:rPr>
              <w:t>Completed joint work with the Strategic Programme for Mental Health on reviewing a high value pathway for mental health interventions for children and young people.</w:t>
            </w:r>
            <w:r>
              <w:rPr>
                <w:rFonts w:ascii="Arial" w:eastAsia="Times New Roman" w:hAnsi="Arial" w:cs="Arial"/>
                <w:color w:val="000000"/>
                <w:sz w:val="20"/>
                <w:szCs w:val="20"/>
                <w:lang w:eastAsia="en-GB"/>
              </w:rPr>
              <w:t xml:space="preserve"> </w:t>
            </w:r>
            <w:r w:rsidR="00E50473">
              <w:rPr>
                <w:rFonts w:ascii="Arial" w:eastAsia="Times New Roman" w:hAnsi="Arial" w:cs="Arial"/>
                <w:color w:val="000000"/>
                <w:sz w:val="20"/>
                <w:szCs w:val="20"/>
                <w:lang w:eastAsia="en-GB"/>
              </w:rPr>
              <w:t>(SO4.1)</w:t>
            </w:r>
          </w:p>
        </w:tc>
        <w:tc>
          <w:tcPr>
            <w:tcW w:w="1326"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DF4DE93" w14:textId="2F9B86E1" w:rsidR="00EA5F8B" w:rsidRPr="00B657FD" w:rsidRDefault="009C1FF8" w:rsidP="00EA5F8B">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Engaged underrepresented groups in mental well-being promoting activities and identified key actions to improve their inclusion in and access to services. (SO2.4)</w:t>
            </w:r>
          </w:p>
          <w:p w14:paraId="79BF6F85" w14:textId="77777777" w:rsidR="00C33B92" w:rsidRDefault="00C33B92" w:rsidP="00EA5F8B">
            <w:pPr>
              <w:rPr>
                <w:rFonts w:ascii="Arial" w:eastAsia="Times New Roman" w:hAnsi="Arial" w:cs="Arial"/>
                <w:color w:val="000000"/>
                <w:sz w:val="20"/>
                <w:szCs w:val="20"/>
                <w:lang w:eastAsia="en-GB"/>
              </w:rPr>
            </w:pPr>
          </w:p>
          <w:p w14:paraId="14EED109" w14:textId="3C3B9AAC" w:rsidR="00C33B92" w:rsidRDefault="00C33B92" w:rsidP="00EA5F8B">
            <w:pPr>
              <w:rPr>
                <w:rFonts w:ascii="Arial" w:eastAsia="Times New Roman" w:hAnsi="Arial" w:cs="Arial"/>
                <w:color w:val="000000"/>
                <w:sz w:val="20"/>
                <w:szCs w:val="20"/>
                <w:lang w:eastAsia="en-GB"/>
              </w:rPr>
            </w:pPr>
            <w:r w:rsidRPr="004254AB">
              <w:rPr>
                <w:rFonts w:ascii="Arial" w:eastAsia="Times New Roman" w:hAnsi="Arial" w:cs="Arial"/>
                <w:color w:val="000000"/>
                <w:sz w:val="20"/>
                <w:szCs w:val="20"/>
                <w:lang w:eastAsia="en-GB"/>
              </w:rPr>
              <w:t>Supported Welsh Government to implement the National Mental Health and Wellbeing Strategy</w:t>
            </w:r>
            <w:r w:rsidR="004254AB" w:rsidRPr="004254AB">
              <w:rPr>
                <w:rFonts w:ascii="Arial" w:eastAsia="Times New Roman" w:hAnsi="Arial" w:cs="Arial"/>
                <w:color w:val="000000"/>
                <w:sz w:val="20"/>
                <w:szCs w:val="20"/>
                <w:lang w:eastAsia="en-GB"/>
              </w:rPr>
              <w:t xml:space="preserve"> (SO2.1)</w:t>
            </w:r>
            <w:r w:rsidRPr="004254AB">
              <w:rPr>
                <w:rFonts w:ascii="Arial" w:eastAsia="Times New Roman" w:hAnsi="Arial" w:cs="Arial"/>
                <w:color w:val="000000"/>
                <w:sz w:val="20"/>
                <w:szCs w:val="20"/>
                <w:lang w:eastAsia="en-GB"/>
              </w:rPr>
              <w:t>.</w:t>
            </w:r>
          </w:p>
          <w:p w14:paraId="2FCD6EEE" w14:textId="77777777" w:rsidR="00711110" w:rsidRDefault="00711110" w:rsidP="00EA5F8B">
            <w:pPr>
              <w:rPr>
                <w:rFonts w:ascii="Arial" w:eastAsia="Times New Roman" w:hAnsi="Arial" w:cs="Arial"/>
                <w:color w:val="000000"/>
                <w:sz w:val="20"/>
                <w:szCs w:val="20"/>
                <w:lang w:eastAsia="en-GB"/>
              </w:rPr>
            </w:pPr>
          </w:p>
          <w:p w14:paraId="0A501E7F" w14:textId="764CCA86" w:rsidR="00E246E9" w:rsidRDefault="00E246E9" w:rsidP="00E246E9">
            <w:pPr>
              <w:rPr>
                <w:rFonts w:ascii="Arial" w:eastAsia="Times New Roman" w:hAnsi="Arial" w:cs="Arial"/>
                <w:color w:val="000000"/>
                <w:sz w:val="20"/>
                <w:szCs w:val="20"/>
                <w:lang w:eastAsia="en-GB"/>
              </w:rPr>
            </w:pPr>
            <w:r w:rsidRPr="00E246E9">
              <w:rPr>
                <w:rFonts w:ascii="Arial" w:eastAsia="Times New Roman" w:hAnsi="Arial" w:cs="Arial"/>
                <w:color w:val="000000"/>
                <w:sz w:val="20"/>
                <w:szCs w:val="20"/>
                <w:lang w:eastAsia="en-GB"/>
              </w:rPr>
              <w:t>Delivered Welsh Government ambitions in relation to the phase 1 of the implementation of the Whole School Approach to Mental and Emotional Wellbeing and agreed proposals for phase 2, building on join work with Iestyn and Directors of Education. (</w:t>
            </w:r>
            <w:r>
              <w:rPr>
                <w:rFonts w:ascii="Arial" w:eastAsia="Times New Roman" w:hAnsi="Arial" w:cs="Arial"/>
                <w:color w:val="000000"/>
                <w:sz w:val="20"/>
                <w:szCs w:val="20"/>
                <w:lang w:eastAsia="en-GB"/>
              </w:rPr>
              <w:t xml:space="preserve">SO2.1) </w:t>
            </w:r>
          </w:p>
          <w:p w14:paraId="6D77E807" w14:textId="77777777" w:rsidR="00E246E9" w:rsidRDefault="00E246E9" w:rsidP="00EA5F8B">
            <w:pPr>
              <w:rPr>
                <w:rFonts w:ascii="Arial" w:hAnsi="Arial" w:cs="Arial"/>
                <w:b/>
                <w:bCs/>
              </w:rPr>
            </w:pPr>
          </w:p>
          <w:p w14:paraId="0DD10DA5" w14:textId="7620E60E" w:rsidR="00EA5F8B" w:rsidRPr="00241F84" w:rsidRDefault="00EA5F8B" w:rsidP="00137CCB">
            <w:pPr>
              <w:rPr>
                <w:rFonts w:ascii="Arial" w:hAnsi="Arial" w:cs="Arial"/>
                <w:sz w:val="20"/>
                <w:szCs w:val="20"/>
              </w:rPr>
            </w:pPr>
          </w:p>
        </w:tc>
      </w:tr>
      <w:tr w:rsidR="00EA5F8B" w:rsidRPr="000C3B7B" w14:paraId="230EC10A" w14:textId="77777777" w:rsidTr="000F3610">
        <w:tc>
          <w:tcPr>
            <w:tcW w:w="5000" w:type="pct"/>
            <w:gridSpan w:val="1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7973470" w14:textId="77777777" w:rsidR="00EA5F8B" w:rsidRPr="000F3610" w:rsidRDefault="00EA5F8B" w:rsidP="00EA5F8B">
            <w:pPr>
              <w:rPr>
                <w:rFonts w:ascii="Arial" w:hAnsi="Arial" w:cs="Arial"/>
                <w:b/>
                <w:bCs/>
              </w:rPr>
            </w:pPr>
            <w:r w:rsidRPr="000F3610">
              <w:rPr>
                <w:rFonts w:ascii="Arial" w:hAnsi="Arial" w:cs="Arial"/>
                <w:b/>
                <w:bCs/>
              </w:rPr>
              <w:t>Overarching outcome measures/ metrics:</w:t>
            </w:r>
          </w:p>
          <w:p w14:paraId="405793CA" w14:textId="77777777" w:rsidR="00EA5F8B" w:rsidRPr="000F3610" w:rsidRDefault="00EA5F8B" w:rsidP="00285CD1">
            <w:pPr>
              <w:rPr>
                <w:rFonts w:ascii="Arial" w:hAnsi="Arial" w:cs="Arial"/>
              </w:rPr>
            </w:pPr>
          </w:p>
          <w:p w14:paraId="4D31EA89" w14:textId="1B0140AE" w:rsidR="007F40A7" w:rsidRPr="000F3610" w:rsidRDefault="007F40A7" w:rsidP="00285CD1">
            <w:pPr>
              <w:rPr>
                <w:rFonts w:ascii="Arial" w:hAnsi="Arial" w:cs="Arial"/>
              </w:rPr>
            </w:pPr>
            <w:r w:rsidRPr="000F3610">
              <w:rPr>
                <w:rFonts w:ascii="Arial" w:hAnsi="Arial" w:cs="Arial"/>
              </w:rPr>
              <w:t xml:space="preserve">We will work to support the achievement of the following systems wide outcomes: </w:t>
            </w:r>
          </w:p>
          <w:p w14:paraId="77D0BB81" w14:textId="3B08A736" w:rsidR="007F40A7" w:rsidRPr="000F3610" w:rsidRDefault="006264EC" w:rsidP="000F3610">
            <w:pPr>
              <w:pStyle w:val="ListParagraph"/>
              <w:numPr>
                <w:ilvl w:val="0"/>
                <w:numId w:val="25"/>
              </w:numPr>
              <w:spacing w:before="240"/>
              <w:contextualSpacing w:val="0"/>
              <w:jc w:val="both"/>
              <w:rPr>
                <w:rFonts w:ascii="Arial" w:eastAsia="Times New Roman" w:hAnsi="Arial" w:cs="Arial"/>
              </w:rPr>
            </w:pPr>
            <w:r w:rsidRPr="000F3610">
              <w:rPr>
                <w:rFonts w:ascii="Arial" w:eastAsia="Times New Roman" w:hAnsi="Arial" w:cs="Arial"/>
                <w:b/>
                <w:bCs/>
              </w:rPr>
              <w:t>Increased average mental well-being score</w:t>
            </w:r>
            <w:r w:rsidRPr="000F3610">
              <w:rPr>
                <w:rFonts w:ascii="Arial" w:eastAsia="Times New Roman" w:hAnsi="Arial" w:cs="Arial"/>
                <w:b/>
              </w:rPr>
              <w:t xml:space="preserve"> </w:t>
            </w:r>
            <w:r w:rsidRPr="000F3610">
              <w:rPr>
                <w:rFonts w:ascii="Arial" w:eastAsia="Times New Roman" w:hAnsi="Arial" w:cs="Arial"/>
                <w:b/>
                <w:bCs/>
              </w:rPr>
              <w:t>(</w:t>
            </w:r>
            <w:r w:rsidRPr="000F3610">
              <w:rPr>
                <w:rFonts w:ascii="Arial" w:eastAsia="Times New Roman" w:hAnsi="Arial" w:cs="Arial"/>
                <w:b/>
              </w:rPr>
              <w:t>2022/23, this was 48.1 out of a possible 70</w:t>
            </w:r>
            <w:r w:rsidRPr="000F3610">
              <w:rPr>
                <w:rStyle w:val="FootnoteReference"/>
                <w:rFonts w:ascii="Arial" w:eastAsia="Times New Roman" w:hAnsi="Arial" w:cs="Arial"/>
                <w:b/>
              </w:rPr>
              <w:footnoteReference w:id="10"/>
            </w:r>
            <w:r w:rsidRPr="000F3610">
              <w:rPr>
                <w:rFonts w:ascii="Arial" w:eastAsia="Times New Roman" w:hAnsi="Arial" w:cs="Arial"/>
                <w:b/>
                <w:bCs/>
              </w:rPr>
              <w:t>)</w:t>
            </w:r>
          </w:p>
          <w:p w14:paraId="2EC3A7F2" w14:textId="1DE99734" w:rsidR="00285CD1" w:rsidRPr="000F3610" w:rsidRDefault="00D321EE" w:rsidP="00A135D7">
            <w:pPr>
              <w:pStyle w:val="ListParagraph"/>
              <w:numPr>
                <w:ilvl w:val="0"/>
                <w:numId w:val="25"/>
              </w:numPr>
              <w:spacing w:before="240"/>
              <w:contextualSpacing w:val="0"/>
              <w:jc w:val="both"/>
              <w:rPr>
                <w:rFonts w:ascii="Arial" w:eastAsia="Times New Roman" w:hAnsi="Arial" w:cs="Arial"/>
              </w:rPr>
            </w:pPr>
            <w:r w:rsidRPr="000F3610">
              <w:rPr>
                <w:rFonts w:ascii="Arial" w:eastAsia="Times New Roman" w:hAnsi="Arial" w:cs="Arial"/>
                <w:b/>
                <w:bCs/>
              </w:rPr>
              <w:t>Increased proportion of adults feeling a sense of community</w:t>
            </w:r>
            <w:r w:rsidRPr="00A135D7">
              <w:rPr>
                <w:rFonts w:ascii="Arial" w:eastAsia="Times New Roman" w:hAnsi="Arial" w:cs="Arial"/>
                <w:b/>
                <w:bCs/>
              </w:rPr>
              <w:t xml:space="preserve"> </w:t>
            </w:r>
            <w:r w:rsidRPr="000F3610">
              <w:rPr>
                <w:rFonts w:ascii="Arial" w:eastAsia="Times New Roman" w:hAnsi="Arial" w:cs="Arial"/>
                <w:b/>
                <w:bCs/>
              </w:rPr>
              <w:t>(</w:t>
            </w:r>
            <w:r w:rsidRPr="00A135D7">
              <w:rPr>
                <w:rFonts w:ascii="Arial" w:eastAsia="Times New Roman" w:hAnsi="Arial" w:cs="Arial"/>
                <w:b/>
                <w:bCs/>
              </w:rPr>
              <w:t>2021/22, 63.8% of adults reported feeling they belong in their area, that people in their area from different backgrounds get on well together, and that people treat each other with respect and consideration</w:t>
            </w:r>
            <w:r w:rsidRPr="00A135D7">
              <w:rPr>
                <w:bCs/>
              </w:rPr>
              <w:footnoteReference w:id="11"/>
            </w:r>
            <w:r w:rsidRPr="000F3610">
              <w:rPr>
                <w:rFonts w:ascii="Arial" w:eastAsia="Times New Roman" w:hAnsi="Arial" w:cs="Arial"/>
                <w:b/>
                <w:bCs/>
              </w:rPr>
              <w:t>.)</w:t>
            </w:r>
            <w:r w:rsidRPr="000F3610">
              <w:rPr>
                <w:rFonts w:ascii="Arial" w:eastAsia="Times New Roman" w:hAnsi="Arial" w:cs="Arial"/>
              </w:rPr>
              <w:t xml:space="preserve"> </w:t>
            </w:r>
          </w:p>
        </w:tc>
      </w:tr>
      <w:tr w:rsidR="00EA5F8B" w:rsidRPr="000C3B7B" w14:paraId="71D9A54D" w14:textId="77777777" w:rsidTr="00137CCB">
        <w:trPr>
          <w:trHeight w:val="370"/>
        </w:trPr>
        <w:tc>
          <w:tcPr>
            <w:tcW w:w="694" w:type="pct"/>
            <w:gridSpan w:val="2"/>
            <w:vMerge w:val="restart"/>
            <w:tcBorders>
              <w:top w:val="single" w:sz="4" w:space="0" w:color="auto"/>
              <w:left w:val="single" w:sz="4" w:space="0" w:color="auto"/>
              <w:right w:val="single" w:sz="4" w:space="0" w:color="auto"/>
            </w:tcBorders>
            <w:shd w:val="clear" w:color="auto" w:fill="FFE599" w:themeFill="accent4" w:themeFillTint="66"/>
            <w:vAlign w:val="center"/>
          </w:tcPr>
          <w:p w14:paraId="5D3F862D" w14:textId="77777777" w:rsidR="00EA5F8B" w:rsidRPr="000C3B7B" w:rsidRDefault="00EA5F8B" w:rsidP="00EA5F8B">
            <w:pPr>
              <w:rPr>
                <w:rFonts w:ascii="Arial" w:hAnsi="Arial" w:cs="Arial"/>
                <w:b/>
              </w:rPr>
            </w:pPr>
            <w:r>
              <w:rPr>
                <w:rFonts w:ascii="Arial" w:hAnsi="Arial" w:cs="Arial"/>
                <w:b/>
              </w:rPr>
              <w:t>Risks</w:t>
            </w:r>
          </w:p>
        </w:tc>
        <w:tc>
          <w:tcPr>
            <w:tcW w:w="1924" w:type="pct"/>
            <w:gridSpan w:val="7"/>
            <w:tcBorders>
              <w:top w:val="single" w:sz="4" w:space="0" w:color="auto"/>
              <w:left w:val="single" w:sz="4" w:space="0" w:color="auto"/>
              <w:right w:val="single" w:sz="4" w:space="0" w:color="auto"/>
            </w:tcBorders>
            <w:shd w:val="clear" w:color="auto" w:fill="FFE599" w:themeFill="accent4" w:themeFillTint="66"/>
            <w:vAlign w:val="center"/>
          </w:tcPr>
          <w:p w14:paraId="690B577E" w14:textId="77777777" w:rsidR="00EA5F8B" w:rsidRPr="000C3B7B" w:rsidRDefault="00EA5F8B" w:rsidP="00EA5F8B">
            <w:pPr>
              <w:rPr>
                <w:rFonts w:ascii="Arial" w:hAnsi="Arial" w:cs="Arial"/>
                <w:b/>
              </w:rPr>
            </w:pPr>
            <w:r w:rsidRPr="000C3B7B">
              <w:rPr>
                <w:rFonts w:ascii="Arial" w:hAnsi="Arial" w:cs="Arial"/>
                <w:b/>
              </w:rPr>
              <w:t xml:space="preserve">Risks </w:t>
            </w:r>
            <w:r>
              <w:rPr>
                <w:rFonts w:ascii="Arial" w:hAnsi="Arial" w:cs="Arial"/>
                <w:b/>
              </w:rPr>
              <w:t xml:space="preserve">of </w:t>
            </w:r>
            <w:proofErr w:type="gramStart"/>
            <w:r w:rsidRPr="000C3B7B">
              <w:rPr>
                <w:rFonts w:ascii="Arial" w:hAnsi="Arial" w:cs="Arial"/>
                <w:b/>
              </w:rPr>
              <w:t>Non-Delivery</w:t>
            </w:r>
            <w:proofErr w:type="gramEnd"/>
          </w:p>
        </w:tc>
        <w:tc>
          <w:tcPr>
            <w:tcW w:w="2383" w:type="pct"/>
            <w:gridSpan w:val="5"/>
            <w:tcBorders>
              <w:top w:val="single" w:sz="4" w:space="0" w:color="auto"/>
              <w:left w:val="single" w:sz="4" w:space="0" w:color="auto"/>
              <w:right w:val="single" w:sz="4" w:space="0" w:color="auto"/>
            </w:tcBorders>
            <w:shd w:val="clear" w:color="auto" w:fill="FFE599" w:themeFill="accent4" w:themeFillTint="66"/>
            <w:vAlign w:val="center"/>
          </w:tcPr>
          <w:p w14:paraId="7328733B" w14:textId="77777777" w:rsidR="00EA5F8B" w:rsidRPr="000C3B7B" w:rsidRDefault="00EA5F8B" w:rsidP="00EA5F8B">
            <w:pPr>
              <w:rPr>
                <w:rFonts w:ascii="Arial" w:hAnsi="Arial" w:cs="Arial"/>
                <w:b/>
              </w:rPr>
            </w:pPr>
            <w:r w:rsidRPr="000C3B7B">
              <w:rPr>
                <w:rFonts w:ascii="Arial" w:hAnsi="Arial" w:cs="Arial"/>
                <w:b/>
              </w:rPr>
              <w:t>Mitigations</w:t>
            </w:r>
          </w:p>
        </w:tc>
      </w:tr>
      <w:tr w:rsidR="00137CCB" w:rsidRPr="000C3B7B" w14:paraId="4BE3B081" w14:textId="77777777" w:rsidTr="00137CCB">
        <w:trPr>
          <w:trHeight w:val="370"/>
        </w:trPr>
        <w:tc>
          <w:tcPr>
            <w:tcW w:w="694" w:type="pct"/>
            <w:gridSpan w:val="2"/>
            <w:vMerge/>
            <w:tcBorders>
              <w:left w:val="single" w:sz="4" w:space="0" w:color="auto"/>
              <w:right w:val="single" w:sz="4" w:space="0" w:color="auto"/>
            </w:tcBorders>
            <w:shd w:val="clear" w:color="auto" w:fill="FFE599" w:themeFill="accent4" w:themeFillTint="66"/>
            <w:vAlign w:val="center"/>
          </w:tcPr>
          <w:p w14:paraId="45A77960" w14:textId="77777777" w:rsidR="00137CCB" w:rsidRPr="000C3B7B" w:rsidRDefault="00137CCB" w:rsidP="00EA5F8B">
            <w:pPr>
              <w:rPr>
                <w:rFonts w:ascii="Arial" w:hAnsi="Arial" w:cs="Arial"/>
                <w:b/>
              </w:rPr>
            </w:pPr>
          </w:p>
        </w:tc>
        <w:tc>
          <w:tcPr>
            <w:tcW w:w="4306" w:type="pct"/>
            <w:gridSpan w:val="12"/>
            <w:tcBorders>
              <w:top w:val="single" w:sz="4" w:space="0" w:color="auto"/>
              <w:left w:val="single" w:sz="4" w:space="0" w:color="auto"/>
              <w:right w:val="single" w:sz="4" w:space="0" w:color="auto"/>
            </w:tcBorders>
            <w:shd w:val="clear" w:color="auto" w:fill="FFF2CC" w:themeFill="accent4" w:themeFillTint="33"/>
            <w:vAlign w:val="center"/>
          </w:tcPr>
          <w:p w14:paraId="1D406EB4" w14:textId="1B34007B" w:rsidR="00137CCB" w:rsidRPr="000C3B7B" w:rsidRDefault="00137CCB" w:rsidP="00EA5F8B">
            <w:pPr>
              <w:rPr>
                <w:rFonts w:ascii="Arial" w:hAnsi="Arial" w:cs="Arial"/>
                <w:b/>
              </w:rPr>
            </w:pPr>
            <w:r w:rsidRPr="00FB50AF">
              <w:rPr>
                <w:rFonts w:ascii="Arial" w:hAnsi="Arial" w:cs="Arial"/>
                <w:bCs/>
              </w:rPr>
              <w:t>Detail on our refreshed strategic risks that have been identified is provided within our Risk section of our IMTP (section 4.4)</w:t>
            </w:r>
          </w:p>
        </w:tc>
      </w:tr>
      <w:tr w:rsidR="00304DFD" w:rsidRPr="000C3B7B" w14:paraId="3AEE6FF6" w14:textId="77777777" w:rsidTr="000F3610">
        <w:trPr>
          <w:trHeight w:val="370"/>
        </w:trPr>
        <w:tc>
          <w:tcPr>
            <w:tcW w:w="694" w:type="pct"/>
            <w:gridSpan w:val="2"/>
            <w:vMerge w:val="restart"/>
            <w:tcBorders>
              <w:top w:val="single" w:sz="4" w:space="0" w:color="auto"/>
              <w:left w:val="single" w:sz="4" w:space="0" w:color="auto"/>
              <w:right w:val="single" w:sz="4" w:space="0" w:color="auto"/>
            </w:tcBorders>
            <w:shd w:val="clear" w:color="auto" w:fill="FFE599" w:themeFill="accent4" w:themeFillTint="66"/>
            <w:vAlign w:val="center"/>
          </w:tcPr>
          <w:p w14:paraId="75A719F4" w14:textId="77777777" w:rsidR="00304DFD" w:rsidRPr="000C3B7B" w:rsidRDefault="00304DFD" w:rsidP="00304DFD">
            <w:pPr>
              <w:rPr>
                <w:rFonts w:ascii="Arial" w:hAnsi="Arial" w:cs="Arial"/>
                <w:b/>
              </w:rPr>
            </w:pPr>
            <w:r w:rsidRPr="000C3B7B">
              <w:rPr>
                <w:rFonts w:ascii="Arial" w:hAnsi="Arial" w:cs="Arial"/>
                <w:b/>
              </w:rPr>
              <w:lastRenderedPageBreak/>
              <w:t>Critical Enablers</w:t>
            </w:r>
          </w:p>
        </w:tc>
        <w:tc>
          <w:tcPr>
            <w:tcW w:w="4306" w:type="pct"/>
            <w:gridSpan w:val="1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69B9D4E" w14:textId="067440FA" w:rsidR="00304DFD" w:rsidRPr="000C3B7B" w:rsidRDefault="00304DFD" w:rsidP="00304DFD">
            <w:pPr>
              <w:rPr>
                <w:rFonts w:ascii="Arial" w:hAnsi="Arial" w:cs="Arial"/>
                <w:b/>
              </w:rPr>
            </w:pPr>
            <w:r w:rsidRPr="000C3B7B">
              <w:rPr>
                <w:rFonts w:ascii="Arial" w:hAnsi="Arial" w:cs="Arial"/>
                <w:b/>
              </w:rPr>
              <w:t xml:space="preserve">Finance </w:t>
            </w:r>
          </w:p>
        </w:tc>
      </w:tr>
      <w:tr w:rsidR="00304DFD" w:rsidRPr="000C3B7B" w14:paraId="3BCD042E" w14:textId="77777777" w:rsidTr="000F3610">
        <w:trPr>
          <w:trHeight w:val="370"/>
        </w:trPr>
        <w:tc>
          <w:tcPr>
            <w:tcW w:w="694" w:type="pct"/>
            <w:gridSpan w:val="2"/>
            <w:vMerge/>
            <w:tcBorders>
              <w:left w:val="single" w:sz="4" w:space="0" w:color="auto"/>
              <w:right w:val="single" w:sz="4" w:space="0" w:color="auto"/>
            </w:tcBorders>
            <w:shd w:val="clear" w:color="auto" w:fill="FFE599" w:themeFill="accent4" w:themeFillTint="66"/>
            <w:vAlign w:val="center"/>
          </w:tcPr>
          <w:p w14:paraId="6849F3CD" w14:textId="77777777" w:rsidR="00304DFD" w:rsidRPr="000C3B7B" w:rsidRDefault="00304DFD" w:rsidP="00304DFD">
            <w:pPr>
              <w:rPr>
                <w:rFonts w:ascii="Arial" w:hAnsi="Arial" w:cs="Arial"/>
                <w:bCs/>
              </w:rPr>
            </w:pPr>
          </w:p>
        </w:tc>
        <w:tc>
          <w:tcPr>
            <w:tcW w:w="4306" w:type="pct"/>
            <w:gridSpan w:val="1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81AEB97" w14:textId="34ED5F49" w:rsidR="00304DFD" w:rsidRDefault="00304DFD" w:rsidP="00304DFD">
            <w:pPr>
              <w:rPr>
                <w:rFonts w:ascii="Arial" w:hAnsi="Arial" w:cs="Arial"/>
                <w:bCs/>
              </w:rPr>
            </w:pPr>
            <w:r w:rsidRPr="009D3BFF">
              <w:rPr>
                <w:rFonts w:ascii="Arial" w:hAnsi="Arial" w:cs="Arial"/>
                <w:bCs/>
              </w:rPr>
              <w:t>Detail on finance is provided within the Finance section of our IMTP (section 4.1)</w:t>
            </w:r>
          </w:p>
        </w:tc>
      </w:tr>
      <w:tr w:rsidR="00304DFD" w:rsidRPr="000C3B7B" w14:paraId="7B8902D3" w14:textId="77777777" w:rsidTr="000F3610">
        <w:trPr>
          <w:trHeight w:val="370"/>
        </w:trPr>
        <w:tc>
          <w:tcPr>
            <w:tcW w:w="694" w:type="pct"/>
            <w:gridSpan w:val="2"/>
            <w:vMerge/>
            <w:tcBorders>
              <w:left w:val="single" w:sz="4" w:space="0" w:color="auto"/>
              <w:right w:val="single" w:sz="4" w:space="0" w:color="auto"/>
            </w:tcBorders>
            <w:shd w:val="clear" w:color="auto" w:fill="FFE599" w:themeFill="accent4" w:themeFillTint="66"/>
            <w:vAlign w:val="center"/>
          </w:tcPr>
          <w:p w14:paraId="43262A28" w14:textId="77777777" w:rsidR="00304DFD" w:rsidRPr="000C3B7B" w:rsidRDefault="00304DFD" w:rsidP="00304DFD">
            <w:pPr>
              <w:rPr>
                <w:rFonts w:ascii="Arial" w:hAnsi="Arial" w:cs="Arial"/>
                <w:bCs/>
              </w:rPr>
            </w:pPr>
          </w:p>
        </w:tc>
        <w:tc>
          <w:tcPr>
            <w:tcW w:w="4306" w:type="pct"/>
            <w:gridSpan w:val="1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A2C2B61" w14:textId="25B55EC3" w:rsidR="00304DFD" w:rsidRPr="000C3B7B" w:rsidRDefault="00304DFD" w:rsidP="00304DFD">
            <w:pPr>
              <w:rPr>
                <w:rFonts w:ascii="Arial" w:hAnsi="Arial" w:cs="Arial"/>
                <w:b/>
              </w:rPr>
            </w:pPr>
            <w:r w:rsidRPr="000C3B7B">
              <w:rPr>
                <w:rFonts w:ascii="Arial" w:hAnsi="Arial" w:cs="Arial"/>
                <w:b/>
              </w:rPr>
              <w:t>Workforce</w:t>
            </w:r>
          </w:p>
        </w:tc>
      </w:tr>
      <w:tr w:rsidR="00304DFD" w:rsidRPr="000C3B7B" w14:paraId="10F10806" w14:textId="77777777" w:rsidTr="000F3610">
        <w:trPr>
          <w:trHeight w:val="370"/>
        </w:trPr>
        <w:tc>
          <w:tcPr>
            <w:tcW w:w="694" w:type="pct"/>
            <w:gridSpan w:val="2"/>
            <w:vMerge/>
            <w:tcBorders>
              <w:left w:val="single" w:sz="4" w:space="0" w:color="auto"/>
              <w:right w:val="single" w:sz="4" w:space="0" w:color="auto"/>
            </w:tcBorders>
            <w:shd w:val="clear" w:color="auto" w:fill="FFE599" w:themeFill="accent4" w:themeFillTint="66"/>
            <w:vAlign w:val="center"/>
          </w:tcPr>
          <w:p w14:paraId="523E49A5" w14:textId="77777777" w:rsidR="00304DFD" w:rsidRPr="000C3B7B" w:rsidRDefault="00304DFD" w:rsidP="00304DFD">
            <w:pPr>
              <w:rPr>
                <w:rFonts w:ascii="Arial" w:hAnsi="Arial" w:cs="Arial"/>
                <w:bCs/>
              </w:rPr>
            </w:pPr>
          </w:p>
        </w:tc>
        <w:tc>
          <w:tcPr>
            <w:tcW w:w="4306" w:type="pct"/>
            <w:gridSpan w:val="1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A9C157C" w14:textId="3A012EE7" w:rsidR="00304DFD" w:rsidRDefault="00304DFD" w:rsidP="00304DFD">
            <w:pPr>
              <w:rPr>
                <w:rFonts w:ascii="Arial" w:hAnsi="Arial" w:cs="Arial"/>
                <w:bCs/>
              </w:rPr>
            </w:pPr>
            <w:r w:rsidRPr="009D3BFF">
              <w:rPr>
                <w:rFonts w:ascii="Arial" w:hAnsi="Arial" w:cs="Arial"/>
                <w:bCs/>
              </w:rPr>
              <w:t>Detail on our workforce developments is set out within the Workforce section of our IMTP (section 4.3)</w:t>
            </w:r>
          </w:p>
        </w:tc>
      </w:tr>
      <w:tr w:rsidR="00304DFD" w:rsidRPr="000C3B7B" w14:paraId="6117FDBE" w14:textId="77777777" w:rsidTr="000F3610">
        <w:trPr>
          <w:trHeight w:val="370"/>
        </w:trPr>
        <w:tc>
          <w:tcPr>
            <w:tcW w:w="694" w:type="pct"/>
            <w:gridSpan w:val="2"/>
            <w:vMerge/>
            <w:tcBorders>
              <w:left w:val="single" w:sz="4" w:space="0" w:color="auto"/>
              <w:right w:val="single" w:sz="4" w:space="0" w:color="auto"/>
            </w:tcBorders>
            <w:shd w:val="clear" w:color="auto" w:fill="FFE599" w:themeFill="accent4" w:themeFillTint="66"/>
            <w:vAlign w:val="center"/>
          </w:tcPr>
          <w:p w14:paraId="09CD76B8" w14:textId="77777777" w:rsidR="00304DFD" w:rsidRPr="000C3B7B" w:rsidRDefault="00304DFD" w:rsidP="00304DFD">
            <w:pPr>
              <w:rPr>
                <w:rFonts w:ascii="Arial" w:hAnsi="Arial" w:cs="Arial"/>
                <w:bCs/>
              </w:rPr>
            </w:pPr>
          </w:p>
        </w:tc>
        <w:tc>
          <w:tcPr>
            <w:tcW w:w="4306" w:type="pct"/>
            <w:gridSpan w:val="1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A502E96" w14:textId="408F88B9" w:rsidR="00304DFD" w:rsidRPr="000C3B7B" w:rsidRDefault="00304DFD" w:rsidP="00304DFD">
            <w:pPr>
              <w:ind w:right="-269"/>
              <w:rPr>
                <w:rFonts w:ascii="Arial" w:hAnsi="Arial" w:cs="Arial"/>
                <w:b/>
              </w:rPr>
            </w:pPr>
            <w:r w:rsidRPr="000C3B7B">
              <w:rPr>
                <w:rFonts w:ascii="Arial" w:hAnsi="Arial" w:cs="Arial"/>
                <w:b/>
              </w:rPr>
              <w:t xml:space="preserve">Digital </w:t>
            </w:r>
          </w:p>
        </w:tc>
      </w:tr>
      <w:tr w:rsidR="00304DFD" w:rsidRPr="000C3B7B" w14:paraId="59B23545" w14:textId="77777777" w:rsidTr="000F3610">
        <w:trPr>
          <w:trHeight w:val="370"/>
        </w:trPr>
        <w:tc>
          <w:tcPr>
            <w:tcW w:w="694" w:type="pct"/>
            <w:gridSpan w:val="2"/>
            <w:vMerge/>
            <w:tcBorders>
              <w:left w:val="single" w:sz="4" w:space="0" w:color="auto"/>
              <w:right w:val="single" w:sz="4" w:space="0" w:color="auto"/>
            </w:tcBorders>
            <w:shd w:val="clear" w:color="auto" w:fill="FFE599" w:themeFill="accent4" w:themeFillTint="66"/>
            <w:vAlign w:val="center"/>
          </w:tcPr>
          <w:p w14:paraId="706E4646" w14:textId="77777777" w:rsidR="00304DFD" w:rsidRPr="000C3B7B" w:rsidRDefault="00304DFD" w:rsidP="00304DFD">
            <w:pPr>
              <w:rPr>
                <w:rFonts w:ascii="Arial" w:hAnsi="Arial" w:cs="Arial"/>
                <w:bCs/>
              </w:rPr>
            </w:pPr>
          </w:p>
        </w:tc>
        <w:tc>
          <w:tcPr>
            <w:tcW w:w="4306" w:type="pct"/>
            <w:gridSpan w:val="1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18AECFB" w14:textId="5D7CF49A" w:rsidR="00304DFD" w:rsidRDefault="00304DFD" w:rsidP="00304DFD">
            <w:pPr>
              <w:rPr>
                <w:rFonts w:ascii="Arial" w:hAnsi="Arial" w:cs="Arial"/>
                <w:bCs/>
              </w:rPr>
            </w:pPr>
            <w:r w:rsidRPr="009D3BFF">
              <w:rPr>
                <w:rFonts w:ascii="Arial" w:hAnsi="Arial" w:cs="Arial"/>
                <w:bCs/>
              </w:rPr>
              <w:t>Detail on key digital developments, including financial implications, is set out within the Digital section of our IMT</w:t>
            </w:r>
            <w:r>
              <w:rPr>
                <w:rFonts w:ascii="Arial" w:hAnsi="Arial" w:cs="Arial"/>
                <w:bCs/>
              </w:rPr>
              <w:t>P</w:t>
            </w:r>
            <w:r w:rsidRPr="009D3BFF">
              <w:rPr>
                <w:rFonts w:ascii="Arial" w:hAnsi="Arial" w:cs="Arial"/>
                <w:bCs/>
              </w:rPr>
              <w:t xml:space="preserve"> (section 4.2)</w:t>
            </w:r>
          </w:p>
        </w:tc>
      </w:tr>
      <w:tr w:rsidR="00304DFD" w:rsidRPr="000C3B7B" w14:paraId="076850CE" w14:textId="77777777" w:rsidTr="000F3610">
        <w:trPr>
          <w:trHeight w:val="370"/>
        </w:trPr>
        <w:tc>
          <w:tcPr>
            <w:tcW w:w="694" w:type="pct"/>
            <w:gridSpan w:val="2"/>
            <w:vMerge/>
            <w:tcBorders>
              <w:left w:val="single" w:sz="4" w:space="0" w:color="auto"/>
              <w:right w:val="single" w:sz="4" w:space="0" w:color="auto"/>
            </w:tcBorders>
            <w:shd w:val="clear" w:color="auto" w:fill="FFE599" w:themeFill="accent4" w:themeFillTint="66"/>
            <w:vAlign w:val="center"/>
          </w:tcPr>
          <w:p w14:paraId="24B27AF9" w14:textId="77777777" w:rsidR="00304DFD" w:rsidRPr="000C3B7B" w:rsidRDefault="00304DFD" w:rsidP="00304DFD">
            <w:pPr>
              <w:rPr>
                <w:rFonts w:ascii="Arial" w:hAnsi="Arial" w:cs="Arial"/>
                <w:bCs/>
              </w:rPr>
            </w:pPr>
          </w:p>
        </w:tc>
        <w:tc>
          <w:tcPr>
            <w:tcW w:w="4306" w:type="pct"/>
            <w:gridSpan w:val="1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E24734D" w14:textId="0099F2B4" w:rsidR="00304DFD" w:rsidRPr="000C3B7B" w:rsidRDefault="00304DFD" w:rsidP="00304DFD">
            <w:pPr>
              <w:rPr>
                <w:rFonts w:ascii="Arial" w:hAnsi="Arial" w:cs="Arial"/>
                <w:b/>
              </w:rPr>
            </w:pPr>
            <w:r w:rsidRPr="000C3B7B">
              <w:rPr>
                <w:rFonts w:ascii="Arial" w:hAnsi="Arial" w:cs="Arial"/>
                <w:b/>
              </w:rPr>
              <w:t>Other (Specify)</w:t>
            </w:r>
          </w:p>
        </w:tc>
      </w:tr>
      <w:tr w:rsidR="00304DFD" w:rsidRPr="000C3B7B" w14:paraId="4AC83C3F" w14:textId="77777777" w:rsidTr="000F3610">
        <w:trPr>
          <w:trHeight w:val="370"/>
        </w:trPr>
        <w:tc>
          <w:tcPr>
            <w:tcW w:w="694" w:type="pct"/>
            <w:gridSpan w:val="2"/>
            <w:vMerge/>
            <w:tcBorders>
              <w:left w:val="single" w:sz="4" w:space="0" w:color="auto"/>
              <w:right w:val="single" w:sz="4" w:space="0" w:color="auto"/>
            </w:tcBorders>
            <w:shd w:val="clear" w:color="auto" w:fill="FFE599" w:themeFill="accent4" w:themeFillTint="66"/>
            <w:vAlign w:val="center"/>
          </w:tcPr>
          <w:p w14:paraId="47F09DD1" w14:textId="77777777" w:rsidR="00304DFD" w:rsidRPr="000C3B7B" w:rsidRDefault="00304DFD" w:rsidP="00304DFD">
            <w:pPr>
              <w:rPr>
                <w:rFonts w:ascii="Arial" w:hAnsi="Arial" w:cs="Arial"/>
                <w:bCs/>
              </w:rPr>
            </w:pPr>
          </w:p>
        </w:tc>
        <w:tc>
          <w:tcPr>
            <w:tcW w:w="4306" w:type="pct"/>
            <w:gridSpan w:val="1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4E3307E" w14:textId="2D009166" w:rsidR="00304DFD" w:rsidRDefault="00304DFD" w:rsidP="00304DFD">
            <w:pPr>
              <w:rPr>
                <w:rFonts w:ascii="Arial" w:hAnsi="Arial" w:cs="Arial"/>
                <w:bCs/>
              </w:rPr>
            </w:pPr>
            <w:r>
              <w:rPr>
                <w:rFonts w:ascii="Arial" w:hAnsi="Arial" w:cs="Arial"/>
                <w:bCs/>
              </w:rPr>
              <w:t>N/A</w:t>
            </w:r>
          </w:p>
        </w:tc>
      </w:tr>
      <w:tr w:rsidR="00EA5F8B" w:rsidRPr="000C3B7B" w14:paraId="4703B492" w14:textId="77777777" w:rsidTr="000F3610">
        <w:trPr>
          <w:trHeight w:val="370"/>
        </w:trPr>
        <w:tc>
          <w:tcPr>
            <w:tcW w:w="694" w:type="pct"/>
            <w:gridSpan w:val="2"/>
            <w:vMerge w:val="restart"/>
            <w:tcBorders>
              <w:left w:val="single" w:sz="4" w:space="0" w:color="auto"/>
              <w:right w:val="single" w:sz="4" w:space="0" w:color="auto"/>
            </w:tcBorders>
            <w:shd w:val="clear" w:color="auto" w:fill="8EAADB" w:themeFill="accent1" w:themeFillTint="99"/>
            <w:vAlign w:val="center"/>
          </w:tcPr>
          <w:p w14:paraId="7EBC1B11" w14:textId="77777777" w:rsidR="00EA5F8B" w:rsidRPr="00B35A82" w:rsidRDefault="00EA5F8B" w:rsidP="00EA5F8B">
            <w:pPr>
              <w:rPr>
                <w:rFonts w:ascii="Arial" w:hAnsi="Arial" w:cs="Arial"/>
                <w:b/>
              </w:rPr>
            </w:pPr>
            <w:r w:rsidRPr="00B35A82">
              <w:rPr>
                <w:rFonts w:ascii="Arial" w:hAnsi="Arial" w:cs="Arial"/>
                <w:b/>
              </w:rPr>
              <w:t xml:space="preserve">Prevention &amp; Population Health </w:t>
            </w:r>
          </w:p>
        </w:tc>
        <w:tc>
          <w:tcPr>
            <w:tcW w:w="4306" w:type="pct"/>
            <w:gridSpan w:val="1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16767BF" w14:textId="77777777" w:rsidR="00EA5F8B" w:rsidRPr="00B35A82" w:rsidRDefault="00EA5F8B" w:rsidP="00EA5F8B">
            <w:pPr>
              <w:rPr>
                <w:rFonts w:ascii="Arial" w:hAnsi="Arial" w:cs="Arial"/>
                <w:b/>
              </w:rPr>
            </w:pPr>
            <w:r w:rsidRPr="00B35A82">
              <w:rPr>
                <w:rFonts w:ascii="Arial" w:hAnsi="Arial" w:cs="Arial"/>
                <w:b/>
              </w:rPr>
              <w:t>Opportunities identified</w:t>
            </w:r>
          </w:p>
        </w:tc>
      </w:tr>
      <w:tr w:rsidR="00EA5F8B" w:rsidRPr="000C3B7B" w14:paraId="65C4BFD9" w14:textId="77777777" w:rsidTr="000F3610">
        <w:trPr>
          <w:trHeight w:val="560"/>
        </w:trPr>
        <w:tc>
          <w:tcPr>
            <w:tcW w:w="694" w:type="pct"/>
            <w:gridSpan w:val="2"/>
            <w:vMerge/>
            <w:tcBorders>
              <w:left w:val="single" w:sz="4" w:space="0" w:color="auto"/>
              <w:right w:val="single" w:sz="4" w:space="0" w:color="auto"/>
            </w:tcBorders>
            <w:shd w:val="clear" w:color="auto" w:fill="8EAADB" w:themeFill="accent1" w:themeFillTint="99"/>
            <w:vAlign w:val="center"/>
          </w:tcPr>
          <w:p w14:paraId="743328FE" w14:textId="77777777" w:rsidR="00EA5F8B" w:rsidRPr="00B35A82" w:rsidRDefault="00EA5F8B" w:rsidP="00EA5F8B">
            <w:pPr>
              <w:rPr>
                <w:rFonts w:ascii="Arial" w:hAnsi="Arial" w:cs="Arial"/>
                <w:b/>
              </w:rPr>
            </w:pPr>
          </w:p>
        </w:tc>
        <w:tc>
          <w:tcPr>
            <w:tcW w:w="4306" w:type="pct"/>
            <w:gridSpan w:val="1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CB86ACE" w14:textId="134401B1" w:rsidR="00285CD1" w:rsidRDefault="00285CD1" w:rsidP="00285CD1">
            <w:pPr>
              <w:rPr>
                <w:rFonts w:ascii="Arial" w:hAnsi="Arial" w:cs="Arial"/>
                <w:bCs/>
              </w:rPr>
            </w:pPr>
            <w:r w:rsidRPr="00285CD1">
              <w:rPr>
                <w:rFonts w:ascii="Arial" w:hAnsi="Arial" w:cs="Arial"/>
                <w:bCs/>
              </w:rPr>
              <w:t>Mental and social well-being are essential components of lifelong health, forming the foundation for healthy individuals and communities. While the wider determinants of health provide the conditions for good health, mental and social well-being are the foundations for healthy people and communities. Mental well-being comprises a range of different elements; how we think, how we understand our emotions and those of others, how we form healthy relationships and our resilience, how we make sense of our experiences. It is significantly influenced by our social environment, including where we live, work, play, and learn. Early childhood interactions with parents or carers and the quality of parental relationships are crucial in developing mental well-being. Inconsistent conditions during childhood can lead to long-term harm due to adverse childhood experiences (ACEs).</w:t>
            </w:r>
          </w:p>
          <w:p w14:paraId="1ED63638" w14:textId="77777777" w:rsidR="00285CD1" w:rsidRPr="00285CD1" w:rsidRDefault="00285CD1" w:rsidP="00285CD1">
            <w:pPr>
              <w:rPr>
                <w:rFonts w:ascii="Arial" w:hAnsi="Arial" w:cs="Arial"/>
                <w:bCs/>
              </w:rPr>
            </w:pPr>
          </w:p>
          <w:p w14:paraId="69B87DF3" w14:textId="15E70BC7" w:rsidR="00EA5F8B" w:rsidRPr="00AA5338" w:rsidRDefault="00285CD1" w:rsidP="00EA5F8B">
            <w:pPr>
              <w:rPr>
                <w:rFonts w:ascii="Arial" w:hAnsi="Arial" w:cs="Arial"/>
                <w:bCs/>
              </w:rPr>
            </w:pPr>
            <w:r w:rsidRPr="00285CD1">
              <w:rPr>
                <w:rFonts w:ascii="Arial" w:hAnsi="Arial" w:cs="Arial"/>
                <w:bCs/>
              </w:rPr>
              <w:t>Social well-being is strengthened by strong social networks within families and communities, fostering a sense of belonging, community connectedness, and active engagement. Communities that nurture these conditions are less likely to experience loneliness and isolation and are more resilient in the face of adversity and trauma.</w:t>
            </w:r>
            <w:r w:rsidR="00137CCB">
              <w:rPr>
                <w:rFonts w:ascii="Arial" w:hAnsi="Arial" w:cs="Arial"/>
                <w:bCs/>
              </w:rPr>
              <w:t xml:space="preserve"> </w:t>
            </w:r>
            <w:r w:rsidRPr="00285CD1">
              <w:rPr>
                <w:rFonts w:ascii="Arial" w:hAnsi="Arial" w:cs="Arial"/>
                <w:bCs/>
              </w:rPr>
              <w:t xml:space="preserve">Mental well-being is fundamental to our ability to handle daily challenges and practice self-care. Good mental well-being can mitigate the impact of wider determinants, while low mental well-being can exacerbate them. Individuals with high mental well-being are better equipped to promote their own health and that of their families and communities, practice self-care, and benefit from healthcare interventions. Conversely, low mental well-being can lead to ‘self-medication’ </w:t>
            </w:r>
            <w:proofErr w:type="gramStart"/>
            <w:r w:rsidRPr="00285CD1">
              <w:rPr>
                <w:rFonts w:ascii="Arial" w:hAnsi="Arial" w:cs="Arial"/>
                <w:bCs/>
              </w:rPr>
              <w:t>through the use of</w:t>
            </w:r>
            <w:proofErr w:type="gramEnd"/>
            <w:r w:rsidRPr="00285CD1">
              <w:rPr>
                <w:rFonts w:ascii="Arial" w:hAnsi="Arial" w:cs="Arial"/>
                <w:bCs/>
              </w:rPr>
              <w:t xml:space="preserve"> alcohol, drugs or food. This in turn increases the risk of health problems and a reduced likelihood of seeking help at an early stage or accessing preventative care.</w:t>
            </w:r>
          </w:p>
        </w:tc>
      </w:tr>
    </w:tbl>
    <w:p w14:paraId="58CA6AD9" w14:textId="77777777" w:rsidR="006B6E83" w:rsidRDefault="006B6E83" w:rsidP="00AA5338">
      <w:pPr>
        <w:rPr>
          <w:rFonts w:ascii="Arial" w:hAnsi="Arial" w:cs="Arial"/>
          <w:sz w:val="24"/>
          <w:szCs w:val="24"/>
        </w:rPr>
      </w:pPr>
    </w:p>
    <w:tbl>
      <w:tblPr>
        <w:tblStyle w:val="TableGrid1"/>
        <w:tblpPr w:leftFromText="180" w:rightFromText="180" w:vertAnchor="text" w:tblpX="-147" w:tblpY="1"/>
        <w:tblOverlap w:val="never"/>
        <w:tblW w:w="5082" w:type="pct"/>
        <w:tblInd w:w="0" w:type="dxa"/>
        <w:tblLook w:val="04A0" w:firstRow="1" w:lastRow="0" w:firstColumn="1" w:lastColumn="0" w:noHBand="0" w:noVBand="1"/>
      </w:tblPr>
      <w:tblGrid>
        <w:gridCol w:w="2121"/>
        <w:gridCol w:w="1016"/>
        <w:gridCol w:w="136"/>
        <w:gridCol w:w="429"/>
        <w:gridCol w:w="740"/>
        <w:gridCol w:w="1411"/>
        <w:gridCol w:w="62"/>
        <w:gridCol w:w="593"/>
        <w:gridCol w:w="1496"/>
        <w:gridCol w:w="2623"/>
      </w:tblGrid>
      <w:tr w:rsidR="006B6E83" w:rsidRPr="000C3B7B" w14:paraId="734A3486" w14:textId="77777777" w:rsidTr="002F4D40">
        <w:tc>
          <w:tcPr>
            <w:tcW w:w="5000" w:type="pct"/>
            <w:gridSpan w:val="10"/>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F98C856" w14:textId="77777777" w:rsidR="006B6E83" w:rsidRPr="006179A4" w:rsidRDefault="006B6E83" w:rsidP="002F4D40">
            <w:pPr>
              <w:rPr>
                <w:rFonts w:ascii="Arial" w:hAnsi="Arial"/>
              </w:rPr>
            </w:pPr>
            <w:r w:rsidRPr="006179A4">
              <w:rPr>
                <w:rFonts w:ascii="Arial" w:eastAsia="Times New Roman" w:hAnsi="Arial" w:cs="Arial"/>
                <w:b/>
                <w:bCs/>
              </w:rPr>
              <w:t xml:space="preserve">Priority area(s) to deliver 25/26:  </w:t>
            </w:r>
          </w:p>
        </w:tc>
      </w:tr>
      <w:tr w:rsidR="006B6E83" w:rsidRPr="000C3B7B" w14:paraId="28C3595D" w14:textId="77777777" w:rsidTr="002F4D40">
        <w:tc>
          <w:tcPr>
            <w:tcW w:w="1476" w:type="pct"/>
            <w:gridSpan w:val="2"/>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0CDFC1C" w14:textId="77777777" w:rsidR="006B6E83" w:rsidRPr="006179A4" w:rsidRDefault="006B6E83" w:rsidP="002F4D40">
            <w:pPr>
              <w:rPr>
                <w:rFonts w:ascii="Arial" w:eastAsia="Times New Roman" w:hAnsi="Arial" w:cs="Arial"/>
                <w:b/>
                <w:bCs/>
              </w:rPr>
            </w:pPr>
            <w:r w:rsidRPr="006179A4">
              <w:rPr>
                <w:rFonts w:ascii="Arial" w:hAnsi="Arial" w:cs="Arial"/>
                <w:b/>
                <w:bCs/>
              </w:rPr>
              <w:t>Key focus should be on delivering</w:t>
            </w:r>
          </w:p>
        </w:tc>
        <w:tc>
          <w:tcPr>
            <w:tcW w:w="3524" w:type="pct"/>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94D625C" w14:textId="2802C2FC" w:rsidR="006B6E83" w:rsidRPr="006B6E83" w:rsidRDefault="006B6E83" w:rsidP="002F4D40">
            <w:pPr>
              <w:rPr>
                <w:rFonts w:ascii="Arial" w:eastAsia="Times New Roman" w:hAnsi="Arial" w:cs="Arial"/>
                <w:sz w:val="28"/>
                <w:szCs w:val="28"/>
              </w:rPr>
            </w:pPr>
            <w:r w:rsidRPr="006B6E83">
              <w:rPr>
                <w:rFonts w:ascii="Arial" w:eastAsia="Times New Roman" w:hAnsi="Arial" w:cs="Arial"/>
                <w:sz w:val="28"/>
                <w:szCs w:val="28"/>
              </w:rPr>
              <w:t xml:space="preserve">Women’s Health </w:t>
            </w:r>
          </w:p>
        </w:tc>
      </w:tr>
      <w:tr w:rsidR="006B6E83" w:rsidRPr="000C3B7B" w14:paraId="59632D4D" w14:textId="77777777" w:rsidTr="002F4D40">
        <w:trPr>
          <w:trHeight w:val="112"/>
        </w:trPr>
        <w:tc>
          <w:tcPr>
            <w:tcW w:w="998" w:type="pct"/>
            <w:tcBorders>
              <w:top w:val="single" w:sz="4" w:space="0" w:color="auto"/>
              <w:left w:val="single" w:sz="4" w:space="0" w:color="auto"/>
              <w:bottom w:val="single" w:sz="4" w:space="0" w:color="auto"/>
              <w:right w:val="single" w:sz="4" w:space="0" w:color="auto"/>
            </w:tcBorders>
            <w:shd w:val="clear" w:color="auto" w:fill="000000" w:themeFill="text1"/>
          </w:tcPr>
          <w:p w14:paraId="6948000D" w14:textId="77777777" w:rsidR="006B6E83" w:rsidRPr="000C3B7B" w:rsidRDefault="006B6E83" w:rsidP="002F4D40">
            <w:pPr>
              <w:rPr>
                <w:rFonts w:ascii="Arial" w:hAnsi="Arial" w:cs="Arial"/>
                <w:b/>
                <w:bCs/>
              </w:rPr>
            </w:pPr>
          </w:p>
        </w:tc>
        <w:tc>
          <w:tcPr>
            <w:tcW w:w="542" w:type="pct"/>
            <w:gridSpan w:val="2"/>
            <w:tcBorders>
              <w:top w:val="single" w:sz="4" w:space="0" w:color="auto"/>
              <w:left w:val="single" w:sz="4" w:space="0" w:color="auto"/>
              <w:bottom w:val="single" w:sz="4" w:space="0" w:color="auto"/>
              <w:right w:val="single" w:sz="4" w:space="0" w:color="auto"/>
            </w:tcBorders>
            <w:shd w:val="clear" w:color="auto" w:fill="000000" w:themeFill="text1"/>
          </w:tcPr>
          <w:p w14:paraId="0A36E691" w14:textId="77777777" w:rsidR="006B6E83" w:rsidRPr="000C3B7B" w:rsidRDefault="006B6E83" w:rsidP="002F4D40">
            <w:pPr>
              <w:rPr>
                <w:rFonts w:ascii="Arial" w:hAnsi="Arial" w:cs="Arial"/>
                <w:b/>
                <w:bCs/>
              </w:rPr>
            </w:pPr>
          </w:p>
        </w:tc>
        <w:tc>
          <w:tcPr>
            <w:tcW w:w="550" w:type="pct"/>
            <w:gridSpan w:val="2"/>
            <w:tcBorders>
              <w:top w:val="single" w:sz="4" w:space="0" w:color="auto"/>
              <w:left w:val="single" w:sz="4" w:space="0" w:color="auto"/>
              <w:bottom w:val="single" w:sz="4" w:space="0" w:color="auto"/>
              <w:right w:val="single" w:sz="4" w:space="0" w:color="auto"/>
            </w:tcBorders>
            <w:shd w:val="clear" w:color="auto" w:fill="000000" w:themeFill="text1"/>
          </w:tcPr>
          <w:p w14:paraId="7737F51B" w14:textId="77777777" w:rsidR="006B6E83" w:rsidRPr="000C3B7B" w:rsidRDefault="006B6E83" w:rsidP="002F4D40">
            <w:pPr>
              <w:rPr>
                <w:rFonts w:ascii="Arial" w:hAnsi="Arial" w:cs="Arial"/>
                <w:i/>
                <w:iCs/>
              </w:rPr>
            </w:pPr>
          </w:p>
        </w:tc>
        <w:tc>
          <w:tcPr>
            <w:tcW w:w="972" w:type="pct"/>
            <w:gridSpan w:val="3"/>
            <w:tcBorders>
              <w:top w:val="single" w:sz="4" w:space="0" w:color="auto"/>
              <w:left w:val="single" w:sz="4" w:space="0" w:color="auto"/>
              <w:bottom w:val="single" w:sz="4" w:space="0" w:color="auto"/>
              <w:right w:val="single" w:sz="4" w:space="0" w:color="auto"/>
            </w:tcBorders>
            <w:shd w:val="clear" w:color="auto" w:fill="000000" w:themeFill="text1"/>
          </w:tcPr>
          <w:p w14:paraId="38C301FF" w14:textId="77777777" w:rsidR="006B6E83" w:rsidRPr="000C3B7B" w:rsidRDefault="006B6E83" w:rsidP="002F4D40">
            <w:pPr>
              <w:rPr>
                <w:rFonts w:ascii="Arial" w:hAnsi="Arial" w:cs="Arial"/>
                <w:i/>
                <w:iCs/>
              </w:rPr>
            </w:pPr>
          </w:p>
        </w:tc>
        <w:tc>
          <w:tcPr>
            <w:tcW w:w="1938" w:type="pct"/>
            <w:gridSpan w:val="2"/>
            <w:tcBorders>
              <w:top w:val="single" w:sz="4" w:space="0" w:color="auto"/>
              <w:left w:val="single" w:sz="4" w:space="0" w:color="auto"/>
              <w:bottom w:val="single" w:sz="4" w:space="0" w:color="auto"/>
              <w:right w:val="single" w:sz="4" w:space="0" w:color="auto"/>
            </w:tcBorders>
            <w:shd w:val="clear" w:color="auto" w:fill="000000" w:themeFill="text1"/>
          </w:tcPr>
          <w:p w14:paraId="2C3070C6" w14:textId="77777777" w:rsidR="006B6E83" w:rsidRPr="000C3B7B" w:rsidRDefault="006B6E83" w:rsidP="002F4D40">
            <w:pPr>
              <w:rPr>
                <w:rFonts w:ascii="Arial" w:hAnsi="Arial" w:cs="Arial"/>
                <w:i/>
                <w:iCs/>
              </w:rPr>
            </w:pPr>
          </w:p>
        </w:tc>
      </w:tr>
      <w:tr w:rsidR="006B6E83" w:rsidRPr="000C3B7B" w14:paraId="2FCEC989" w14:textId="77777777" w:rsidTr="002F4D40">
        <w:tc>
          <w:tcPr>
            <w:tcW w:w="998" w:type="pct"/>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CCDC6DA" w14:textId="77777777" w:rsidR="006B6E83" w:rsidRPr="000C3B7B" w:rsidRDefault="006B6E83" w:rsidP="002F4D40">
            <w:pPr>
              <w:rPr>
                <w:rFonts w:ascii="Arial" w:hAnsi="Arial" w:cs="Arial"/>
                <w:b/>
                <w:bCs/>
              </w:rPr>
            </w:pPr>
            <w:r>
              <w:rPr>
                <w:rFonts w:ascii="Arial" w:hAnsi="Arial" w:cs="Arial"/>
                <w:b/>
                <w:bCs/>
              </w:rPr>
              <w:t>R</w:t>
            </w:r>
            <w:r w:rsidRPr="000C3B7B">
              <w:rPr>
                <w:rFonts w:ascii="Arial" w:hAnsi="Arial" w:cs="Arial"/>
                <w:b/>
                <w:bCs/>
              </w:rPr>
              <w:t>ef:</w:t>
            </w:r>
          </w:p>
        </w:tc>
        <w:tc>
          <w:tcPr>
            <w:tcW w:w="4002" w:type="pct"/>
            <w:gridSpan w:val="9"/>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D5277E8" w14:textId="374C80B1" w:rsidR="006B6E83" w:rsidRPr="000C3B7B" w:rsidRDefault="00A135D7" w:rsidP="00A135D7">
            <w:pPr>
              <w:rPr>
                <w:rFonts w:ascii="Arial" w:hAnsi="Arial" w:cs="Arial"/>
                <w:b/>
                <w:iCs/>
              </w:rPr>
            </w:pPr>
            <w:r w:rsidRPr="00A135D7">
              <w:rPr>
                <w:rFonts w:ascii="Arial" w:hAnsi="Arial" w:cs="Arial"/>
                <w:bCs/>
                <w:sz w:val="24"/>
                <w:szCs w:val="24"/>
              </w:rPr>
              <w:t>New Ministerial Priority</w:t>
            </w:r>
          </w:p>
        </w:tc>
      </w:tr>
      <w:tr w:rsidR="006B6E83" w:rsidRPr="000C3B7B" w14:paraId="7CBDDBF1" w14:textId="77777777" w:rsidTr="00A135D7">
        <w:trPr>
          <w:trHeight w:val="222"/>
        </w:trPr>
        <w:tc>
          <w:tcPr>
            <w:tcW w:w="5000" w:type="pct"/>
            <w:gridSpan w:val="10"/>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B79DA71" w14:textId="77777777" w:rsidR="006B6E83" w:rsidRPr="00831227" w:rsidRDefault="006B6E83" w:rsidP="002F4D40">
            <w:pPr>
              <w:rPr>
                <w:rFonts w:ascii="Arial" w:hAnsi="Arial" w:cs="Arial"/>
                <w:b/>
                <w:bCs/>
              </w:rPr>
            </w:pPr>
            <w:r>
              <w:rPr>
                <w:rFonts w:ascii="Arial" w:hAnsi="Arial" w:cs="Arial"/>
                <w:b/>
                <w:bCs/>
              </w:rPr>
              <w:t xml:space="preserve">Planned milestones for </w:t>
            </w:r>
            <w:r w:rsidRPr="00831227">
              <w:rPr>
                <w:rFonts w:ascii="Arial" w:hAnsi="Arial" w:cs="Arial"/>
                <w:b/>
                <w:bCs/>
              </w:rPr>
              <w:t>Priority area to deliver 2025/26</w:t>
            </w:r>
          </w:p>
        </w:tc>
      </w:tr>
      <w:tr w:rsidR="006B6E83" w:rsidRPr="000C3B7B" w14:paraId="34D4A017" w14:textId="77777777" w:rsidTr="002F4D40">
        <w:tc>
          <w:tcPr>
            <w:tcW w:w="9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AABA3EA" w14:textId="77777777" w:rsidR="006B6E83" w:rsidRPr="003A420C" w:rsidRDefault="006B6E83" w:rsidP="002F4D40">
            <w:pPr>
              <w:rPr>
                <w:rFonts w:ascii="Arial" w:hAnsi="Arial" w:cs="Arial"/>
              </w:rPr>
            </w:pPr>
          </w:p>
        </w:tc>
        <w:tc>
          <w:tcPr>
            <w:tcW w:w="744" w:type="pct"/>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5BC091F" w14:textId="77777777" w:rsidR="006B6E83" w:rsidRPr="000C3B7B" w:rsidRDefault="006B6E83" w:rsidP="002F4D40">
            <w:pPr>
              <w:rPr>
                <w:rFonts w:ascii="Arial" w:hAnsi="Arial" w:cs="Arial"/>
                <w:b/>
                <w:bCs/>
              </w:rPr>
            </w:pPr>
            <w:r w:rsidRPr="00506635">
              <w:rPr>
                <w:rFonts w:ascii="Arial" w:hAnsi="Arial" w:cs="Arial"/>
                <w:b/>
                <w:bCs/>
              </w:rPr>
              <w:t>Quarter 1</w:t>
            </w:r>
          </w:p>
        </w:tc>
        <w:tc>
          <w:tcPr>
            <w:tcW w:w="101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9B6BE2E" w14:textId="77777777" w:rsidR="006B6E83" w:rsidRPr="000C3B7B" w:rsidRDefault="006B6E83" w:rsidP="002F4D40">
            <w:pPr>
              <w:rPr>
                <w:rFonts w:ascii="Arial" w:hAnsi="Arial" w:cs="Arial"/>
                <w:b/>
                <w:bCs/>
              </w:rPr>
            </w:pPr>
            <w:r w:rsidRPr="00506635">
              <w:rPr>
                <w:rFonts w:ascii="Arial" w:hAnsi="Arial" w:cs="Arial"/>
                <w:b/>
                <w:bCs/>
              </w:rPr>
              <w:t>Quarter 2</w:t>
            </w:r>
          </w:p>
        </w:tc>
        <w:tc>
          <w:tcPr>
            <w:tcW w:w="1012" w:type="pct"/>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2AAD555" w14:textId="77777777" w:rsidR="006B6E83" w:rsidRPr="000C3B7B" w:rsidRDefault="006B6E83" w:rsidP="002F4D40">
            <w:pPr>
              <w:rPr>
                <w:rFonts w:ascii="Arial" w:hAnsi="Arial" w:cs="Arial"/>
                <w:b/>
                <w:bCs/>
              </w:rPr>
            </w:pPr>
            <w:r w:rsidRPr="00506635">
              <w:rPr>
                <w:rFonts w:ascii="Arial" w:hAnsi="Arial" w:cs="Arial"/>
                <w:b/>
                <w:bCs/>
              </w:rPr>
              <w:t>Quarter 3</w:t>
            </w:r>
          </w:p>
        </w:tc>
        <w:tc>
          <w:tcPr>
            <w:tcW w:w="1234"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C709EC" w14:textId="77777777" w:rsidR="006B6E83" w:rsidRPr="000C3B7B" w:rsidRDefault="006B6E83" w:rsidP="002F4D40">
            <w:pPr>
              <w:rPr>
                <w:rFonts w:ascii="Arial" w:hAnsi="Arial" w:cs="Arial"/>
                <w:b/>
                <w:bCs/>
              </w:rPr>
            </w:pPr>
            <w:r w:rsidRPr="00506635">
              <w:rPr>
                <w:rFonts w:ascii="Arial" w:hAnsi="Arial" w:cs="Arial"/>
                <w:b/>
                <w:bCs/>
              </w:rPr>
              <w:t>Quarter 4</w:t>
            </w:r>
          </w:p>
        </w:tc>
      </w:tr>
      <w:tr w:rsidR="006B6E83" w:rsidRPr="00462482" w14:paraId="68F783F3" w14:textId="77777777" w:rsidTr="002F4D40">
        <w:tc>
          <w:tcPr>
            <w:tcW w:w="998"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C0E67D9" w14:textId="77777777" w:rsidR="006B6E83" w:rsidRPr="003A420C" w:rsidRDefault="006B6E83" w:rsidP="002F4D40">
            <w:pPr>
              <w:rPr>
                <w:rFonts w:ascii="Arial" w:hAnsi="Arial" w:cs="Arial"/>
              </w:rPr>
            </w:pPr>
          </w:p>
          <w:p w14:paraId="2FB2D357" w14:textId="77777777" w:rsidR="006B6E83" w:rsidRPr="003A420C" w:rsidRDefault="006B6E83" w:rsidP="002F4D40">
            <w:pPr>
              <w:rPr>
                <w:rFonts w:ascii="Arial" w:hAnsi="Arial" w:cs="Arial"/>
                <w:b/>
                <w:bCs/>
              </w:rPr>
            </w:pPr>
            <w:r w:rsidRPr="003A420C">
              <w:rPr>
                <w:rFonts w:ascii="Arial" w:hAnsi="Arial" w:cs="Arial"/>
                <w:b/>
                <w:bCs/>
              </w:rPr>
              <w:t>Ref:</w:t>
            </w:r>
          </w:p>
        </w:tc>
        <w:tc>
          <w:tcPr>
            <w:tcW w:w="744" w:type="pct"/>
            <w:gridSpan w:val="3"/>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A626C78" w14:textId="77777777" w:rsidR="006B6E83" w:rsidRPr="000C3B7B" w:rsidRDefault="006B6E83" w:rsidP="002F4D40">
            <w:pPr>
              <w:rPr>
                <w:rFonts w:ascii="Arial" w:hAnsi="Arial" w:cs="Arial"/>
                <w:b/>
                <w:bCs/>
              </w:rPr>
            </w:pPr>
          </w:p>
        </w:tc>
        <w:tc>
          <w:tcPr>
            <w:tcW w:w="101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E83CD1" w14:textId="77777777" w:rsidR="006B6E83" w:rsidRPr="000C3B7B" w:rsidRDefault="006B6E83" w:rsidP="002F4D40">
            <w:pPr>
              <w:rPr>
                <w:rFonts w:ascii="Arial" w:hAnsi="Arial" w:cs="Arial"/>
                <w:b/>
                <w:bCs/>
              </w:rPr>
            </w:pPr>
          </w:p>
        </w:tc>
        <w:tc>
          <w:tcPr>
            <w:tcW w:w="1012" w:type="pct"/>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3804BA" w14:textId="4FAFDE09" w:rsidR="006B6E83" w:rsidRPr="004A036A" w:rsidRDefault="00462482" w:rsidP="002F4D40">
            <w:pPr>
              <w:rPr>
                <w:rFonts w:ascii="Arial" w:hAnsi="Arial" w:cs="Arial"/>
                <w:sz w:val="20"/>
                <w:szCs w:val="20"/>
              </w:rPr>
            </w:pPr>
            <w:r w:rsidRPr="004A036A">
              <w:rPr>
                <w:rFonts w:ascii="Arial" w:hAnsi="Arial" w:cs="Arial"/>
                <w:sz w:val="20"/>
                <w:szCs w:val="20"/>
              </w:rPr>
              <w:t>Implemented provision of MRI surveillance for women identified at very high risk of breast cancer across Wales</w:t>
            </w:r>
            <w:r w:rsidR="00D7633E">
              <w:rPr>
                <w:rFonts w:ascii="Arial" w:hAnsi="Arial" w:cs="Arial"/>
                <w:sz w:val="20"/>
                <w:szCs w:val="20"/>
              </w:rPr>
              <w:t>. (SO5.4)</w:t>
            </w:r>
          </w:p>
          <w:p w14:paraId="5843424B" w14:textId="77777777" w:rsidR="004A036A" w:rsidRPr="004A036A" w:rsidRDefault="004A036A" w:rsidP="002F4D40">
            <w:pPr>
              <w:rPr>
                <w:rFonts w:ascii="Arial" w:hAnsi="Arial" w:cs="Arial"/>
                <w:sz w:val="20"/>
                <w:szCs w:val="20"/>
              </w:rPr>
            </w:pPr>
          </w:p>
          <w:p w14:paraId="6471F644" w14:textId="11DA52E8" w:rsidR="004A036A" w:rsidRPr="004A036A" w:rsidRDefault="004A036A" w:rsidP="002F4D40">
            <w:pPr>
              <w:rPr>
                <w:rFonts w:ascii="Arial" w:hAnsi="Arial" w:cs="Arial"/>
                <w:sz w:val="20"/>
                <w:szCs w:val="20"/>
              </w:rPr>
            </w:pPr>
            <w:r w:rsidRPr="004A036A">
              <w:rPr>
                <w:rFonts w:ascii="Arial" w:hAnsi="Arial" w:cs="Arial"/>
                <w:sz w:val="20"/>
                <w:szCs w:val="20"/>
              </w:rPr>
              <w:t xml:space="preserve">Informed the development of a collaborative workstream on postnatal health and wellbeing, with the </w:t>
            </w:r>
            <w:r w:rsidRPr="004A036A">
              <w:rPr>
                <w:rFonts w:ascii="Arial" w:hAnsi="Arial" w:cs="Arial"/>
                <w:sz w:val="20"/>
                <w:szCs w:val="20"/>
              </w:rPr>
              <w:lastRenderedPageBreak/>
              <w:t>NHS Exec and Clinical Networks, aligned to the priorities identified in the Women's Health Plan</w:t>
            </w:r>
            <w:r w:rsidR="00BF57CE">
              <w:rPr>
                <w:rFonts w:ascii="Arial" w:hAnsi="Arial" w:cs="Arial"/>
                <w:sz w:val="20"/>
                <w:szCs w:val="20"/>
              </w:rPr>
              <w:t xml:space="preserve"> (SO4.1)</w:t>
            </w:r>
          </w:p>
        </w:tc>
        <w:tc>
          <w:tcPr>
            <w:tcW w:w="1234"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1A6EDB8" w14:textId="48042032" w:rsidR="002E26E7" w:rsidRDefault="002E26E7" w:rsidP="00462482">
            <w:pPr>
              <w:rPr>
                <w:rFonts w:ascii="Arial" w:hAnsi="Arial" w:cs="Arial"/>
                <w:sz w:val="20"/>
                <w:szCs w:val="20"/>
              </w:rPr>
            </w:pPr>
            <w:r>
              <w:rPr>
                <w:rFonts w:ascii="Arial" w:hAnsi="Arial" w:cs="Arial"/>
                <w:sz w:val="20"/>
                <w:szCs w:val="20"/>
              </w:rPr>
              <w:lastRenderedPageBreak/>
              <w:t xml:space="preserve">Delivery of key short term actions </w:t>
            </w:r>
            <w:r w:rsidR="00C00857">
              <w:rPr>
                <w:rFonts w:ascii="Arial" w:hAnsi="Arial" w:cs="Arial"/>
                <w:sz w:val="20"/>
                <w:szCs w:val="20"/>
              </w:rPr>
              <w:t xml:space="preserve">with key partners </w:t>
            </w:r>
            <w:r>
              <w:rPr>
                <w:rFonts w:ascii="Arial" w:hAnsi="Arial" w:cs="Arial"/>
                <w:sz w:val="20"/>
                <w:szCs w:val="20"/>
              </w:rPr>
              <w:t xml:space="preserve">in the Women’s Health Plan </w:t>
            </w:r>
          </w:p>
          <w:p w14:paraId="01C28076" w14:textId="77777777" w:rsidR="002E26E7" w:rsidRDefault="002E26E7" w:rsidP="00462482">
            <w:pPr>
              <w:rPr>
                <w:rFonts w:ascii="Arial" w:hAnsi="Arial" w:cs="Arial"/>
                <w:sz w:val="20"/>
                <w:szCs w:val="20"/>
              </w:rPr>
            </w:pPr>
          </w:p>
          <w:p w14:paraId="54AF308B" w14:textId="3648F03A" w:rsidR="00462482" w:rsidRPr="004A036A" w:rsidRDefault="00462482" w:rsidP="00462482">
            <w:pPr>
              <w:rPr>
                <w:rFonts w:ascii="Arial" w:hAnsi="Arial" w:cs="Arial"/>
                <w:sz w:val="20"/>
                <w:szCs w:val="20"/>
              </w:rPr>
            </w:pPr>
            <w:r w:rsidRPr="004A036A">
              <w:rPr>
                <w:rFonts w:ascii="Arial" w:hAnsi="Arial" w:cs="Arial"/>
                <w:sz w:val="20"/>
                <w:szCs w:val="20"/>
              </w:rPr>
              <w:t>Enhance formal quality assurance processes in Antenatal Screening Wales to provide assurance of the delivery of consistent high quality screening services to all pregnant women and people</w:t>
            </w:r>
            <w:r w:rsidR="00E4525A">
              <w:rPr>
                <w:rFonts w:ascii="Arial" w:hAnsi="Arial" w:cs="Arial"/>
                <w:sz w:val="20"/>
                <w:szCs w:val="20"/>
              </w:rPr>
              <w:t>. (SO5.4)</w:t>
            </w:r>
          </w:p>
          <w:p w14:paraId="5FE62E38" w14:textId="77777777" w:rsidR="00462482" w:rsidRPr="004A036A" w:rsidRDefault="00462482" w:rsidP="00462482">
            <w:pPr>
              <w:rPr>
                <w:rFonts w:ascii="Arial" w:hAnsi="Arial" w:cs="Arial"/>
                <w:sz w:val="20"/>
                <w:szCs w:val="20"/>
              </w:rPr>
            </w:pPr>
          </w:p>
          <w:p w14:paraId="1C87FF80" w14:textId="45D83D39" w:rsidR="00462482" w:rsidRPr="004A036A" w:rsidRDefault="00462482" w:rsidP="00462482">
            <w:pPr>
              <w:rPr>
                <w:rFonts w:ascii="Arial" w:hAnsi="Arial" w:cs="Arial"/>
                <w:sz w:val="20"/>
                <w:szCs w:val="20"/>
              </w:rPr>
            </w:pPr>
            <w:r w:rsidRPr="004A036A">
              <w:rPr>
                <w:rFonts w:ascii="Arial" w:hAnsi="Arial" w:cs="Arial"/>
                <w:sz w:val="20"/>
                <w:szCs w:val="20"/>
              </w:rPr>
              <w:t>Continued work to scope options for introduction of self-sampling in Cervical Screening Wales, to improve uptake and reduce inequity</w:t>
            </w:r>
            <w:r w:rsidR="00646493">
              <w:rPr>
                <w:rFonts w:ascii="Arial" w:hAnsi="Arial" w:cs="Arial"/>
                <w:sz w:val="20"/>
                <w:szCs w:val="20"/>
              </w:rPr>
              <w:t xml:space="preserve"> (SO5.4)</w:t>
            </w:r>
          </w:p>
          <w:p w14:paraId="28618D38" w14:textId="77777777" w:rsidR="00462482" w:rsidRPr="004A036A" w:rsidRDefault="00462482" w:rsidP="00462482">
            <w:pPr>
              <w:rPr>
                <w:rFonts w:ascii="Arial" w:hAnsi="Arial" w:cs="Arial"/>
                <w:sz w:val="20"/>
                <w:szCs w:val="20"/>
              </w:rPr>
            </w:pPr>
          </w:p>
          <w:p w14:paraId="41736E44" w14:textId="0BE90928" w:rsidR="00462482" w:rsidRPr="004A036A" w:rsidRDefault="00462482" w:rsidP="00462482">
            <w:pPr>
              <w:rPr>
                <w:rFonts w:ascii="Arial" w:hAnsi="Arial" w:cs="Arial"/>
                <w:sz w:val="20"/>
                <w:szCs w:val="20"/>
              </w:rPr>
            </w:pPr>
            <w:r w:rsidRPr="004A036A">
              <w:rPr>
                <w:rFonts w:ascii="Arial" w:hAnsi="Arial" w:cs="Arial"/>
                <w:sz w:val="20"/>
                <w:szCs w:val="20"/>
              </w:rPr>
              <w:t>Implementation of electronic test requests for cervical screening samples</w:t>
            </w:r>
            <w:r w:rsidR="00301EDF">
              <w:rPr>
                <w:rFonts w:ascii="Arial" w:hAnsi="Arial" w:cs="Arial"/>
                <w:sz w:val="20"/>
                <w:szCs w:val="20"/>
              </w:rPr>
              <w:t xml:space="preserve"> (SO5.4)</w:t>
            </w:r>
          </w:p>
          <w:p w14:paraId="045A0724" w14:textId="77777777" w:rsidR="00462482" w:rsidRPr="004A036A" w:rsidRDefault="00462482" w:rsidP="00462482">
            <w:pPr>
              <w:rPr>
                <w:rFonts w:ascii="Arial" w:hAnsi="Arial" w:cs="Arial"/>
                <w:sz w:val="20"/>
                <w:szCs w:val="20"/>
              </w:rPr>
            </w:pPr>
          </w:p>
          <w:p w14:paraId="03016E77" w14:textId="7915B78F" w:rsidR="00B47A40" w:rsidRPr="004A036A" w:rsidRDefault="00462482" w:rsidP="002F4D40">
            <w:pPr>
              <w:rPr>
                <w:rFonts w:ascii="Arial" w:hAnsi="Arial" w:cs="Arial"/>
                <w:sz w:val="20"/>
                <w:szCs w:val="20"/>
              </w:rPr>
            </w:pPr>
            <w:r w:rsidRPr="004A036A">
              <w:rPr>
                <w:rFonts w:ascii="Arial" w:hAnsi="Arial" w:cs="Arial"/>
                <w:sz w:val="20"/>
                <w:szCs w:val="20"/>
              </w:rPr>
              <w:t>Development of new Cervical Screening Wales Audit of Cervical Cancer (CSWACC) database to replace existing system, to include streamlining data collation from other sources (e.g. pathology, colposcopy).</w:t>
            </w:r>
            <w:r w:rsidR="0040754A">
              <w:rPr>
                <w:rFonts w:ascii="Arial" w:hAnsi="Arial" w:cs="Arial"/>
                <w:sz w:val="20"/>
                <w:szCs w:val="20"/>
              </w:rPr>
              <w:t xml:space="preserve"> (SO5.4)</w:t>
            </w:r>
          </w:p>
        </w:tc>
      </w:tr>
      <w:tr w:rsidR="006B6E83" w:rsidRPr="000C3B7B" w14:paraId="137F83C7" w14:textId="77777777" w:rsidTr="002F4D40">
        <w:tc>
          <w:tcPr>
            <w:tcW w:w="5000" w:type="pct"/>
            <w:gridSpan w:val="10"/>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8DEE5F" w14:textId="77777777" w:rsidR="006B6E83" w:rsidRDefault="006B6E83" w:rsidP="002F4D40">
            <w:pPr>
              <w:rPr>
                <w:rFonts w:ascii="Arial" w:hAnsi="Arial" w:cs="Arial"/>
                <w:b/>
                <w:bCs/>
              </w:rPr>
            </w:pPr>
            <w:r w:rsidRPr="003A420C">
              <w:rPr>
                <w:rFonts w:ascii="Arial" w:hAnsi="Arial" w:cs="Arial"/>
                <w:b/>
                <w:bCs/>
              </w:rPr>
              <w:lastRenderedPageBreak/>
              <w:t>Overarching outcome measures/ metrics:</w:t>
            </w:r>
          </w:p>
          <w:p w14:paraId="6D26C334" w14:textId="77777777" w:rsidR="00AC47F7" w:rsidRDefault="00AC47F7" w:rsidP="002F4D40">
            <w:pPr>
              <w:rPr>
                <w:rFonts w:ascii="Arial" w:hAnsi="Arial" w:cs="Arial"/>
                <w:b/>
                <w:bCs/>
              </w:rPr>
            </w:pPr>
          </w:p>
          <w:p w14:paraId="52CDAB01" w14:textId="1B592B86" w:rsidR="00AC47F7" w:rsidRPr="00AC47F7" w:rsidRDefault="00AC47F7" w:rsidP="002F4D40">
            <w:pPr>
              <w:rPr>
                <w:rFonts w:ascii="Arial" w:hAnsi="Arial" w:cs="Arial"/>
              </w:rPr>
            </w:pPr>
            <w:r w:rsidRPr="00AC47F7">
              <w:rPr>
                <w:rFonts w:ascii="Arial" w:hAnsi="Arial" w:cs="Arial"/>
              </w:rPr>
              <w:t>We will work to support the achievement of the following systems wide outcomes:</w:t>
            </w:r>
          </w:p>
          <w:p w14:paraId="68EB2AC4" w14:textId="77777777" w:rsidR="006B6E83" w:rsidRDefault="006B6E83" w:rsidP="00FC28EF">
            <w:pPr>
              <w:rPr>
                <w:rFonts w:ascii="Arial" w:hAnsi="Arial" w:cs="Arial"/>
              </w:rPr>
            </w:pPr>
          </w:p>
          <w:p w14:paraId="20D4932C" w14:textId="77777777" w:rsidR="00FC28EF" w:rsidRPr="00B000F9" w:rsidRDefault="00FC28EF" w:rsidP="00FC28EF">
            <w:pPr>
              <w:pStyle w:val="NormalText"/>
              <w:numPr>
                <w:ilvl w:val="1"/>
                <w:numId w:val="23"/>
              </w:numPr>
              <w:spacing w:after="0"/>
              <w:ind w:left="1080" w:right="-249"/>
              <w:jc w:val="both"/>
              <w:rPr>
                <w:rFonts w:ascii="Arial" w:eastAsiaTheme="minorHAnsi" w:hAnsi="Arial" w:cs="Arial"/>
                <w:b/>
                <w:color w:val="auto"/>
                <w:sz w:val="22"/>
              </w:rPr>
            </w:pPr>
            <w:r w:rsidRPr="00B000F9">
              <w:rPr>
                <w:rFonts w:ascii="Arial" w:eastAsiaTheme="minorHAnsi" w:hAnsi="Arial" w:cs="Arial"/>
                <w:b/>
                <w:bCs/>
                <w:color w:val="auto"/>
                <w:sz w:val="22"/>
              </w:rPr>
              <w:t>HPV coverage at age 15 (</w:t>
            </w:r>
            <w:r w:rsidRPr="00B000F9">
              <w:rPr>
                <w:rFonts w:ascii="Arial" w:eastAsiaTheme="minorHAnsi" w:hAnsi="Arial" w:cs="Arial"/>
                <w:b/>
                <w:color w:val="auto"/>
                <w:sz w:val="22"/>
              </w:rPr>
              <w:t>2023/24, coverage of the one-dose course of HPV vaccination was 74.1% in children turning 15</w:t>
            </w:r>
            <w:r w:rsidRPr="00B000F9">
              <w:rPr>
                <w:rFonts w:ascii="Arial" w:eastAsiaTheme="minorHAnsi" w:hAnsi="Arial" w:cs="Arial"/>
                <w:b/>
                <w:bCs/>
                <w:color w:val="auto"/>
                <w:sz w:val="22"/>
              </w:rPr>
              <w:t>.)</w:t>
            </w:r>
          </w:p>
          <w:p w14:paraId="31FEB556" w14:textId="055CAE0F" w:rsidR="00FC28EF" w:rsidRPr="003A420C" w:rsidRDefault="00FC28EF" w:rsidP="00FC28EF">
            <w:pPr>
              <w:pStyle w:val="NormalText"/>
              <w:numPr>
                <w:ilvl w:val="1"/>
                <w:numId w:val="23"/>
              </w:numPr>
              <w:spacing w:after="0"/>
              <w:ind w:left="1080" w:right="-249"/>
              <w:jc w:val="both"/>
              <w:rPr>
                <w:rFonts w:ascii="Arial" w:hAnsi="Arial" w:cs="Arial"/>
              </w:rPr>
            </w:pPr>
            <w:r w:rsidRPr="00FC28EF">
              <w:rPr>
                <w:rFonts w:ascii="Arial" w:eastAsiaTheme="minorHAnsi" w:hAnsi="Arial" w:cs="Arial"/>
                <w:b/>
                <w:bCs/>
                <w:color w:val="auto"/>
                <w:sz w:val="22"/>
              </w:rPr>
              <w:t>Increased proportion of cancers detected at an early stage</w:t>
            </w:r>
          </w:p>
        </w:tc>
      </w:tr>
      <w:tr w:rsidR="006B6E83" w:rsidRPr="000C3B7B" w14:paraId="1CEB4225" w14:textId="77777777" w:rsidTr="002F4D40">
        <w:trPr>
          <w:trHeight w:val="370"/>
        </w:trPr>
        <w:tc>
          <w:tcPr>
            <w:tcW w:w="998" w:type="pct"/>
            <w:vMerge w:val="restart"/>
            <w:tcBorders>
              <w:top w:val="single" w:sz="4" w:space="0" w:color="auto"/>
              <w:left w:val="single" w:sz="4" w:space="0" w:color="auto"/>
              <w:right w:val="single" w:sz="4" w:space="0" w:color="auto"/>
            </w:tcBorders>
            <w:shd w:val="clear" w:color="auto" w:fill="FFE599" w:themeFill="accent4" w:themeFillTint="66"/>
            <w:vAlign w:val="center"/>
          </w:tcPr>
          <w:p w14:paraId="52ABD013" w14:textId="77777777" w:rsidR="006B6E83" w:rsidRPr="000C3B7B" w:rsidRDefault="006B6E83" w:rsidP="002F4D40">
            <w:pPr>
              <w:rPr>
                <w:rFonts w:ascii="Arial" w:hAnsi="Arial" w:cs="Arial"/>
                <w:b/>
              </w:rPr>
            </w:pPr>
            <w:r>
              <w:rPr>
                <w:rFonts w:ascii="Arial" w:hAnsi="Arial" w:cs="Arial"/>
                <w:b/>
              </w:rPr>
              <w:t>Risks</w:t>
            </w:r>
          </w:p>
        </w:tc>
        <w:tc>
          <w:tcPr>
            <w:tcW w:w="1785" w:type="pct"/>
            <w:gridSpan w:val="6"/>
            <w:tcBorders>
              <w:top w:val="single" w:sz="4" w:space="0" w:color="auto"/>
              <w:left w:val="single" w:sz="4" w:space="0" w:color="auto"/>
              <w:right w:val="single" w:sz="4" w:space="0" w:color="auto"/>
            </w:tcBorders>
            <w:shd w:val="clear" w:color="auto" w:fill="FFE599" w:themeFill="accent4" w:themeFillTint="66"/>
            <w:vAlign w:val="center"/>
          </w:tcPr>
          <w:p w14:paraId="245A5480" w14:textId="77777777" w:rsidR="006B6E83" w:rsidRPr="000C3B7B" w:rsidRDefault="006B6E83" w:rsidP="002F4D40">
            <w:pPr>
              <w:rPr>
                <w:rFonts w:ascii="Arial" w:hAnsi="Arial" w:cs="Arial"/>
                <w:b/>
              </w:rPr>
            </w:pPr>
            <w:r w:rsidRPr="000C3B7B">
              <w:rPr>
                <w:rFonts w:ascii="Arial" w:hAnsi="Arial" w:cs="Arial"/>
                <w:b/>
              </w:rPr>
              <w:t xml:space="preserve">Risks </w:t>
            </w:r>
            <w:r>
              <w:rPr>
                <w:rFonts w:ascii="Arial" w:hAnsi="Arial" w:cs="Arial"/>
                <w:b/>
              </w:rPr>
              <w:t xml:space="preserve">of </w:t>
            </w:r>
            <w:proofErr w:type="gramStart"/>
            <w:r w:rsidRPr="000C3B7B">
              <w:rPr>
                <w:rFonts w:ascii="Arial" w:hAnsi="Arial" w:cs="Arial"/>
                <w:b/>
              </w:rPr>
              <w:t>Non-Delivery</w:t>
            </w:r>
            <w:proofErr w:type="gramEnd"/>
          </w:p>
        </w:tc>
        <w:tc>
          <w:tcPr>
            <w:tcW w:w="2217" w:type="pct"/>
            <w:gridSpan w:val="3"/>
            <w:tcBorders>
              <w:top w:val="single" w:sz="4" w:space="0" w:color="auto"/>
              <w:left w:val="single" w:sz="4" w:space="0" w:color="auto"/>
              <w:right w:val="single" w:sz="4" w:space="0" w:color="auto"/>
            </w:tcBorders>
            <w:shd w:val="clear" w:color="auto" w:fill="FFE599" w:themeFill="accent4" w:themeFillTint="66"/>
            <w:vAlign w:val="center"/>
          </w:tcPr>
          <w:p w14:paraId="3868860C" w14:textId="77777777" w:rsidR="006B6E83" w:rsidRPr="000C3B7B" w:rsidRDefault="006B6E83" w:rsidP="002F4D40">
            <w:pPr>
              <w:rPr>
                <w:rFonts w:ascii="Arial" w:hAnsi="Arial" w:cs="Arial"/>
                <w:b/>
              </w:rPr>
            </w:pPr>
            <w:r w:rsidRPr="000C3B7B">
              <w:rPr>
                <w:rFonts w:ascii="Arial" w:hAnsi="Arial" w:cs="Arial"/>
                <w:b/>
              </w:rPr>
              <w:t>Mitigations</w:t>
            </w:r>
          </w:p>
        </w:tc>
      </w:tr>
      <w:tr w:rsidR="002132A8" w:rsidRPr="000C3B7B" w14:paraId="15C9D169" w14:textId="77777777" w:rsidTr="002132A8">
        <w:trPr>
          <w:trHeight w:val="370"/>
        </w:trPr>
        <w:tc>
          <w:tcPr>
            <w:tcW w:w="998" w:type="pct"/>
            <w:vMerge/>
            <w:tcBorders>
              <w:left w:val="single" w:sz="4" w:space="0" w:color="auto"/>
              <w:right w:val="single" w:sz="4" w:space="0" w:color="auto"/>
            </w:tcBorders>
            <w:shd w:val="clear" w:color="auto" w:fill="FFE599" w:themeFill="accent4" w:themeFillTint="66"/>
            <w:vAlign w:val="center"/>
          </w:tcPr>
          <w:p w14:paraId="0855395F" w14:textId="77777777" w:rsidR="002132A8" w:rsidRPr="000C3B7B" w:rsidRDefault="002132A8" w:rsidP="002F4D40">
            <w:pPr>
              <w:rPr>
                <w:rFonts w:ascii="Arial" w:hAnsi="Arial" w:cs="Arial"/>
                <w:b/>
              </w:rPr>
            </w:pPr>
          </w:p>
        </w:tc>
        <w:tc>
          <w:tcPr>
            <w:tcW w:w="4002" w:type="pct"/>
            <w:gridSpan w:val="9"/>
            <w:tcBorders>
              <w:top w:val="single" w:sz="4" w:space="0" w:color="auto"/>
              <w:left w:val="single" w:sz="4" w:space="0" w:color="auto"/>
              <w:right w:val="single" w:sz="4" w:space="0" w:color="auto"/>
            </w:tcBorders>
            <w:shd w:val="clear" w:color="auto" w:fill="FFF2CC" w:themeFill="accent4" w:themeFillTint="33"/>
            <w:vAlign w:val="center"/>
          </w:tcPr>
          <w:p w14:paraId="6FBF37BA" w14:textId="16DF0336" w:rsidR="002132A8" w:rsidRPr="000C3B7B" w:rsidRDefault="002132A8" w:rsidP="002F4D40">
            <w:pPr>
              <w:rPr>
                <w:rFonts w:ascii="Arial" w:hAnsi="Arial" w:cs="Arial"/>
                <w:b/>
              </w:rPr>
            </w:pPr>
            <w:r w:rsidRPr="00FB50AF">
              <w:rPr>
                <w:rFonts w:ascii="Arial" w:hAnsi="Arial" w:cs="Arial"/>
                <w:bCs/>
              </w:rPr>
              <w:t>Detail on our refreshed strategic risks that have been identified is provided within our Risk section of our IMTP (section 4.4)</w:t>
            </w:r>
          </w:p>
        </w:tc>
      </w:tr>
      <w:tr w:rsidR="00304DFD" w:rsidRPr="000C3B7B" w14:paraId="2BD44CEB" w14:textId="77777777" w:rsidTr="002F4D40">
        <w:trPr>
          <w:trHeight w:val="370"/>
        </w:trPr>
        <w:tc>
          <w:tcPr>
            <w:tcW w:w="998" w:type="pct"/>
            <w:vMerge w:val="restart"/>
            <w:tcBorders>
              <w:top w:val="single" w:sz="4" w:space="0" w:color="auto"/>
              <w:left w:val="single" w:sz="4" w:space="0" w:color="auto"/>
              <w:right w:val="single" w:sz="4" w:space="0" w:color="auto"/>
            </w:tcBorders>
            <w:shd w:val="clear" w:color="auto" w:fill="FFE599" w:themeFill="accent4" w:themeFillTint="66"/>
            <w:vAlign w:val="center"/>
          </w:tcPr>
          <w:p w14:paraId="61262BD5" w14:textId="77777777" w:rsidR="00304DFD" w:rsidRPr="000C3B7B" w:rsidRDefault="00304DFD" w:rsidP="00304DFD">
            <w:pPr>
              <w:rPr>
                <w:rFonts w:ascii="Arial" w:hAnsi="Arial" w:cs="Arial"/>
                <w:b/>
              </w:rPr>
            </w:pPr>
            <w:r w:rsidRPr="000C3B7B">
              <w:rPr>
                <w:rFonts w:ascii="Arial" w:hAnsi="Arial" w:cs="Arial"/>
                <w:b/>
              </w:rPr>
              <w:t>Critical Enablers</w:t>
            </w:r>
          </w:p>
        </w:tc>
        <w:tc>
          <w:tcPr>
            <w:tcW w:w="4002" w:type="pct"/>
            <w:gridSpan w:val="9"/>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06C7514" w14:textId="2B6D9461" w:rsidR="00304DFD" w:rsidRPr="000C3B7B" w:rsidRDefault="00304DFD" w:rsidP="00304DFD">
            <w:pPr>
              <w:rPr>
                <w:rFonts w:ascii="Arial" w:hAnsi="Arial" w:cs="Arial"/>
                <w:b/>
              </w:rPr>
            </w:pPr>
            <w:r w:rsidRPr="000C3B7B">
              <w:rPr>
                <w:rFonts w:ascii="Arial" w:hAnsi="Arial" w:cs="Arial"/>
                <w:b/>
              </w:rPr>
              <w:t xml:space="preserve">Finance </w:t>
            </w:r>
          </w:p>
        </w:tc>
      </w:tr>
      <w:tr w:rsidR="00304DFD" w:rsidRPr="000C3B7B" w14:paraId="5B81F270" w14:textId="77777777" w:rsidTr="002F4D40">
        <w:trPr>
          <w:trHeight w:val="370"/>
        </w:trPr>
        <w:tc>
          <w:tcPr>
            <w:tcW w:w="998" w:type="pct"/>
            <w:vMerge/>
            <w:tcBorders>
              <w:left w:val="single" w:sz="4" w:space="0" w:color="auto"/>
              <w:right w:val="single" w:sz="4" w:space="0" w:color="auto"/>
            </w:tcBorders>
            <w:shd w:val="clear" w:color="auto" w:fill="FFE599" w:themeFill="accent4" w:themeFillTint="66"/>
            <w:vAlign w:val="center"/>
          </w:tcPr>
          <w:p w14:paraId="0A97A63F" w14:textId="77777777" w:rsidR="00304DFD" w:rsidRPr="000C3B7B" w:rsidRDefault="00304DFD" w:rsidP="00304DFD">
            <w:pPr>
              <w:rPr>
                <w:rFonts w:ascii="Arial" w:hAnsi="Arial" w:cs="Arial"/>
                <w:bCs/>
              </w:rPr>
            </w:pPr>
          </w:p>
        </w:tc>
        <w:tc>
          <w:tcPr>
            <w:tcW w:w="4002" w:type="pct"/>
            <w:gridSpan w:val="9"/>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6D16E50" w14:textId="25E20F1A" w:rsidR="00304DFD" w:rsidRDefault="00304DFD" w:rsidP="00304DFD">
            <w:pPr>
              <w:rPr>
                <w:rFonts w:ascii="Arial" w:hAnsi="Arial" w:cs="Arial"/>
                <w:bCs/>
              </w:rPr>
            </w:pPr>
            <w:r w:rsidRPr="009D3BFF">
              <w:rPr>
                <w:rFonts w:ascii="Arial" w:hAnsi="Arial" w:cs="Arial"/>
                <w:bCs/>
              </w:rPr>
              <w:t>Detail on finance is provided within the Finance section of our IMTP (section 4.1)</w:t>
            </w:r>
          </w:p>
        </w:tc>
      </w:tr>
      <w:tr w:rsidR="00304DFD" w:rsidRPr="000C3B7B" w14:paraId="3288A9B3" w14:textId="77777777" w:rsidTr="002F4D40">
        <w:trPr>
          <w:trHeight w:val="370"/>
        </w:trPr>
        <w:tc>
          <w:tcPr>
            <w:tcW w:w="998" w:type="pct"/>
            <w:vMerge/>
            <w:tcBorders>
              <w:left w:val="single" w:sz="4" w:space="0" w:color="auto"/>
              <w:right w:val="single" w:sz="4" w:space="0" w:color="auto"/>
            </w:tcBorders>
            <w:shd w:val="clear" w:color="auto" w:fill="FFE599" w:themeFill="accent4" w:themeFillTint="66"/>
            <w:vAlign w:val="center"/>
          </w:tcPr>
          <w:p w14:paraId="233EAACD" w14:textId="77777777" w:rsidR="00304DFD" w:rsidRPr="000C3B7B" w:rsidRDefault="00304DFD" w:rsidP="00304DFD">
            <w:pPr>
              <w:rPr>
                <w:rFonts w:ascii="Arial" w:hAnsi="Arial" w:cs="Arial"/>
                <w:bCs/>
              </w:rPr>
            </w:pPr>
          </w:p>
        </w:tc>
        <w:tc>
          <w:tcPr>
            <w:tcW w:w="4002" w:type="pct"/>
            <w:gridSpan w:val="9"/>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62B3478" w14:textId="3F26A291" w:rsidR="00304DFD" w:rsidRPr="000C3B7B" w:rsidRDefault="00304DFD" w:rsidP="00304DFD">
            <w:pPr>
              <w:rPr>
                <w:rFonts w:ascii="Arial" w:hAnsi="Arial" w:cs="Arial"/>
                <w:b/>
              </w:rPr>
            </w:pPr>
            <w:r w:rsidRPr="000C3B7B">
              <w:rPr>
                <w:rFonts w:ascii="Arial" w:hAnsi="Arial" w:cs="Arial"/>
                <w:b/>
              </w:rPr>
              <w:t>Workforce</w:t>
            </w:r>
          </w:p>
        </w:tc>
      </w:tr>
      <w:tr w:rsidR="00304DFD" w:rsidRPr="000C3B7B" w14:paraId="799AC82F" w14:textId="77777777" w:rsidTr="002F4D40">
        <w:trPr>
          <w:trHeight w:val="370"/>
        </w:trPr>
        <w:tc>
          <w:tcPr>
            <w:tcW w:w="998" w:type="pct"/>
            <w:vMerge/>
            <w:tcBorders>
              <w:left w:val="single" w:sz="4" w:space="0" w:color="auto"/>
              <w:right w:val="single" w:sz="4" w:space="0" w:color="auto"/>
            </w:tcBorders>
            <w:shd w:val="clear" w:color="auto" w:fill="FFE599" w:themeFill="accent4" w:themeFillTint="66"/>
            <w:vAlign w:val="center"/>
          </w:tcPr>
          <w:p w14:paraId="3FE30428" w14:textId="77777777" w:rsidR="00304DFD" w:rsidRPr="000C3B7B" w:rsidRDefault="00304DFD" w:rsidP="00304DFD">
            <w:pPr>
              <w:rPr>
                <w:rFonts w:ascii="Arial" w:hAnsi="Arial" w:cs="Arial"/>
                <w:bCs/>
              </w:rPr>
            </w:pPr>
          </w:p>
        </w:tc>
        <w:tc>
          <w:tcPr>
            <w:tcW w:w="4002" w:type="pct"/>
            <w:gridSpan w:val="9"/>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3233AFE" w14:textId="48375E2E" w:rsidR="00304DFD" w:rsidRDefault="00304DFD" w:rsidP="00304DFD">
            <w:pPr>
              <w:rPr>
                <w:rFonts w:ascii="Arial" w:hAnsi="Arial" w:cs="Arial"/>
                <w:bCs/>
              </w:rPr>
            </w:pPr>
            <w:r w:rsidRPr="009D3BFF">
              <w:rPr>
                <w:rFonts w:ascii="Arial" w:hAnsi="Arial" w:cs="Arial"/>
                <w:bCs/>
              </w:rPr>
              <w:t>Detail on our workforce developments is set out within the Workforce section of our IMTP (section 4.3)</w:t>
            </w:r>
          </w:p>
        </w:tc>
      </w:tr>
      <w:tr w:rsidR="00304DFD" w:rsidRPr="000C3B7B" w14:paraId="08EF2BF3" w14:textId="77777777" w:rsidTr="002F4D40">
        <w:trPr>
          <w:trHeight w:val="370"/>
        </w:trPr>
        <w:tc>
          <w:tcPr>
            <w:tcW w:w="998" w:type="pct"/>
            <w:vMerge/>
            <w:tcBorders>
              <w:left w:val="single" w:sz="4" w:space="0" w:color="auto"/>
              <w:right w:val="single" w:sz="4" w:space="0" w:color="auto"/>
            </w:tcBorders>
            <w:shd w:val="clear" w:color="auto" w:fill="FFE599" w:themeFill="accent4" w:themeFillTint="66"/>
            <w:vAlign w:val="center"/>
          </w:tcPr>
          <w:p w14:paraId="41FEAFD5" w14:textId="77777777" w:rsidR="00304DFD" w:rsidRPr="000C3B7B" w:rsidRDefault="00304DFD" w:rsidP="00304DFD">
            <w:pPr>
              <w:rPr>
                <w:rFonts w:ascii="Arial" w:hAnsi="Arial" w:cs="Arial"/>
                <w:bCs/>
              </w:rPr>
            </w:pPr>
          </w:p>
        </w:tc>
        <w:tc>
          <w:tcPr>
            <w:tcW w:w="4002" w:type="pct"/>
            <w:gridSpan w:val="9"/>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2AC596A" w14:textId="16779A5A" w:rsidR="00304DFD" w:rsidRPr="000C3B7B" w:rsidRDefault="00304DFD" w:rsidP="00304DFD">
            <w:pPr>
              <w:ind w:right="-269"/>
              <w:rPr>
                <w:rFonts w:ascii="Arial" w:hAnsi="Arial" w:cs="Arial"/>
                <w:b/>
              </w:rPr>
            </w:pPr>
            <w:r w:rsidRPr="000C3B7B">
              <w:rPr>
                <w:rFonts w:ascii="Arial" w:hAnsi="Arial" w:cs="Arial"/>
                <w:b/>
              </w:rPr>
              <w:t xml:space="preserve">Digital </w:t>
            </w:r>
          </w:p>
        </w:tc>
      </w:tr>
      <w:tr w:rsidR="00304DFD" w:rsidRPr="000C3B7B" w14:paraId="53945252" w14:textId="77777777" w:rsidTr="002F4D40">
        <w:trPr>
          <w:trHeight w:val="370"/>
        </w:trPr>
        <w:tc>
          <w:tcPr>
            <w:tcW w:w="998" w:type="pct"/>
            <w:vMerge/>
            <w:tcBorders>
              <w:left w:val="single" w:sz="4" w:space="0" w:color="auto"/>
              <w:right w:val="single" w:sz="4" w:space="0" w:color="auto"/>
            </w:tcBorders>
            <w:shd w:val="clear" w:color="auto" w:fill="FFE599" w:themeFill="accent4" w:themeFillTint="66"/>
            <w:vAlign w:val="center"/>
          </w:tcPr>
          <w:p w14:paraId="5A75C718" w14:textId="77777777" w:rsidR="00304DFD" w:rsidRPr="000C3B7B" w:rsidRDefault="00304DFD" w:rsidP="00304DFD">
            <w:pPr>
              <w:rPr>
                <w:rFonts w:ascii="Arial" w:hAnsi="Arial" w:cs="Arial"/>
                <w:bCs/>
              </w:rPr>
            </w:pPr>
          </w:p>
        </w:tc>
        <w:tc>
          <w:tcPr>
            <w:tcW w:w="4002" w:type="pct"/>
            <w:gridSpan w:val="9"/>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363B7EF" w14:textId="056937FB" w:rsidR="00304DFD" w:rsidRDefault="00304DFD" w:rsidP="00304DFD">
            <w:pPr>
              <w:rPr>
                <w:rFonts w:ascii="Arial" w:hAnsi="Arial" w:cs="Arial"/>
                <w:bCs/>
              </w:rPr>
            </w:pPr>
            <w:r w:rsidRPr="009D3BFF">
              <w:rPr>
                <w:rFonts w:ascii="Arial" w:hAnsi="Arial" w:cs="Arial"/>
                <w:bCs/>
              </w:rPr>
              <w:t>Detail on key digital developments, including financial implications, is set out within the Digital section of our IMT</w:t>
            </w:r>
            <w:r>
              <w:rPr>
                <w:rFonts w:ascii="Arial" w:hAnsi="Arial" w:cs="Arial"/>
                <w:bCs/>
              </w:rPr>
              <w:t>P</w:t>
            </w:r>
            <w:r w:rsidRPr="009D3BFF">
              <w:rPr>
                <w:rFonts w:ascii="Arial" w:hAnsi="Arial" w:cs="Arial"/>
                <w:bCs/>
              </w:rPr>
              <w:t xml:space="preserve"> (section 4.2)</w:t>
            </w:r>
          </w:p>
        </w:tc>
      </w:tr>
      <w:tr w:rsidR="00304DFD" w:rsidRPr="000C3B7B" w14:paraId="548DEACF" w14:textId="77777777" w:rsidTr="002F4D40">
        <w:trPr>
          <w:trHeight w:val="370"/>
        </w:trPr>
        <w:tc>
          <w:tcPr>
            <w:tcW w:w="998" w:type="pct"/>
            <w:vMerge/>
            <w:tcBorders>
              <w:left w:val="single" w:sz="4" w:space="0" w:color="auto"/>
              <w:right w:val="single" w:sz="4" w:space="0" w:color="auto"/>
            </w:tcBorders>
            <w:shd w:val="clear" w:color="auto" w:fill="FFE599" w:themeFill="accent4" w:themeFillTint="66"/>
            <w:vAlign w:val="center"/>
          </w:tcPr>
          <w:p w14:paraId="7C26EF6C" w14:textId="77777777" w:rsidR="00304DFD" w:rsidRPr="000C3B7B" w:rsidRDefault="00304DFD" w:rsidP="00304DFD">
            <w:pPr>
              <w:rPr>
                <w:rFonts w:ascii="Arial" w:hAnsi="Arial" w:cs="Arial"/>
                <w:bCs/>
              </w:rPr>
            </w:pPr>
          </w:p>
        </w:tc>
        <w:tc>
          <w:tcPr>
            <w:tcW w:w="4002" w:type="pct"/>
            <w:gridSpan w:val="9"/>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CBC080E" w14:textId="68793B9A" w:rsidR="00304DFD" w:rsidRPr="000C3B7B" w:rsidRDefault="00304DFD" w:rsidP="00304DFD">
            <w:pPr>
              <w:rPr>
                <w:rFonts w:ascii="Arial" w:hAnsi="Arial" w:cs="Arial"/>
                <w:b/>
              </w:rPr>
            </w:pPr>
            <w:r w:rsidRPr="000C3B7B">
              <w:rPr>
                <w:rFonts w:ascii="Arial" w:hAnsi="Arial" w:cs="Arial"/>
                <w:b/>
              </w:rPr>
              <w:t>Other (Specify)</w:t>
            </w:r>
          </w:p>
        </w:tc>
      </w:tr>
      <w:tr w:rsidR="00304DFD" w:rsidRPr="000C3B7B" w14:paraId="06CB7F1C" w14:textId="77777777" w:rsidTr="002F4D40">
        <w:trPr>
          <w:trHeight w:val="370"/>
        </w:trPr>
        <w:tc>
          <w:tcPr>
            <w:tcW w:w="998" w:type="pct"/>
            <w:vMerge/>
            <w:tcBorders>
              <w:left w:val="single" w:sz="4" w:space="0" w:color="auto"/>
              <w:right w:val="single" w:sz="4" w:space="0" w:color="auto"/>
            </w:tcBorders>
            <w:shd w:val="clear" w:color="auto" w:fill="FFE599" w:themeFill="accent4" w:themeFillTint="66"/>
            <w:vAlign w:val="center"/>
          </w:tcPr>
          <w:p w14:paraId="6375EC6D" w14:textId="77777777" w:rsidR="00304DFD" w:rsidRPr="000C3B7B" w:rsidRDefault="00304DFD" w:rsidP="00304DFD">
            <w:pPr>
              <w:rPr>
                <w:rFonts w:ascii="Arial" w:hAnsi="Arial" w:cs="Arial"/>
                <w:bCs/>
              </w:rPr>
            </w:pPr>
          </w:p>
        </w:tc>
        <w:tc>
          <w:tcPr>
            <w:tcW w:w="4002" w:type="pct"/>
            <w:gridSpan w:val="9"/>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DFBFAA6" w14:textId="0DF07178" w:rsidR="00304DFD" w:rsidRDefault="00304DFD" w:rsidP="00304DFD">
            <w:pPr>
              <w:rPr>
                <w:rFonts w:ascii="Arial" w:hAnsi="Arial" w:cs="Arial"/>
                <w:bCs/>
              </w:rPr>
            </w:pPr>
            <w:r>
              <w:rPr>
                <w:rFonts w:ascii="Arial" w:hAnsi="Arial" w:cs="Arial"/>
                <w:bCs/>
              </w:rPr>
              <w:t>N/A</w:t>
            </w:r>
          </w:p>
        </w:tc>
      </w:tr>
      <w:tr w:rsidR="006B6E83" w:rsidRPr="000C3B7B" w14:paraId="7E445D0A" w14:textId="77777777" w:rsidTr="002F4D40">
        <w:trPr>
          <w:trHeight w:val="370"/>
        </w:trPr>
        <w:tc>
          <w:tcPr>
            <w:tcW w:w="998" w:type="pct"/>
            <w:vMerge w:val="restart"/>
            <w:tcBorders>
              <w:left w:val="single" w:sz="4" w:space="0" w:color="auto"/>
              <w:right w:val="single" w:sz="4" w:space="0" w:color="auto"/>
            </w:tcBorders>
            <w:shd w:val="clear" w:color="auto" w:fill="8EAADB" w:themeFill="accent1" w:themeFillTint="99"/>
            <w:vAlign w:val="center"/>
          </w:tcPr>
          <w:p w14:paraId="47D80F9E" w14:textId="77777777" w:rsidR="006B6E83" w:rsidRPr="00B35A82" w:rsidRDefault="006B6E83" w:rsidP="002F4D40">
            <w:pPr>
              <w:rPr>
                <w:rFonts w:ascii="Arial" w:hAnsi="Arial" w:cs="Arial"/>
                <w:b/>
              </w:rPr>
            </w:pPr>
            <w:r w:rsidRPr="00B35A82">
              <w:rPr>
                <w:rFonts w:ascii="Arial" w:hAnsi="Arial" w:cs="Arial"/>
                <w:b/>
              </w:rPr>
              <w:t xml:space="preserve">Prevention &amp; Population Health </w:t>
            </w:r>
          </w:p>
        </w:tc>
        <w:tc>
          <w:tcPr>
            <w:tcW w:w="4002" w:type="pct"/>
            <w:gridSpan w:val="9"/>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6DBEDF3" w14:textId="77777777" w:rsidR="006B6E83" w:rsidRPr="00B35A82" w:rsidRDefault="006B6E83" w:rsidP="002F4D40">
            <w:pPr>
              <w:rPr>
                <w:rFonts w:ascii="Arial" w:hAnsi="Arial" w:cs="Arial"/>
                <w:b/>
              </w:rPr>
            </w:pPr>
            <w:r w:rsidRPr="00B35A82">
              <w:rPr>
                <w:rFonts w:ascii="Arial" w:hAnsi="Arial" w:cs="Arial"/>
                <w:b/>
              </w:rPr>
              <w:t>Opportunities identified</w:t>
            </w:r>
          </w:p>
        </w:tc>
      </w:tr>
      <w:tr w:rsidR="006B6E83" w:rsidRPr="000C3B7B" w14:paraId="5AB30CDA" w14:textId="77777777" w:rsidTr="002F4D40">
        <w:trPr>
          <w:trHeight w:val="560"/>
        </w:trPr>
        <w:tc>
          <w:tcPr>
            <w:tcW w:w="998" w:type="pct"/>
            <w:vMerge/>
            <w:tcBorders>
              <w:left w:val="single" w:sz="4" w:space="0" w:color="auto"/>
              <w:right w:val="single" w:sz="4" w:space="0" w:color="auto"/>
            </w:tcBorders>
            <w:shd w:val="clear" w:color="auto" w:fill="8EAADB" w:themeFill="accent1" w:themeFillTint="99"/>
            <w:vAlign w:val="center"/>
          </w:tcPr>
          <w:p w14:paraId="1FB239B4" w14:textId="77777777" w:rsidR="006B6E83" w:rsidRPr="00B35A82" w:rsidRDefault="006B6E83" w:rsidP="002F4D40">
            <w:pPr>
              <w:rPr>
                <w:rFonts w:ascii="Arial" w:hAnsi="Arial" w:cs="Arial"/>
                <w:b/>
              </w:rPr>
            </w:pPr>
          </w:p>
        </w:tc>
        <w:tc>
          <w:tcPr>
            <w:tcW w:w="4002" w:type="pct"/>
            <w:gridSpan w:val="9"/>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82D2254" w14:textId="77777777" w:rsidR="006F7DB4" w:rsidRDefault="006F7DB4" w:rsidP="006F7DB4">
            <w:pPr>
              <w:rPr>
                <w:rFonts w:ascii="Arial" w:hAnsi="Arial" w:cs="Arial"/>
                <w:bCs/>
              </w:rPr>
            </w:pPr>
            <w:r w:rsidRPr="006F7DB4">
              <w:rPr>
                <w:rFonts w:ascii="Arial" w:hAnsi="Arial" w:cs="Arial"/>
                <w:bCs/>
              </w:rPr>
              <w:t xml:space="preserve">We have a key leadership role in population health needs assessment and prevention strategies, with a specific focus on women’s health and the opportunity to reduce the risk of diseases, enhancing quality of life, and address intersectional impacts on healthy life expectancy. Existing programmes, including those screening programmes with a specific women’s health focus (e.g. Breast Test Wales and Cervical Screening Wales), will support a more systematic preventative approach across the life course for women, improving engagement and equity of access. We will also develop and promote a narrative on solution-based actions on gender equity, intersectionality and health, to support the delivery of the </w:t>
            </w:r>
            <w:r w:rsidRPr="006F7DB4">
              <w:rPr>
                <w:rFonts w:ascii="Arial" w:hAnsi="Arial" w:cs="Arial"/>
                <w:b/>
                <w:bCs/>
                <w:i/>
              </w:rPr>
              <w:t>Women’s Health Plan</w:t>
            </w:r>
            <w:r w:rsidRPr="006F7DB4">
              <w:rPr>
                <w:rFonts w:ascii="Arial" w:hAnsi="Arial" w:cs="Arial"/>
                <w:b/>
                <w:bCs/>
                <w:i/>
                <w:iCs/>
              </w:rPr>
              <w:t>.</w:t>
            </w:r>
            <w:r w:rsidRPr="006F7DB4">
              <w:rPr>
                <w:rFonts w:ascii="Arial" w:hAnsi="Arial" w:cs="Arial"/>
                <w:bCs/>
              </w:rPr>
              <w:t>  </w:t>
            </w:r>
          </w:p>
          <w:p w14:paraId="53F633A4" w14:textId="77777777" w:rsidR="006F7DB4" w:rsidRPr="006F7DB4" w:rsidRDefault="006F7DB4" w:rsidP="006F7DB4">
            <w:pPr>
              <w:rPr>
                <w:rFonts w:ascii="Arial" w:hAnsi="Arial" w:cs="Arial"/>
                <w:bCs/>
              </w:rPr>
            </w:pPr>
          </w:p>
          <w:p w14:paraId="268AD4D9" w14:textId="77777777" w:rsidR="006F7DB4" w:rsidRDefault="006F7DB4" w:rsidP="006F7DB4">
            <w:pPr>
              <w:rPr>
                <w:rFonts w:ascii="Arial" w:hAnsi="Arial" w:cs="Arial"/>
                <w:bCs/>
              </w:rPr>
            </w:pPr>
            <w:r w:rsidRPr="006F7DB4">
              <w:rPr>
                <w:rFonts w:ascii="Arial" w:hAnsi="Arial" w:cs="Arial"/>
                <w:bCs/>
              </w:rPr>
              <w:lastRenderedPageBreak/>
              <w:t>As a trauma-informed organisation, our lens will consider how adversity, trauma and distress affect women’s health, advocating for approaches which minimise exposure and impact of trauma; understanding interventions which need to be in place to minimise impact; and promote psychological, mental and physical resilience and wellbeing.</w:t>
            </w:r>
          </w:p>
          <w:p w14:paraId="42E659B5" w14:textId="77777777" w:rsidR="006F7DB4" w:rsidRPr="006F7DB4" w:rsidRDefault="006F7DB4" w:rsidP="006F7DB4">
            <w:pPr>
              <w:rPr>
                <w:rFonts w:ascii="Arial" w:hAnsi="Arial" w:cs="Arial"/>
                <w:bCs/>
              </w:rPr>
            </w:pPr>
          </w:p>
          <w:p w14:paraId="371444A0" w14:textId="77777777" w:rsidR="006F7DB4" w:rsidRPr="006F7DB4" w:rsidRDefault="006F7DB4" w:rsidP="006F7DB4">
            <w:pPr>
              <w:rPr>
                <w:rFonts w:ascii="Arial" w:hAnsi="Arial" w:cs="Arial"/>
                <w:bCs/>
              </w:rPr>
            </w:pPr>
            <w:r w:rsidRPr="006F7DB4">
              <w:rPr>
                <w:rFonts w:ascii="Arial" w:hAnsi="Arial" w:cs="Arial"/>
                <w:bCs/>
              </w:rPr>
              <w:t>Our plan sets out the actions required from us to support the implementation of the Women’s Health Plan. Specifically, we will work collaboratively with partners and the Woman’s Health Network with a focus the short-term actions identified in the plan, including:</w:t>
            </w:r>
          </w:p>
          <w:p w14:paraId="1F998605" w14:textId="77777777" w:rsidR="006F7DB4" w:rsidRPr="006F7DB4" w:rsidRDefault="006F7DB4" w:rsidP="006F7DB4">
            <w:pPr>
              <w:numPr>
                <w:ilvl w:val="0"/>
                <w:numId w:val="21"/>
              </w:numPr>
              <w:rPr>
                <w:rFonts w:ascii="Arial" w:hAnsi="Arial" w:cs="Arial"/>
                <w:bCs/>
              </w:rPr>
            </w:pPr>
            <w:r w:rsidRPr="006F7DB4">
              <w:rPr>
                <w:rFonts w:ascii="Arial" w:hAnsi="Arial" w:cs="Arial"/>
                <w:bCs/>
              </w:rPr>
              <w:t>educational materials to support knowledge and learning for everyone including boys and men in terms of Menstrual Health.</w:t>
            </w:r>
          </w:p>
          <w:p w14:paraId="5FB723C3" w14:textId="77777777" w:rsidR="006F7DB4" w:rsidRPr="006F7DB4" w:rsidRDefault="006F7DB4" w:rsidP="006F7DB4">
            <w:pPr>
              <w:numPr>
                <w:ilvl w:val="0"/>
                <w:numId w:val="21"/>
              </w:numPr>
              <w:rPr>
                <w:rFonts w:ascii="Arial" w:hAnsi="Arial" w:cs="Arial"/>
                <w:bCs/>
              </w:rPr>
            </w:pPr>
            <w:r w:rsidRPr="006F7DB4">
              <w:rPr>
                <w:rFonts w:ascii="Arial" w:hAnsi="Arial" w:cs="Arial"/>
                <w:bCs/>
              </w:rPr>
              <w:t xml:space="preserve">online availability of reliable information on contraception </w:t>
            </w:r>
          </w:p>
          <w:p w14:paraId="0FE3E7A7" w14:textId="77777777" w:rsidR="006F7DB4" w:rsidRPr="006F7DB4" w:rsidRDefault="006F7DB4" w:rsidP="006F7DB4">
            <w:pPr>
              <w:numPr>
                <w:ilvl w:val="0"/>
                <w:numId w:val="21"/>
              </w:numPr>
              <w:rPr>
                <w:rFonts w:ascii="Arial" w:hAnsi="Arial" w:cs="Arial"/>
                <w:bCs/>
              </w:rPr>
            </w:pPr>
            <w:r w:rsidRPr="006F7DB4">
              <w:rPr>
                <w:rFonts w:ascii="Arial" w:hAnsi="Arial" w:cs="Arial"/>
                <w:bCs/>
              </w:rPr>
              <w:t>exploring what preconception health means to people, including health care professionals, and how we influence and improve that.</w:t>
            </w:r>
          </w:p>
          <w:p w14:paraId="353AB627" w14:textId="77777777" w:rsidR="006F7DB4" w:rsidRPr="006F7DB4" w:rsidRDefault="006F7DB4" w:rsidP="006F7DB4">
            <w:pPr>
              <w:numPr>
                <w:ilvl w:val="0"/>
                <w:numId w:val="21"/>
              </w:numPr>
              <w:rPr>
                <w:rFonts w:ascii="Arial" w:hAnsi="Arial" w:cs="Arial"/>
                <w:bCs/>
              </w:rPr>
            </w:pPr>
            <w:r w:rsidRPr="006F7DB4">
              <w:rPr>
                <w:rFonts w:ascii="Arial" w:hAnsi="Arial" w:cs="Arial"/>
                <w:bCs/>
              </w:rPr>
              <w:t>evidence based high quality information supporting an NHS Wales women’s health website.</w:t>
            </w:r>
          </w:p>
          <w:p w14:paraId="286AD0C2" w14:textId="77777777" w:rsidR="006F7DB4" w:rsidRDefault="006F7DB4" w:rsidP="006F7DB4">
            <w:pPr>
              <w:numPr>
                <w:ilvl w:val="0"/>
                <w:numId w:val="21"/>
              </w:numPr>
              <w:rPr>
                <w:rFonts w:ascii="Arial" w:hAnsi="Arial" w:cs="Arial"/>
                <w:bCs/>
              </w:rPr>
            </w:pPr>
            <w:r w:rsidRPr="006F7DB4">
              <w:rPr>
                <w:rFonts w:ascii="Arial" w:hAnsi="Arial" w:cs="Arial"/>
                <w:bCs/>
              </w:rPr>
              <w:t>expert leadership to support the VAWDASV and sexual violence priorities in the plan</w:t>
            </w:r>
          </w:p>
          <w:p w14:paraId="670FF94B" w14:textId="77777777" w:rsidR="006F7DB4" w:rsidRPr="006F7DB4" w:rsidRDefault="006F7DB4" w:rsidP="006F7DB4">
            <w:pPr>
              <w:ind w:left="1429"/>
              <w:rPr>
                <w:rFonts w:ascii="Arial" w:hAnsi="Arial" w:cs="Arial"/>
                <w:bCs/>
              </w:rPr>
            </w:pPr>
          </w:p>
          <w:p w14:paraId="24D76D1B" w14:textId="77777777" w:rsidR="006F7DB4" w:rsidRPr="006F7DB4" w:rsidRDefault="006F7DB4" w:rsidP="006F7DB4">
            <w:pPr>
              <w:rPr>
                <w:rFonts w:ascii="Arial" w:hAnsi="Arial" w:cs="Arial"/>
                <w:bCs/>
              </w:rPr>
            </w:pPr>
            <w:r w:rsidRPr="006F7DB4">
              <w:rPr>
                <w:rFonts w:ascii="Arial" w:hAnsi="Arial" w:cs="Arial"/>
                <w:bCs/>
              </w:rPr>
              <w:t>This demonstrates our role and commitment to closing the gender health gap. We will deliver key actions in partnership, including with the Women’s Health Network and HEIW.</w:t>
            </w:r>
          </w:p>
          <w:p w14:paraId="135C659E" w14:textId="77777777" w:rsidR="006B6E83" w:rsidRPr="00AA5338" w:rsidRDefault="006B6E83" w:rsidP="002F4D40">
            <w:pPr>
              <w:rPr>
                <w:rFonts w:ascii="Arial" w:hAnsi="Arial" w:cs="Arial"/>
                <w:bCs/>
              </w:rPr>
            </w:pPr>
          </w:p>
        </w:tc>
      </w:tr>
    </w:tbl>
    <w:p w14:paraId="74F5AA72" w14:textId="77777777" w:rsidR="006B6E83" w:rsidRDefault="006B6E83" w:rsidP="00AA5338">
      <w:pPr>
        <w:rPr>
          <w:rFonts w:ascii="Arial" w:hAnsi="Arial" w:cs="Arial"/>
          <w:sz w:val="24"/>
          <w:szCs w:val="24"/>
        </w:rPr>
      </w:pPr>
    </w:p>
    <w:sectPr w:rsidR="006B6E83" w:rsidSect="000C60CD">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7A257" w14:textId="77777777" w:rsidR="00042545" w:rsidRDefault="00042545" w:rsidP="009C058A">
      <w:pPr>
        <w:spacing w:after="0" w:line="240" w:lineRule="auto"/>
      </w:pPr>
      <w:r>
        <w:separator/>
      </w:r>
    </w:p>
  </w:endnote>
  <w:endnote w:type="continuationSeparator" w:id="0">
    <w:p w14:paraId="55B81F25" w14:textId="77777777" w:rsidR="00042545" w:rsidRDefault="00042545" w:rsidP="009C058A">
      <w:pPr>
        <w:spacing w:after="0" w:line="240" w:lineRule="auto"/>
      </w:pPr>
      <w:r>
        <w:continuationSeparator/>
      </w:r>
    </w:p>
  </w:endnote>
  <w:endnote w:type="continuationNotice" w:id="1">
    <w:p w14:paraId="08BC0965" w14:textId="77777777" w:rsidR="00042545" w:rsidRDefault="000425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buntu Light">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697582"/>
      <w:docPartObj>
        <w:docPartGallery w:val="Page Numbers (Bottom of Page)"/>
        <w:docPartUnique/>
      </w:docPartObj>
    </w:sdtPr>
    <w:sdtEndPr/>
    <w:sdtContent>
      <w:p w14:paraId="51A14D79" w14:textId="38C39A3F" w:rsidR="009C058A" w:rsidRDefault="009C058A">
        <w:pPr>
          <w:pStyle w:val="Footer"/>
          <w:jc w:val="right"/>
        </w:pPr>
        <w:r>
          <w:fldChar w:fldCharType="begin"/>
        </w:r>
        <w:r>
          <w:instrText>PAGE   \* MERGEFORMAT</w:instrText>
        </w:r>
        <w:r>
          <w:fldChar w:fldCharType="separate"/>
        </w:r>
        <w:r>
          <w:t>2</w:t>
        </w:r>
        <w:r>
          <w:fldChar w:fldCharType="end"/>
        </w:r>
      </w:p>
    </w:sdtContent>
  </w:sdt>
  <w:p w14:paraId="0F980B99" w14:textId="77777777" w:rsidR="009C058A" w:rsidRDefault="009C0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09745" w14:textId="77777777" w:rsidR="00042545" w:rsidRDefault="00042545" w:rsidP="009C058A">
      <w:pPr>
        <w:spacing w:after="0" w:line="240" w:lineRule="auto"/>
      </w:pPr>
      <w:r>
        <w:separator/>
      </w:r>
    </w:p>
  </w:footnote>
  <w:footnote w:type="continuationSeparator" w:id="0">
    <w:p w14:paraId="4045F280" w14:textId="77777777" w:rsidR="00042545" w:rsidRDefault="00042545" w:rsidP="009C058A">
      <w:pPr>
        <w:spacing w:after="0" w:line="240" w:lineRule="auto"/>
      </w:pPr>
      <w:r>
        <w:continuationSeparator/>
      </w:r>
    </w:p>
  </w:footnote>
  <w:footnote w:type="continuationNotice" w:id="1">
    <w:p w14:paraId="5FACE356" w14:textId="77777777" w:rsidR="00042545" w:rsidRDefault="00042545">
      <w:pPr>
        <w:spacing w:after="0" w:line="240" w:lineRule="auto"/>
      </w:pPr>
    </w:p>
  </w:footnote>
  <w:footnote w:id="2">
    <w:p w14:paraId="1CB82A72" w14:textId="77777777" w:rsidR="00417721" w:rsidRDefault="00417721" w:rsidP="00417721">
      <w:pPr>
        <w:pStyle w:val="FootnoteText"/>
      </w:pPr>
      <w:r>
        <w:rPr>
          <w:rStyle w:val="FootnoteReference"/>
        </w:rPr>
        <w:t>[1]</w:t>
      </w:r>
      <w:r>
        <w:t xml:space="preserve"> Green and red % denote that the change is statistically significant (non-overlapping confidence intervals), however this test was not possible for all indicators.</w:t>
      </w:r>
    </w:p>
    <w:p w14:paraId="60411C6C" w14:textId="77777777" w:rsidR="00417721" w:rsidRDefault="00417721" w:rsidP="00417721">
      <w:pPr>
        <w:pStyle w:val="FootnoteText"/>
      </w:pPr>
      <w:r>
        <w:t>.</w:t>
      </w:r>
    </w:p>
  </w:footnote>
  <w:footnote w:id="3">
    <w:p w14:paraId="4A78EB11" w14:textId="77777777" w:rsidR="00A8552E" w:rsidRDefault="00A8552E" w:rsidP="00A8552E">
      <w:pPr>
        <w:pStyle w:val="FootnoteText"/>
      </w:pPr>
      <w:r>
        <w:rPr>
          <w:rStyle w:val="FootnoteReference"/>
        </w:rPr>
        <w:footnoteRef/>
      </w:r>
      <w:r>
        <w:t xml:space="preserve"> Public Health Wales. Vaccine uptake in children in Wales, COVER Annual Report 2024. [Online]. 2024. Available at: </w:t>
      </w:r>
      <w:hyperlink r:id="rId1" w:history="1">
        <w:r w:rsidRPr="00B06423">
          <w:rPr>
            <w:rStyle w:val="Hyperlink"/>
          </w:rPr>
          <w:t>https://publichealthwales.nhs.wales/topics/immunisation-and-vaccines/cover-national-childhood-immunisation-uptake-data/cover-archive-folder/annual-reports/vaccine-uptake-in-children-in-wales-cover-annual-report-2024/</w:t>
        </w:r>
      </w:hyperlink>
    </w:p>
  </w:footnote>
  <w:footnote w:id="4">
    <w:p w14:paraId="1BDEC4CB" w14:textId="77777777" w:rsidR="00A8552E" w:rsidRDefault="00A8552E" w:rsidP="00A8552E">
      <w:pPr>
        <w:pStyle w:val="FootnoteText"/>
      </w:pPr>
      <w:r>
        <w:rPr>
          <w:rStyle w:val="FootnoteReference"/>
        </w:rPr>
        <w:footnoteRef/>
      </w:r>
      <w:r>
        <w:t xml:space="preserve"> Public Health Wales. Inequalities in uptake of routine childhood immunisations in Wales 2023-24. [Online]. 2024. </w:t>
      </w:r>
      <w:hyperlink r:id="rId2" w:history="1">
        <w:r w:rsidRPr="00864FC5">
          <w:rPr>
            <w:rStyle w:val="Hyperlink"/>
          </w:rPr>
          <w:t>publichealthwales.nhs.wales/topics/immunisation-and-vaccines/cover-national-childhood-immunisation-uptake-data/cover-inequalities-reports/annual-inequalities-report-202324/</w:t>
        </w:r>
      </w:hyperlink>
    </w:p>
  </w:footnote>
  <w:footnote w:id="5">
    <w:p w14:paraId="62952B6A" w14:textId="77777777" w:rsidR="008A6A73" w:rsidRDefault="008A6A73" w:rsidP="008A6A73">
      <w:pPr>
        <w:pStyle w:val="FootnoteText"/>
      </w:pPr>
      <w:r>
        <w:rPr>
          <w:rStyle w:val="FootnoteReference"/>
        </w:rPr>
        <w:footnoteRef/>
      </w:r>
      <w:r>
        <w:t xml:space="preserve"> Public Health Wales. Public Health Outcomes Framework for Wales reporting tool. [Online]. 2024. Available at: </w:t>
      </w:r>
      <w:hyperlink r:id="rId3" w:history="1">
        <w:r w:rsidRPr="00EE63BA">
          <w:rPr>
            <w:rStyle w:val="Hyperlink"/>
          </w:rPr>
          <w:t>publichealthwales.shinyapps.io/</w:t>
        </w:r>
        <w:proofErr w:type="spellStart"/>
        <w:r w:rsidRPr="00EE63BA">
          <w:rPr>
            <w:rStyle w:val="Hyperlink"/>
          </w:rPr>
          <w:t>PHOF_Dashboard_Eng</w:t>
        </w:r>
        <w:proofErr w:type="spellEnd"/>
        <w:r w:rsidRPr="00EE63BA">
          <w:rPr>
            <w:rStyle w:val="Hyperlink"/>
          </w:rPr>
          <w:t>/</w:t>
        </w:r>
      </w:hyperlink>
    </w:p>
  </w:footnote>
  <w:footnote w:id="6">
    <w:p w14:paraId="7BC3DD47" w14:textId="77777777" w:rsidR="005E372F" w:rsidRDefault="005E372F" w:rsidP="005E372F">
      <w:pPr>
        <w:pStyle w:val="FootnoteText"/>
      </w:pPr>
      <w:r>
        <w:rPr>
          <w:rStyle w:val="FootnoteReference"/>
        </w:rPr>
        <w:footnoteRef/>
      </w:r>
      <w:r>
        <w:t xml:space="preserve"> Public Health Wales. Public Health Outcomes Framework for Wales reporting tool. [Online]. 2024. Available at: </w:t>
      </w:r>
      <w:hyperlink r:id="rId4" w:history="1">
        <w:r w:rsidRPr="00EE63BA">
          <w:rPr>
            <w:rStyle w:val="Hyperlink"/>
          </w:rPr>
          <w:t>publichealthwales.shinyapps.io/</w:t>
        </w:r>
        <w:proofErr w:type="spellStart"/>
        <w:r w:rsidRPr="00EE63BA">
          <w:rPr>
            <w:rStyle w:val="Hyperlink"/>
          </w:rPr>
          <w:t>PHOF_Dashboard_Eng</w:t>
        </w:r>
        <w:proofErr w:type="spellEnd"/>
        <w:r w:rsidRPr="00EE63BA">
          <w:rPr>
            <w:rStyle w:val="Hyperlink"/>
          </w:rPr>
          <w:t>/</w:t>
        </w:r>
      </w:hyperlink>
    </w:p>
  </w:footnote>
  <w:footnote w:id="7">
    <w:p w14:paraId="68706356" w14:textId="77777777" w:rsidR="00D40EEF" w:rsidRDefault="00D40EEF" w:rsidP="00D40EEF">
      <w:pPr>
        <w:pStyle w:val="FootnoteText"/>
      </w:pPr>
      <w:r>
        <w:rPr>
          <w:rStyle w:val="FootnoteReference"/>
        </w:rPr>
        <w:t>[1]</w:t>
      </w:r>
      <w:r>
        <w:t xml:space="preserve"> Green and red % denote that the change is statistically significant (non-overlapping confidence intervals), however this test was not possible for all indicators.</w:t>
      </w:r>
    </w:p>
    <w:p w14:paraId="3A9FC6F7" w14:textId="77777777" w:rsidR="00D40EEF" w:rsidRDefault="00D40EEF" w:rsidP="00D40EEF">
      <w:pPr>
        <w:pStyle w:val="FootnoteText"/>
      </w:pPr>
      <w:r>
        <w:t>.</w:t>
      </w:r>
    </w:p>
  </w:footnote>
  <w:footnote w:id="8">
    <w:p w14:paraId="626335AE" w14:textId="77777777" w:rsidR="00974DB9" w:rsidRDefault="00974DB9" w:rsidP="00974DB9">
      <w:pPr>
        <w:pStyle w:val="FootnoteText"/>
      </w:pPr>
      <w:r>
        <w:rPr>
          <w:rStyle w:val="FootnoteReference"/>
        </w:rPr>
        <w:footnoteRef/>
      </w:r>
      <w:r>
        <w:t xml:space="preserve"> Office for National Statistics. </w:t>
      </w:r>
      <w:r w:rsidRPr="00B52745">
        <w:t>Avoidable mortality in England and Wales: 2021 and 2022</w:t>
      </w:r>
      <w:r>
        <w:t xml:space="preserve">. [Online]. 2024. Available at: </w:t>
      </w:r>
      <w:hyperlink r:id="rId5" w:history="1">
        <w:r w:rsidRPr="00B52745">
          <w:rPr>
            <w:rStyle w:val="Hyperlink"/>
          </w:rPr>
          <w:t>Avoidable mortality in England and Wales - Office for National Statistics</w:t>
        </w:r>
      </w:hyperlink>
    </w:p>
  </w:footnote>
  <w:footnote w:id="9">
    <w:p w14:paraId="5C2DD300" w14:textId="77777777" w:rsidR="00030A3F" w:rsidRDefault="00030A3F" w:rsidP="00030A3F">
      <w:pPr>
        <w:pStyle w:val="FootnoteText"/>
      </w:pPr>
      <w:r>
        <w:rPr>
          <w:rStyle w:val="FootnoteReference"/>
        </w:rPr>
        <w:t>[1]</w:t>
      </w:r>
      <w:r>
        <w:t xml:space="preserve"> Green and red % denote that the change is statistically significant (non-overlapping confidence intervals), however this test was not possible for all indicators.</w:t>
      </w:r>
    </w:p>
    <w:p w14:paraId="650495AB" w14:textId="77777777" w:rsidR="00030A3F" w:rsidRDefault="00030A3F" w:rsidP="00030A3F">
      <w:pPr>
        <w:pStyle w:val="FootnoteText"/>
      </w:pPr>
      <w:r>
        <w:t>.</w:t>
      </w:r>
    </w:p>
  </w:footnote>
  <w:footnote w:id="10">
    <w:p w14:paraId="20272D25" w14:textId="77777777" w:rsidR="006264EC" w:rsidRDefault="006264EC" w:rsidP="006264EC">
      <w:pPr>
        <w:pStyle w:val="FootnoteText"/>
      </w:pPr>
      <w:r>
        <w:rPr>
          <w:rStyle w:val="FootnoteReference"/>
        </w:rPr>
        <w:footnoteRef/>
      </w:r>
      <w:r>
        <w:t xml:space="preserve"> Warwick Edinburgh Mental Wellbeing Scale (WEMWBS) score, National Survey for Wales. Public Health Wales. Public Health Outcomes Framework for Wales reporting tool. [Online]. 2024. Available at: </w:t>
      </w:r>
      <w:hyperlink r:id="rId6" w:history="1">
        <w:r w:rsidRPr="00EE63BA">
          <w:rPr>
            <w:rStyle w:val="Hyperlink"/>
          </w:rPr>
          <w:t>publichealthwales.shinyapps.io/</w:t>
        </w:r>
        <w:proofErr w:type="spellStart"/>
        <w:r w:rsidRPr="00EE63BA">
          <w:rPr>
            <w:rStyle w:val="Hyperlink"/>
          </w:rPr>
          <w:t>PHOF_Dashboard_Eng</w:t>
        </w:r>
        <w:proofErr w:type="spellEnd"/>
        <w:r w:rsidRPr="00EE63BA">
          <w:rPr>
            <w:rStyle w:val="Hyperlink"/>
          </w:rPr>
          <w:t>/</w:t>
        </w:r>
      </w:hyperlink>
    </w:p>
  </w:footnote>
  <w:footnote w:id="11">
    <w:p w14:paraId="64059433" w14:textId="77777777" w:rsidR="00D321EE" w:rsidRDefault="00D321EE" w:rsidP="00D321EE">
      <w:pPr>
        <w:pStyle w:val="FootnoteText"/>
      </w:pPr>
      <w:r>
        <w:rPr>
          <w:rStyle w:val="FootnoteReference"/>
        </w:rPr>
        <w:footnoteRef/>
      </w:r>
      <w:r>
        <w:t xml:space="preserve"> Public Health Wales. Public Health Outcomes Framework for Wales reporting tool. [Online]. 2024. Available at: </w:t>
      </w:r>
      <w:hyperlink r:id="rId7" w:history="1">
        <w:r w:rsidRPr="00EE63BA">
          <w:rPr>
            <w:rStyle w:val="Hyperlink"/>
          </w:rPr>
          <w:t>publichealthwales.shinyapps.io/</w:t>
        </w:r>
        <w:proofErr w:type="spellStart"/>
        <w:r w:rsidRPr="00EE63BA">
          <w:rPr>
            <w:rStyle w:val="Hyperlink"/>
          </w:rPr>
          <w:t>PHOF_Dashboard_Eng</w:t>
        </w:r>
        <w:proofErr w:type="spellEnd"/>
        <w:r w:rsidRPr="00EE63BA">
          <w:rPr>
            <w:rStyle w:val="Hyperlink"/>
          </w:rPr>
          <w: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4074"/>
    <w:multiLevelType w:val="hybridMultilevel"/>
    <w:tmpl w:val="A30EC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84C65"/>
    <w:multiLevelType w:val="hybridMultilevel"/>
    <w:tmpl w:val="F74E2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5406E5"/>
    <w:multiLevelType w:val="hybridMultilevel"/>
    <w:tmpl w:val="57AAA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5F75933"/>
    <w:multiLevelType w:val="hybridMultilevel"/>
    <w:tmpl w:val="4372C234"/>
    <w:lvl w:ilvl="0" w:tplc="2F4E2D68">
      <w:start w:val="1"/>
      <w:numFmt w:val="bullet"/>
      <w:lvlText w:val=""/>
      <w:lvlJc w:val="left"/>
      <w:pPr>
        <w:ind w:left="360" w:hanging="360"/>
      </w:pPr>
      <w:rPr>
        <w:rFonts w:ascii="Wingdings" w:hAnsi="Wingdings" w:hint="default"/>
        <w:b w:val="0"/>
        <w:i w:val="0"/>
        <w:strike w:val="0"/>
        <w:dstrike w:val="0"/>
        <w:color w:val="0070C0"/>
        <w:sz w:val="24"/>
        <w:szCs w:val="24"/>
        <w:u w:val="none" w:color="000000"/>
        <w:bdr w:val="none" w:sz="0" w:space="0" w:color="auto"/>
        <w:shd w:val="clear" w:color="auto" w:fill="auto"/>
        <w:vertAlign w:val="baseline"/>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20B3F18"/>
    <w:multiLevelType w:val="hybridMultilevel"/>
    <w:tmpl w:val="9E247B8A"/>
    <w:lvl w:ilvl="0" w:tplc="DC207702">
      <w:start w:val="1"/>
      <w:numFmt w:val="bullet"/>
      <w:lvlText w:val=""/>
      <w:lvlJc w:val="left"/>
      <w:pPr>
        <w:ind w:left="113" w:firstLine="24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E1811"/>
    <w:multiLevelType w:val="hybridMultilevel"/>
    <w:tmpl w:val="162E5220"/>
    <w:lvl w:ilvl="0" w:tplc="544C5BF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F55BE2"/>
    <w:multiLevelType w:val="hybridMultilevel"/>
    <w:tmpl w:val="4B5EEADE"/>
    <w:lvl w:ilvl="0" w:tplc="2F4E2D68">
      <w:start w:val="1"/>
      <w:numFmt w:val="bullet"/>
      <w:lvlText w:val=""/>
      <w:lvlJc w:val="left"/>
      <w:pPr>
        <w:ind w:left="1429" w:hanging="360"/>
      </w:pPr>
      <w:rPr>
        <w:rFonts w:ascii="Wingdings" w:hAnsi="Wingdings" w:hint="default"/>
        <w:b w:val="0"/>
        <w:i w:val="0"/>
        <w:strike w:val="0"/>
        <w:dstrike w:val="0"/>
        <w:color w:val="0070C0"/>
        <w:sz w:val="24"/>
        <w:szCs w:val="24"/>
        <w:u w:val="none" w:color="000000"/>
        <w:bdr w:val="none" w:sz="0" w:space="0" w:color="auto"/>
        <w:shd w:val="clear" w:color="auto" w:fill="auto"/>
        <w:vertAlign w:val="baseline"/>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6BF366F"/>
    <w:multiLevelType w:val="hybridMultilevel"/>
    <w:tmpl w:val="1FB85B16"/>
    <w:lvl w:ilvl="0" w:tplc="DC207702">
      <w:start w:val="1"/>
      <w:numFmt w:val="bullet"/>
      <w:lvlText w:val=""/>
      <w:lvlJc w:val="left"/>
      <w:pPr>
        <w:ind w:left="113" w:firstLine="24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420E55"/>
    <w:multiLevelType w:val="hybridMultilevel"/>
    <w:tmpl w:val="300A5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922027"/>
    <w:multiLevelType w:val="hybridMultilevel"/>
    <w:tmpl w:val="1EBEE4F2"/>
    <w:lvl w:ilvl="0" w:tplc="DC207702">
      <w:start w:val="1"/>
      <w:numFmt w:val="bullet"/>
      <w:lvlText w:val=""/>
      <w:lvlJc w:val="left"/>
      <w:pPr>
        <w:ind w:left="113" w:firstLine="24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665E9B"/>
    <w:multiLevelType w:val="hybridMultilevel"/>
    <w:tmpl w:val="667278BA"/>
    <w:lvl w:ilvl="0" w:tplc="2F4E2D68">
      <w:start w:val="1"/>
      <w:numFmt w:val="bullet"/>
      <w:lvlText w:val=""/>
      <w:lvlJc w:val="left"/>
      <w:pPr>
        <w:ind w:left="360" w:hanging="360"/>
      </w:pPr>
      <w:rPr>
        <w:rFonts w:ascii="Wingdings" w:hAnsi="Wingdings" w:hint="default"/>
        <w:b w:val="0"/>
        <w:i w:val="0"/>
        <w:strike w:val="0"/>
        <w:dstrike w:val="0"/>
        <w:color w:val="0070C0"/>
        <w:sz w:val="24"/>
        <w:szCs w:val="24"/>
        <w:u w:val="none" w:color="000000"/>
        <w:bdr w:val="none" w:sz="0" w:space="0" w:color="auto"/>
        <w:shd w:val="clear" w:color="auto" w:fill="auto"/>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FF667A"/>
    <w:multiLevelType w:val="hybridMultilevel"/>
    <w:tmpl w:val="E5A48AB2"/>
    <w:lvl w:ilvl="0" w:tplc="2F4E2D68">
      <w:start w:val="1"/>
      <w:numFmt w:val="bullet"/>
      <w:lvlText w:val=""/>
      <w:lvlJc w:val="left"/>
      <w:pPr>
        <w:ind w:left="720" w:hanging="360"/>
      </w:pPr>
      <w:rPr>
        <w:rFonts w:ascii="Wingdings" w:hAnsi="Wingdings" w:hint="default"/>
        <w:b w:val="0"/>
        <w:i w:val="0"/>
        <w:strike w:val="0"/>
        <w:dstrike w:val="0"/>
        <w:color w:val="0070C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5F042C"/>
    <w:multiLevelType w:val="hybridMultilevel"/>
    <w:tmpl w:val="85D22920"/>
    <w:lvl w:ilvl="0" w:tplc="544C5BF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C14300B"/>
    <w:multiLevelType w:val="hybridMultilevel"/>
    <w:tmpl w:val="90D6E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585E87"/>
    <w:multiLevelType w:val="hybridMultilevel"/>
    <w:tmpl w:val="339E8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6B40A1"/>
    <w:multiLevelType w:val="hybridMultilevel"/>
    <w:tmpl w:val="34C01E94"/>
    <w:lvl w:ilvl="0" w:tplc="DC207702">
      <w:start w:val="1"/>
      <w:numFmt w:val="bullet"/>
      <w:lvlText w:val=""/>
      <w:lvlJc w:val="left"/>
      <w:pPr>
        <w:ind w:left="0" w:firstLine="247"/>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16" w15:restartNumberingAfterBreak="0">
    <w:nsid w:val="64820A97"/>
    <w:multiLevelType w:val="hybridMultilevel"/>
    <w:tmpl w:val="97CE6170"/>
    <w:lvl w:ilvl="0" w:tplc="F76EFC6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57306C"/>
    <w:multiLevelType w:val="hybridMultilevel"/>
    <w:tmpl w:val="B3F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AF35C6"/>
    <w:multiLevelType w:val="hybridMultilevel"/>
    <w:tmpl w:val="432085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49168B"/>
    <w:multiLevelType w:val="hybridMultilevel"/>
    <w:tmpl w:val="24B6C5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73455F15"/>
    <w:multiLevelType w:val="hybridMultilevel"/>
    <w:tmpl w:val="FFCE2792"/>
    <w:lvl w:ilvl="0" w:tplc="2F4E2D68">
      <w:start w:val="1"/>
      <w:numFmt w:val="bullet"/>
      <w:lvlText w:val=""/>
      <w:lvlJc w:val="left"/>
      <w:pPr>
        <w:ind w:left="360" w:hanging="360"/>
      </w:pPr>
      <w:rPr>
        <w:rFonts w:ascii="Wingdings" w:hAnsi="Wingdings" w:hint="default"/>
        <w:b w:val="0"/>
        <w:i w:val="0"/>
        <w:strike w:val="0"/>
        <w:dstrike w:val="0"/>
        <w:color w:val="0070C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4930FBC"/>
    <w:multiLevelType w:val="hybridMultilevel"/>
    <w:tmpl w:val="B70A6F58"/>
    <w:lvl w:ilvl="0" w:tplc="08090001">
      <w:start w:val="1"/>
      <w:numFmt w:val="bullet"/>
      <w:lvlText w:val=""/>
      <w:lvlJc w:val="left"/>
      <w:pPr>
        <w:ind w:left="360" w:hanging="360"/>
      </w:pPr>
      <w:rPr>
        <w:rFonts w:ascii="Symbol" w:hAnsi="Symbol" w:hint="default"/>
      </w:rPr>
    </w:lvl>
    <w:lvl w:ilvl="1" w:tplc="0BE0F650">
      <w:numFmt w:val="bullet"/>
      <w:lvlText w:val="•"/>
      <w:lvlJc w:val="left"/>
      <w:pPr>
        <w:ind w:left="1080" w:hanging="360"/>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760F7E10"/>
    <w:multiLevelType w:val="hybridMultilevel"/>
    <w:tmpl w:val="EAD6C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B55EA4"/>
    <w:multiLevelType w:val="hybridMultilevel"/>
    <w:tmpl w:val="04AC7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7792343"/>
    <w:multiLevelType w:val="hybridMultilevel"/>
    <w:tmpl w:val="F1BEB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CD07B47"/>
    <w:multiLevelType w:val="hybridMultilevel"/>
    <w:tmpl w:val="2940E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7968358">
    <w:abstractNumId w:val="18"/>
  </w:num>
  <w:num w:numId="2" w16cid:durableId="33431677">
    <w:abstractNumId w:val="8"/>
  </w:num>
  <w:num w:numId="3" w16cid:durableId="324630349">
    <w:abstractNumId w:val="25"/>
  </w:num>
  <w:num w:numId="4" w16cid:durableId="1498032472">
    <w:abstractNumId w:val="13"/>
  </w:num>
  <w:num w:numId="5" w16cid:durableId="1455632269">
    <w:abstractNumId w:val="2"/>
  </w:num>
  <w:num w:numId="6" w16cid:durableId="655108249">
    <w:abstractNumId w:val="9"/>
  </w:num>
  <w:num w:numId="7" w16cid:durableId="693657224">
    <w:abstractNumId w:val="12"/>
  </w:num>
  <w:num w:numId="8" w16cid:durableId="1390112447">
    <w:abstractNumId w:val="21"/>
  </w:num>
  <w:num w:numId="9" w16cid:durableId="122116677">
    <w:abstractNumId w:val="14"/>
  </w:num>
  <w:num w:numId="10" w16cid:durableId="1606687635">
    <w:abstractNumId w:val="1"/>
  </w:num>
  <w:num w:numId="11" w16cid:durableId="165024791">
    <w:abstractNumId w:val="23"/>
  </w:num>
  <w:num w:numId="12" w16cid:durableId="154498480">
    <w:abstractNumId w:val="5"/>
  </w:num>
  <w:num w:numId="13" w16cid:durableId="2119372560">
    <w:abstractNumId w:val="0"/>
  </w:num>
  <w:num w:numId="14" w16cid:durableId="1894466787">
    <w:abstractNumId w:val="16"/>
  </w:num>
  <w:num w:numId="15" w16cid:durableId="1844321060">
    <w:abstractNumId w:val="22"/>
  </w:num>
  <w:num w:numId="16" w16cid:durableId="803232746">
    <w:abstractNumId w:val="17"/>
  </w:num>
  <w:num w:numId="17" w16cid:durableId="1386371340">
    <w:abstractNumId w:val="24"/>
  </w:num>
  <w:num w:numId="18" w16cid:durableId="973676830">
    <w:abstractNumId w:val="7"/>
  </w:num>
  <w:num w:numId="19" w16cid:durableId="790826297">
    <w:abstractNumId w:val="15"/>
  </w:num>
  <w:num w:numId="20" w16cid:durableId="1119908515">
    <w:abstractNumId w:val="4"/>
  </w:num>
  <w:num w:numId="21" w16cid:durableId="1368064507">
    <w:abstractNumId w:val="6"/>
  </w:num>
  <w:num w:numId="22" w16cid:durableId="337345759">
    <w:abstractNumId w:val="10"/>
  </w:num>
  <w:num w:numId="23" w16cid:durableId="1248611044">
    <w:abstractNumId w:val="11"/>
  </w:num>
  <w:num w:numId="24" w16cid:durableId="1314674117">
    <w:abstractNumId w:val="3"/>
  </w:num>
  <w:num w:numId="25" w16cid:durableId="710882468">
    <w:abstractNumId w:val="19"/>
  </w:num>
  <w:num w:numId="26" w16cid:durableId="2745599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05B"/>
    <w:rsid w:val="000022A6"/>
    <w:rsid w:val="0000395A"/>
    <w:rsid w:val="00004BFF"/>
    <w:rsid w:val="00005959"/>
    <w:rsid w:val="000079FA"/>
    <w:rsid w:val="00010E5E"/>
    <w:rsid w:val="000120ED"/>
    <w:rsid w:val="00012F6A"/>
    <w:rsid w:val="0001306C"/>
    <w:rsid w:val="00013CDB"/>
    <w:rsid w:val="0001659C"/>
    <w:rsid w:val="00021A9E"/>
    <w:rsid w:val="00022DD4"/>
    <w:rsid w:val="0002484F"/>
    <w:rsid w:val="00025FC5"/>
    <w:rsid w:val="00026C7B"/>
    <w:rsid w:val="000275F0"/>
    <w:rsid w:val="00030059"/>
    <w:rsid w:val="00030A3F"/>
    <w:rsid w:val="00033617"/>
    <w:rsid w:val="00035704"/>
    <w:rsid w:val="00035935"/>
    <w:rsid w:val="00036FE7"/>
    <w:rsid w:val="00040CAB"/>
    <w:rsid w:val="00041BF2"/>
    <w:rsid w:val="00042545"/>
    <w:rsid w:val="0004274B"/>
    <w:rsid w:val="00044760"/>
    <w:rsid w:val="0005060D"/>
    <w:rsid w:val="00051AB7"/>
    <w:rsid w:val="00055842"/>
    <w:rsid w:val="0005664F"/>
    <w:rsid w:val="0005734D"/>
    <w:rsid w:val="00057F03"/>
    <w:rsid w:val="00063B32"/>
    <w:rsid w:val="00067290"/>
    <w:rsid w:val="00073036"/>
    <w:rsid w:val="0007534C"/>
    <w:rsid w:val="0007733E"/>
    <w:rsid w:val="000801AF"/>
    <w:rsid w:val="00081BE6"/>
    <w:rsid w:val="0008630F"/>
    <w:rsid w:val="00087390"/>
    <w:rsid w:val="000900F5"/>
    <w:rsid w:val="00092B60"/>
    <w:rsid w:val="000940D8"/>
    <w:rsid w:val="0009477F"/>
    <w:rsid w:val="000A24C8"/>
    <w:rsid w:val="000A4567"/>
    <w:rsid w:val="000A68D6"/>
    <w:rsid w:val="000A6AFC"/>
    <w:rsid w:val="000A7A1D"/>
    <w:rsid w:val="000B20BA"/>
    <w:rsid w:val="000B25F5"/>
    <w:rsid w:val="000B4C1C"/>
    <w:rsid w:val="000C184C"/>
    <w:rsid w:val="000C2AB9"/>
    <w:rsid w:val="000C3DE3"/>
    <w:rsid w:val="000C4CDE"/>
    <w:rsid w:val="000C51C1"/>
    <w:rsid w:val="000C60CD"/>
    <w:rsid w:val="000D03AE"/>
    <w:rsid w:val="000D0F29"/>
    <w:rsid w:val="000D1A65"/>
    <w:rsid w:val="000D22D7"/>
    <w:rsid w:val="000E42B7"/>
    <w:rsid w:val="000E465C"/>
    <w:rsid w:val="000E7E19"/>
    <w:rsid w:val="000F3610"/>
    <w:rsid w:val="000F393A"/>
    <w:rsid w:val="000F4B7C"/>
    <w:rsid w:val="000F52FE"/>
    <w:rsid w:val="000F55A5"/>
    <w:rsid w:val="000F56D9"/>
    <w:rsid w:val="001004D9"/>
    <w:rsid w:val="0010284A"/>
    <w:rsid w:val="00104CCA"/>
    <w:rsid w:val="001061E6"/>
    <w:rsid w:val="0010671D"/>
    <w:rsid w:val="00111562"/>
    <w:rsid w:val="0011276B"/>
    <w:rsid w:val="00114AFB"/>
    <w:rsid w:val="001234C4"/>
    <w:rsid w:val="00125D20"/>
    <w:rsid w:val="001300BB"/>
    <w:rsid w:val="001322F2"/>
    <w:rsid w:val="00132BFD"/>
    <w:rsid w:val="00133B32"/>
    <w:rsid w:val="00137CCB"/>
    <w:rsid w:val="0014096D"/>
    <w:rsid w:val="00141509"/>
    <w:rsid w:val="00141676"/>
    <w:rsid w:val="00144921"/>
    <w:rsid w:val="00146A4A"/>
    <w:rsid w:val="00146D55"/>
    <w:rsid w:val="001472ED"/>
    <w:rsid w:val="00147ADF"/>
    <w:rsid w:val="00155B6A"/>
    <w:rsid w:val="00155CEA"/>
    <w:rsid w:val="001576C1"/>
    <w:rsid w:val="001576EF"/>
    <w:rsid w:val="001576FE"/>
    <w:rsid w:val="0016022C"/>
    <w:rsid w:val="0016081E"/>
    <w:rsid w:val="00161CBA"/>
    <w:rsid w:val="00162E76"/>
    <w:rsid w:val="001706F9"/>
    <w:rsid w:val="00171987"/>
    <w:rsid w:val="00176D4E"/>
    <w:rsid w:val="00176D84"/>
    <w:rsid w:val="001802F0"/>
    <w:rsid w:val="00184F0E"/>
    <w:rsid w:val="00186A5C"/>
    <w:rsid w:val="0019055D"/>
    <w:rsid w:val="00192611"/>
    <w:rsid w:val="0019565B"/>
    <w:rsid w:val="0019626E"/>
    <w:rsid w:val="00197172"/>
    <w:rsid w:val="001A05C6"/>
    <w:rsid w:val="001A2179"/>
    <w:rsid w:val="001A325A"/>
    <w:rsid w:val="001A40F2"/>
    <w:rsid w:val="001B258B"/>
    <w:rsid w:val="001B2A69"/>
    <w:rsid w:val="001B3FA6"/>
    <w:rsid w:val="001B68F1"/>
    <w:rsid w:val="001B69FC"/>
    <w:rsid w:val="001B6AAA"/>
    <w:rsid w:val="001B6CF3"/>
    <w:rsid w:val="001C2897"/>
    <w:rsid w:val="001C45C7"/>
    <w:rsid w:val="001C4D0B"/>
    <w:rsid w:val="001D0A89"/>
    <w:rsid w:val="001D5C2D"/>
    <w:rsid w:val="001D7842"/>
    <w:rsid w:val="001E25A2"/>
    <w:rsid w:val="001F2C8C"/>
    <w:rsid w:val="0020001D"/>
    <w:rsid w:val="002024E6"/>
    <w:rsid w:val="00205A98"/>
    <w:rsid w:val="002077CE"/>
    <w:rsid w:val="0021162D"/>
    <w:rsid w:val="002132A8"/>
    <w:rsid w:val="002221CC"/>
    <w:rsid w:val="0022270C"/>
    <w:rsid w:val="00223E3F"/>
    <w:rsid w:val="002249F7"/>
    <w:rsid w:val="0022561F"/>
    <w:rsid w:val="0022666F"/>
    <w:rsid w:val="002274C7"/>
    <w:rsid w:val="00227D68"/>
    <w:rsid w:val="002305EF"/>
    <w:rsid w:val="0023295B"/>
    <w:rsid w:val="002341F5"/>
    <w:rsid w:val="0023668A"/>
    <w:rsid w:val="002400F8"/>
    <w:rsid w:val="00241F84"/>
    <w:rsid w:val="002430CA"/>
    <w:rsid w:val="0024466A"/>
    <w:rsid w:val="0024744A"/>
    <w:rsid w:val="0024790E"/>
    <w:rsid w:val="00250096"/>
    <w:rsid w:val="002550B8"/>
    <w:rsid w:val="002552B6"/>
    <w:rsid w:val="00255366"/>
    <w:rsid w:val="00256D63"/>
    <w:rsid w:val="002611DB"/>
    <w:rsid w:val="00262389"/>
    <w:rsid w:val="00262893"/>
    <w:rsid w:val="002640E3"/>
    <w:rsid w:val="0026550E"/>
    <w:rsid w:val="002665AA"/>
    <w:rsid w:val="0027044A"/>
    <w:rsid w:val="002711BA"/>
    <w:rsid w:val="002718DB"/>
    <w:rsid w:val="002726FD"/>
    <w:rsid w:val="00273129"/>
    <w:rsid w:val="00273404"/>
    <w:rsid w:val="00273A39"/>
    <w:rsid w:val="00273BF2"/>
    <w:rsid w:val="00281B29"/>
    <w:rsid w:val="00283689"/>
    <w:rsid w:val="002850AE"/>
    <w:rsid w:val="0028546D"/>
    <w:rsid w:val="00285CD1"/>
    <w:rsid w:val="00287B92"/>
    <w:rsid w:val="002917B4"/>
    <w:rsid w:val="00294381"/>
    <w:rsid w:val="002955DB"/>
    <w:rsid w:val="002973F8"/>
    <w:rsid w:val="002A2FE1"/>
    <w:rsid w:val="002A42D1"/>
    <w:rsid w:val="002A5803"/>
    <w:rsid w:val="002A72DD"/>
    <w:rsid w:val="002B0347"/>
    <w:rsid w:val="002B21FB"/>
    <w:rsid w:val="002B3050"/>
    <w:rsid w:val="002B31DD"/>
    <w:rsid w:val="002B3260"/>
    <w:rsid w:val="002B6BDB"/>
    <w:rsid w:val="002C31A5"/>
    <w:rsid w:val="002C50A0"/>
    <w:rsid w:val="002D1592"/>
    <w:rsid w:val="002D268C"/>
    <w:rsid w:val="002D2C95"/>
    <w:rsid w:val="002E23DB"/>
    <w:rsid w:val="002E26E7"/>
    <w:rsid w:val="002E41B5"/>
    <w:rsid w:val="002E7545"/>
    <w:rsid w:val="002E7E4B"/>
    <w:rsid w:val="002F0914"/>
    <w:rsid w:val="002F176A"/>
    <w:rsid w:val="002F35D0"/>
    <w:rsid w:val="002F4D40"/>
    <w:rsid w:val="002F5CFE"/>
    <w:rsid w:val="00301502"/>
    <w:rsid w:val="00301EDF"/>
    <w:rsid w:val="00301FBB"/>
    <w:rsid w:val="00303990"/>
    <w:rsid w:val="00304DFD"/>
    <w:rsid w:val="0030760B"/>
    <w:rsid w:val="00310ED0"/>
    <w:rsid w:val="00314E49"/>
    <w:rsid w:val="00315E10"/>
    <w:rsid w:val="00316BD7"/>
    <w:rsid w:val="00320D5D"/>
    <w:rsid w:val="00320DE9"/>
    <w:rsid w:val="00322B72"/>
    <w:rsid w:val="00324117"/>
    <w:rsid w:val="003245A3"/>
    <w:rsid w:val="003249FD"/>
    <w:rsid w:val="00332EC4"/>
    <w:rsid w:val="00334DBD"/>
    <w:rsid w:val="003372AF"/>
    <w:rsid w:val="00337755"/>
    <w:rsid w:val="003405C8"/>
    <w:rsid w:val="00341721"/>
    <w:rsid w:val="00344E0D"/>
    <w:rsid w:val="00344E5F"/>
    <w:rsid w:val="00346AC7"/>
    <w:rsid w:val="00346BA3"/>
    <w:rsid w:val="00347009"/>
    <w:rsid w:val="0035119B"/>
    <w:rsid w:val="003511E3"/>
    <w:rsid w:val="00351F0A"/>
    <w:rsid w:val="0035325D"/>
    <w:rsid w:val="003545F9"/>
    <w:rsid w:val="00354844"/>
    <w:rsid w:val="00354A20"/>
    <w:rsid w:val="00354B12"/>
    <w:rsid w:val="00354C6E"/>
    <w:rsid w:val="0035513A"/>
    <w:rsid w:val="003562A0"/>
    <w:rsid w:val="00357C93"/>
    <w:rsid w:val="0036293D"/>
    <w:rsid w:val="0036540A"/>
    <w:rsid w:val="003701D3"/>
    <w:rsid w:val="00371830"/>
    <w:rsid w:val="00374750"/>
    <w:rsid w:val="0037626A"/>
    <w:rsid w:val="00376C6A"/>
    <w:rsid w:val="00377EF8"/>
    <w:rsid w:val="00382C9B"/>
    <w:rsid w:val="00383671"/>
    <w:rsid w:val="003864E1"/>
    <w:rsid w:val="0039234A"/>
    <w:rsid w:val="003943C7"/>
    <w:rsid w:val="00394775"/>
    <w:rsid w:val="003976DC"/>
    <w:rsid w:val="003A296B"/>
    <w:rsid w:val="003A3FB0"/>
    <w:rsid w:val="003A409B"/>
    <w:rsid w:val="003A420C"/>
    <w:rsid w:val="003A513E"/>
    <w:rsid w:val="003A539C"/>
    <w:rsid w:val="003A78C1"/>
    <w:rsid w:val="003B2C39"/>
    <w:rsid w:val="003B3279"/>
    <w:rsid w:val="003B6C7E"/>
    <w:rsid w:val="003B749E"/>
    <w:rsid w:val="003B7BAA"/>
    <w:rsid w:val="003C0637"/>
    <w:rsid w:val="003C422E"/>
    <w:rsid w:val="003C46FF"/>
    <w:rsid w:val="003C59A0"/>
    <w:rsid w:val="003C7B03"/>
    <w:rsid w:val="003D01DF"/>
    <w:rsid w:val="003D2B4F"/>
    <w:rsid w:val="003D30E4"/>
    <w:rsid w:val="003D370D"/>
    <w:rsid w:val="003D3D95"/>
    <w:rsid w:val="003E0D90"/>
    <w:rsid w:val="003E1942"/>
    <w:rsid w:val="003E1C2C"/>
    <w:rsid w:val="003E1DE8"/>
    <w:rsid w:val="003E22E2"/>
    <w:rsid w:val="003E3F32"/>
    <w:rsid w:val="003E4918"/>
    <w:rsid w:val="003E5293"/>
    <w:rsid w:val="003F0D80"/>
    <w:rsid w:val="003F1FB2"/>
    <w:rsid w:val="003F305A"/>
    <w:rsid w:val="003F3DAB"/>
    <w:rsid w:val="003F43AE"/>
    <w:rsid w:val="003F54B1"/>
    <w:rsid w:val="003F7AD8"/>
    <w:rsid w:val="00400403"/>
    <w:rsid w:val="0040075A"/>
    <w:rsid w:val="00404DAC"/>
    <w:rsid w:val="0040754A"/>
    <w:rsid w:val="00411766"/>
    <w:rsid w:val="00411EC4"/>
    <w:rsid w:val="00413257"/>
    <w:rsid w:val="00417001"/>
    <w:rsid w:val="00417721"/>
    <w:rsid w:val="00417FCF"/>
    <w:rsid w:val="00423E46"/>
    <w:rsid w:val="00423ECC"/>
    <w:rsid w:val="004254AB"/>
    <w:rsid w:val="00425AD4"/>
    <w:rsid w:val="00426D4A"/>
    <w:rsid w:val="00427990"/>
    <w:rsid w:val="0043296E"/>
    <w:rsid w:val="004358DD"/>
    <w:rsid w:val="0044006D"/>
    <w:rsid w:val="00440E65"/>
    <w:rsid w:val="004413F7"/>
    <w:rsid w:val="00442455"/>
    <w:rsid w:val="0044687A"/>
    <w:rsid w:val="004558B1"/>
    <w:rsid w:val="00456651"/>
    <w:rsid w:val="004601D5"/>
    <w:rsid w:val="004621BC"/>
    <w:rsid w:val="00462482"/>
    <w:rsid w:val="00466958"/>
    <w:rsid w:val="004677E3"/>
    <w:rsid w:val="00472504"/>
    <w:rsid w:val="004749EA"/>
    <w:rsid w:val="00476B93"/>
    <w:rsid w:val="00476BE1"/>
    <w:rsid w:val="00477B53"/>
    <w:rsid w:val="0049069A"/>
    <w:rsid w:val="00494341"/>
    <w:rsid w:val="0049573B"/>
    <w:rsid w:val="00495BF5"/>
    <w:rsid w:val="00495EEC"/>
    <w:rsid w:val="0049654F"/>
    <w:rsid w:val="004A036A"/>
    <w:rsid w:val="004A2989"/>
    <w:rsid w:val="004A6320"/>
    <w:rsid w:val="004A6561"/>
    <w:rsid w:val="004A7FF6"/>
    <w:rsid w:val="004B13A4"/>
    <w:rsid w:val="004B1923"/>
    <w:rsid w:val="004B6176"/>
    <w:rsid w:val="004B6425"/>
    <w:rsid w:val="004B7AB4"/>
    <w:rsid w:val="004C151B"/>
    <w:rsid w:val="004C53F1"/>
    <w:rsid w:val="004C6D48"/>
    <w:rsid w:val="004C6F4B"/>
    <w:rsid w:val="004C7571"/>
    <w:rsid w:val="004C75C8"/>
    <w:rsid w:val="004C7AF0"/>
    <w:rsid w:val="004D332D"/>
    <w:rsid w:val="004D53F4"/>
    <w:rsid w:val="004E0B7A"/>
    <w:rsid w:val="004E39CF"/>
    <w:rsid w:val="004E4AB8"/>
    <w:rsid w:val="004E5A30"/>
    <w:rsid w:val="004F30EE"/>
    <w:rsid w:val="004F4B9E"/>
    <w:rsid w:val="005038DA"/>
    <w:rsid w:val="00504B75"/>
    <w:rsid w:val="005053E7"/>
    <w:rsid w:val="00505EFF"/>
    <w:rsid w:val="00506635"/>
    <w:rsid w:val="00506A36"/>
    <w:rsid w:val="00510D8F"/>
    <w:rsid w:val="00511E1A"/>
    <w:rsid w:val="00516FF1"/>
    <w:rsid w:val="00517A10"/>
    <w:rsid w:val="00521980"/>
    <w:rsid w:val="00521C0C"/>
    <w:rsid w:val="00524556"/>
    <w:rsid w:val="0053147E"/>
    <w:rsid w:val="00532F29"/>
    <w:rsid w:val="00536F68"/>
    <w:rsid w:val="005437E3"/>
    <w:rsid w:val="00547918"/>
    <w:rsid w:val="0055347B"/>
    <w:rsid w:val="00554388"/>
    <w:rsid w:val="005544B5"/>
    <w:rsid w:val="0055554D"/>
    <w:rsid w:val="005603EE"/>
    <w:rsid w:val="00560996"/>
    <w:rsid w:val="00561678"/>
    <w:rsid w:val="005639A0"/>
    <w:rsid w:val="00565AAF"/>
    <w:rsid w:val="00565EF0"/>
    <w:rsid w:val="00566709"/>
    <w:rsid w:val="00570BBC"/>
    <w:rsid w:val="00577A14"/>
    <w:rsid w:val="00582A4C"/>
    <w:rsid w:val="00586A54"/>
    <w:rsid w:val="00587FBE"/>
    <w:rsid w:val="00590F0F"/>
    <w:rsid w:val="0059139D"/>
    <w:rsid w:val="00593E79"/>
    <w:rsid w:val="00595DB4"/>
    <w:rsid w:val="0059617B"/>
    <w:rsid w:val="00596419"/>
    <w:rsid w:val="005976DE"/>
    <w:rsid w:val="005A0063"/>
    <w:rsid w:val="005A189A"/>
    <w:rsid w:val="005A1C66"/>
    <w:rsid w:val="005A2BD4"/>
    <w:rsid w:val="005A3558"/>
    <w:rsid w:val="005A3737"/>
    <w:rsid w:val="005A4D87"/>
    <w:rsid w:val="005A73B7"/>
    <w:rsid w:val="005A7588"/>
    <w:rsid w:val="005B0DA8"/>
    <w:rsid w:val="005B1CAD"/>
    <w:rsid w:val="005B1F83"/>
    <w:rsid w:val="005B315B"/>
    <w:rsid w:val="005B61CE"/>
    <w:rsid w:val="005B7BF2"/>
    <w:rsid w:val="005C1025"/>
    <w:rsid w:val="005C3012"/>
    <w:rsid w:val="005C491F"/>
    <w:rsid w:val="005D0163"/>
    <w:rsid w:val="005D03EC"/>
    <w:rsid w:val="005D067E"/>
    <w:rsid w:val="005D212B"/>
    <w:rsid w:val="005D241E"/>
    <w:rsid w:val="005D4CB9"/>
    <w:rsid w:val="005D55A6"/>
    <w:rsid w:val="005E213C"/>
    <w:rsid w:val="005E368C"/>
    <w:rsid w:val="005E372F"/>
    <w:rsid w:val="005E6FBA"/>
    <w:rsid w:val="005F1B62"/>
    <w:rsid w:val="005F1C05"/>
    <w:rsid w:val="005F2416"/>
    <w:rsid w:val="005F36A3"/>
    <w:rsid w:val="005F5F77"/>
    <w:rsid w:val="005F6E56"/>
    <w:rsid w:val="006018C6"/>
    <w:rsid w:val="00603272"/>
    <w:rsid w:val="006032F9"/>
    <w:rsid w:val="00604FB3"/>
    <w:rsid w:val="00607739"/>
    <w:rsid w:val="006134FF"/>
    <w:rsid w:val="00613ACD"/>
    <w:rsid w:val="006179A4"/>
    <w:rsid w:val="00623551"/>
    <w:rsid w:val="00623A95"/>
    <w:rsid w:val="006245B2"/>
    <w:rsid w:val="00625787"/>
    <w:rsid w:val="006264EC"/>
    <w:rsid w:val="00631697"/>
    <w:rsid w:val="00631F61"/>
    <w:rsid w:val="00632863"/>
    <w:rsid w:val="00633533"/>
    <w:rsid w:val="0063399A"/>
    <w:rsid w:val="00633F37"/>
    <w:rsid w:val="00646493"/>
    <w:rsid w:val="0065110C"/>
    <w:rsid w:val="006520CE"/>
    <w:rsid w:val="00657F36"/>
    <w:rsid w:val="00666E8F"/>
    <w:rsid w:val="00666FB5"/>
    <w:rsid w:val="006673FC"/>
    <w:rsid w:val="00672F4A"/>
    <w:rsid w:val="00672F54"/>
    <w:rsid w:val="006730CB"/>
    <w:rsid w:val="00673840"/>
    <w:rsid w:val="00674EBA"/>
    <w:rsid w:val="00674F4A"/>
    <w:rsid w:val="0067609C"/>
    <w:rsid w:val="00676D07"/>
    <w:rsid w:val="00680D94"/>
    <w:rsid w:val="00681A7D"/>
    <w:rsid w:val="006842F3"/>
    <w:rsid w:val="00684BB5"/>
    <w:rsid w:val="00684D21"/>
    <w:rsid w:val="0068605F"/>
    <w:rsid w:val="006875B5"/>
    <w:rsid w:val="00687FA6"/>
    <w:rsid w:val="00690DD6"/>
    <w:rsid w:val="00692250"/>
    <w:rsid w:val="00692337"/>
    <w:rsid w:val="00693F25"/>
    <w:rsid w:val="00694218"/>
    <w:rsid w:val="0069440E"/>
    <w:rsid w:val="00695694"/>
    <w:rsid w:val="00696240"/>
    <w:rsid w:val="00696276"/>
    <w:rsid w:val="006A050B"/>
    <w:rsid w:val="006A3050"/>
    <w:rsid w:val="006A3796"/>
    <w:rsid w:val="006A4D0C"/>
    <w:rsid w:val="006A5279"/>
    <w:rsid w:val="006A7D49"/>
    <w:rsid w:val="006B0E87"/>
    <w:rsid w:val="006B0F7D"/>
    <w:rsid w:val="006B1A4F"/>
    <w:rsid w:val="006B6E83"/>
    <w:rsid w:val="006B7658"/>
    <w:rsid w:val="006C0FD7"/>
    <w:rsid w:val="006C188D"/>
    <w:rsid w:val="006C1DFD"/>
    <w:rsid w:val="006C23D8"/>
    <w:rsid w:val="006C2858"/>
    <w:rsid w:val="006D1193"/>
    <w:rsid w:val="006D1CF5"/>
    <w:rsid w:val="006D5174"/>
    <w:rsid w:val="006E15DE"/>
    <w:rsid w:val="006E2062"/>
    <w:rsid w:val="006E3622"/>
    <w:rsid w:val="006E3E43"/>
    <w:rsid w:val="006E3EBB"/>
    <w:rsid w:val="006E4675"/>
    <w:rsid w:val="006E4727"/>
    <w:rsid w:val="006F3033"/>
    <w:rsid w:val="006F36E2"/>
    <w:rsid w:val="006F4874"/>
    <w:rsid w:val="006F51B7"/>
    <w:rsid w:val="006F60D7"/>
    <w:rsid w:val="006F7DB4"/>
    <w:rsid w:val="0070171F"/>
    <w:rsid w:val="00703D64"/>
    <w:rsid w:val="00703F63"/>
    <w:rsid w:val="007056D6"/>
    <w:rsid w:val="0071105D"/>
    <w:rsid w:val="00711110"/>
    <w:rsid w:val="0071132C"/>
    <w:rsid w:val="007137BB"/>
    <w:rsid w:val="007149ED"/>
    <w:rsid w:val="007167E3"/>
    <w:rsid w:val="0071714A"/>
    <w:rsid w:val="00726E26"/>
    <w:rsid w:val="00726EF6"/>
    <w:rsid w:val="0073596C"/>
    <w:rsid w:val="00735CF8"/>
    <w:rsid w:val="007379E2"/>
    <w:rsid w:val="007406FF"/>
    <w:rsid w:val="00741D2B"/>
    <w:rsid w:val="007469E9"/>
    <w:rsid w:val="00751ABA"/>
    <w:rsid w:val="00753113"/>
    <w:rsid w:val="0075333C"/>
    <w:rsid w:val="007552AB"/>
    <w:rsid w:val="00755EE7"/>
    <w:rsid w:val="007561CF"/>
    <w:rsid w:val="00756A74"/>
    <w:rsid w:val="00757EC7"/>
    <w:rsid w:val="00760057"/>
    <w:rsid w:val="00770C80"/>
    <w:rsid w:val="00776370"/>
    <w:rsid w:val="00776EA6"/>
    <w:rsid w:val="00777F13"/>
    <w:rsid w:val="007831E9"/>
    <w:rsid w:val="0078361A"/>
    <w:rsid w:val="00784CDA"/>
    <w:rsid w:val="00791F06"/>
    <w:rsid w:val="00792287"/>
    <w:rsid w:val="0079508D"/>
    <w:rsid w:val="007A0CB3"/>
    <w:rsid w:val="007A3DB0"/>
    <w:rsid w:val="007B31BB"/>
    <w:rsid w:val="007B66AD"/>
    <w:rsid w:val="007B7BAE"/>
    <w:rsid w:val="007C16D7"/>
    <w:rsid w:val="007C1814"/>
    <w:rsid w:val="007C4973"/>
    <w:rsid w:val="007C581D"/>
    <w:rsid w:val="007C78C8"/>
    <w:rsid w:val="007C79A0"/>
    <w:rsid w:val="007D55B3"/>
    <w:rsid w:val="007D5BCD"/>
    <w:rsid w:val="007E0818"/>
    <w:rsid w:val="007E13D2"/>
    <w:rsid w:val="007E25F9"/>
    <w:rsid w:val="007F2A41"/>
    <w:rsid w:val="007F3CC9"/>
    <w:rsid w:val="007F3DB9"/>
    <w:rsid w:val="007F40A7"/>
    <w:rsid w:val="008002AE"/>
    <w:rsid w:val="008007C8"/>
    <w:rsid w:val="00801F69"/>
    <w:rsid w:val="00802DB5"/>
    <w:rsid w:val="008066A0"/>
    <w:rsid w:val="00807921"/>
    <w:rsid w:val="00810C92"/>
    <w:rsid w:val="008126C0"/>
    <w:rsid w:val="00813189"/>
    <w:rsid w:val="00813C85"/>
    <w:rsid w:val="00815CBD"/>
    <w:rsid w:val="00816A1E"/>
    <w:rsid w:val="00820E05"/>
    <w:rsid w:val="00826AD4"/>
    <w:rsid w:val="00830CBE"/>
    <w:rsid w:val="00831227"/>
    <w:rsid w:val="0083122D"/>
    <w:rsid w:val="00832510"/>
    <w:rsid w:val="00832891"/>
    <w:rsid w:val="00833842"/>
    <w:rsid w:val="00835722"/>
    <w:rsid w:val="00837825"/>
    <w:rsid w:val="008401C5"/>
    <w:rsid w:val="0084126F"/>
    <w:rsid w:val="00842921"/>
    <w:rsid w:val="00844574"/>
    <w:rsid w:val="008458FA"/>
    <w:rsid w:val="008510F1"/>
    <w:rsid w:val="0085398C"/>
    <w:rsid w:val="0085726A"/>
    <w:rsid w:val="00857A33"/>
    <w:rsid w:val="008675B1"/>
    <w:rsid w:val="00871D37"/>
    <w:rsid w:val="0087419E"/>
    <w:rsid w:val="0087776B"/>
    <w:rsid w:val="008802E8"/>
    <w:rsid w:val="00880D80"/>
    <w:rsid w:val="008835DD"/>
    <w:rsid w:val="00883F2F"/>
    <w:rsid w:val="00884591"/>
    <w:rsid w:val="008858D2"/>
    <w:rsid w:val="00893729"/>
    <w:rsid w:val="008958FC"/>
    <w:rsid w:val="008961B5"/>
    <w:rsid w:val="008A1C0F"/>
    <w:rsid w:val="008A35D2"/>
    <w:rsid w:val="008A3917"/>
    <w:rsid w:val="008A6A73"/>
    <w:rsid w:val="008B7218"/>
    <w:rsid w:val="008B73D1"/>
    <w:rsid w:val="008C057F"/>
    <w:rsid w:val="008C274F"/>
    <w:rsid w:val="008C74D4"/>
    <w:rsid w:val="008D0756"/>
    <w:rsid w:val="008D20A1"/>
    <w:rsid w:val="008D5D98"/>
    <w:rsid w:val="008D7310"/>
    <w:rsid w:val="008E11E7"/>
    <w:rsid w:val="008E1DE0"/>
    <w:rsid w:val="008E49E2"/>
    <w:rsid w:val="008E4BC1"/>
    <w:rsid w:val="008E715E"/>
    <w:rsid w:val="008E7203"/>
    <w:rsid w:val="008E7C5F"/>
    <w:rsid w:val="008F1F0E"/>
    <w:rsid w:val="00900EA8"/>
    <w:rsid w:val="00900F1B"/>
    <w:rsid w:val="0090101A"/>
    <w:rsid w:val="00903C42"/>
    <w:rsid w:val="00905AC8"/>
    <w:rsid w:val="00907C09"/>
    <w:rsid w:val="00907F41"/>
    <w:rsid w:val="00915237"/>
    <w:rsid w:val="00916C64"/>
    <w:rsid w:val="00920405"/>
    <w:rsid w:val="00921E40"/>
    <w:rsid w:val="009232C1"/>
    <w:rsid w:val="009235E1"/>
    <w:rsid w:val="009260BE"/>
    <w:rsid w:val="00927A03"/>
    <w:rsid w:val="00927CAE"/>
    <w:rsid w:val="00931D17"/>
    <w:rsid w:val="00935D6F"/>
    <w:rsid w:val="00937919"/>
    <w:rsid w:val="00941031"/>
    <w:rsid w:val="00941290"/>
    <w:rsid w:val="0094430A"/>
    <w:rsid w:val="00947E40"/>
    <w:rsid w:val="00950E81"/>
    <w:rsid w:val="0095377C"/>
    <w:rsid w:val="009545E0"/>
    <w:rsid w:val="00954906"/>
    <w:rsid w:val="00960674"/>
    <w:rsid w:val="00964081"/>
    <w:rsid w:val="0097015D"/>
    <w:rsid w:val="009725FD"/>
    <w:rsid w:val="009727C1"/>
    <w:rsid w:val="00974DB9"/>
    <w:rsid w:val="00981045"/>
    <w:rsid w:val="009818A2"/>
    <w:rsid w:val="00983A77"/>
    <w:rsid w:val="00983C7C"/>
    <w:rsid w:val="00985AB2"/>
    <w:rsid w:val="00986781"/>
    <w:rsid w:val="009A089C"/>
    <w:rsid w:val="009A09DC"/>
    <w:rsid w:val="009A0B73"/>
    <w:rsid w:val="009A41AC"/>
    <w:rsid w:val="009A650E"/>
    <w:rsid w:val="009B11AF"/>
    <w:rsid w:val="009B38DC"/>
    <w:rsid w:val="009B4D99"/>
    <w:rsid w:val="009B7557"/>
    <w:rsid w:val="009C058A"/>
    <w:rsid w:val="009C0CFF"/>
    <w:rsid w:val="009C171C"/>
    <w:rsid w:val="009C1FF8"/>
    <w:rsid w:val="009C273E"/>
    <w:rsid w:val="009C2F83"/>
    <w:rsid w:val="009C56C7"/>
    <w:rsid w:val="009C70D3"/>
    <w:rsid w:val="009D1812"/>
    <w:rsid w:val="009D3BFF"/>
    <w:rsid w:val="009D4DA6"/>
    <w:rsid w:val="009D4F5D"/>
    <w:rsid w:val="009D6C15"/>
    <w:rsid w:val="009D7018"/>
    <w:rsid w:val="009D709F"/>
    <w:rsid w:val="009E2C36"/>
    <w:rsid w:val="009E4330"/>
    <w:rsid w:val="009E65B9"/>
    <w:rsid w:val="009F3863"/>
    <w:rsid w:val="009F3A04"/>
    <w:rsid w:val="009F3DCF"/>
    <w:rsid w:val="009F4D2A"/>
    <w:rsid w:val="009F537E"/>
    <w:rsid w:val="009F5567"/>
    <w:rsid w:val="009F5858"/>
    <w:rsid w:val="00A003D9"/>
    <w:rsid w:val="00A0307D"/>
    <w:rsid w:val="00A03548"/>
    <w:rsid w:val="00A042DB"/>
    <w:rsid w:val="00A046A6"/>
    <w:rsid w:val="00A04F61"/>
    <w:rsid w:val="00A05714"/>
    <w:rsid w:val="00A135D7"/>
    <w:rsid w:val="00A13974"/>
    <w:rsid w:val="00A13E08"/>
    <w:rsid w:val="00A22AC9"/>
    <w:rsid w:val="00A24A3A"/>
    <w:rsid w:val="00A25F41"/>
    <w:rsid w:val="00A30E97"/>
    <w:rsid w:val="00A347B5"/>
    <w:rsid w:val="00A36BAB"/>
    <w:rsid w:val="00A36DF5"/>
    <w:rsid w:val="00A40BA9"/>
    <w:rsid w:val="00A4561D"/>
    <w:rsid w:val="00A55003"/>
    <w:rsid w:val="00A556B5"/>
    <w:rsid w:val="00A56202"/>
    <w:rsid w:val="00A567DB"/>
    <w:rsid w:val="00A619BD"/>
    <w:rsid w:val="00A62641"/>
    <w:rsid w:val="00A63B92"/>
    <w:rsid w:val="00A6553F"/>
    <w:rsid w:val="00A739C8"/>
    <w:rsid w:val="00A80909"/>
    <w:rsid w:val="00A8158C"/>
    <w:rsid w:val="00A83C99"/>
    <w:rsid w:val="00A84156"/>
    <w:rsid w:val="00A8552E"/>
    <w:rsid w:val="00A86989"/>
    <w:rsid w:val="00A92E39"/>
    <w:rsid w:val="00AA1446"/>
    <w:rsid w:val="00AA498D"/>
    <w:rsid w:val="00AA5338"/>
    <w:rsid w:val="00AA6EC4"/>
    <w:rsid w:val="00AA79A9"/>
    <w:rsid w:val="00AB5A5A"/>
    <w:rsid w:val="00AC47F7"/>
    <w:rsid w:val="00AC4B89"/>
    <w:rsid w:val="00AC50AD"/>
    <w:rsid w:val="00AD0628"/>
    <w:rsid w:val="00AD31FB"/>
    <w:rsid w:val="00AD47C5"/>
    <w:rsid w:val="00AD4E19"/>
    <w:rsid w:val="00AD523F"/>
    <w:rsid w:val="00AE1E2B"/>
    <w:rsid w:val="00AE5964"/>
    <w:rsid w:val="00AE6A45"/>
    <w:rsid w:val="00AE7D43"/>
    <w:rsid w:val="00AF29DF"/>
    <w:rsid w:val="00AF6B1D"/>
    <w:rsid w:val="00B000F9"/>
    <w:rsid w:val="00B0209E"/>
    <w:rsid w:val="00B03D87"/>
    <w:rsid w:val="00B068F4"/>
    <w:rsid w:val="00B11AEB"/>
    <w:rsid w:val="00B12ED8"/>
    <w:rsid w:val="00B1753F"/>
    <w:rsid w:val="00B21399"/>
    <w:rsid w:val="00B232E6"/>
    <w:rsid w:val="00B26B6D"/>
    <w:rsid w:val="00B26C83"/>
    <w:rsid w:val="00B27038"/>
    <w:rsid w:val="00B35357"/>
    <w:rsid w:val="00B358BB"/>
    <w:rsid w:val="00B35E9D"/>
    <w:rsid w:val="00B40B2A"/>
    <w:rsid w:val="00B424B2"/>
    <w:rsid w:val="00B424CB"/>
    <w:rsid w:val="00B43508"/>
    <w:rsid w:val="00B45BA9"/>
    <w:rsid w:val="00B46BCE"/>
    <w:rsid w:val="00B47291"/>
    <w:rsid w:val="00B47A40"/>
    <w:rsid w:val="00B51F0B"/>
    <w:rsid w:val="00B54F7F"/>
    <w:rsid w:val="00B56C12"/>
    <w:rsid w:val="00B61DFD"/>
    <w:rsid w:val="00B627B2"/>
    <w:rsid w:val="00B633B6"/>
    <w:rsid w:val="00B657FD"/>
    <w:rsid w:val="00B67CA2"/>
    <w:rsid w:val="00B700C5"/>
    <w:rsid w:val="00B705C3"/>
    <w:rsid w:val="00B760AB"/>
    <w:rsid w:val="00B764E3"/>
    <w:rsid w:val="00B7770D"/>
    <w:rsid w:val="00B816AB"/>
    <w:rsid w:val="00B84BF4"/>
    <w:rsid w:val="00B92F4C"/>
    <w:rsid w:val="00B95EA2"/>
    <w:rsid w:val="00B95F75"/>
    <w:rsid w:val="00BA3327"/>
    <w:rsid w:val="00BA38F4"/>
    <w:rsid w:val="00BA3937"/>
    <w:rsid w:val="00BB3966"/>
    <w:rsid w:val="00BB5909"/>
    <w:rsid w:val="00BB61AB"/>
    <w:rsid w:val="00BB6A0F"/>
    <w:rsid w:val="00BC2F65"/>
    <w:rsid w:val="00BC32AC"/>
    <w:rsid w:val="00BC3692"/>
    <w:rsid w:val="00BC5742"/>
    <w:rsid w:val="00BC6359"/>
    <w:rsid w:val="00BD144B"/>
    <w:rsid w:val="00BE148B"/>
    <w:rsid w:val="00BE1611"/>
    <w:rsid w:val="00BE476A"/>
    <w:rsid w:val="00BE4EEC"/>
    <w:rsid w:val="00BE76D9"/>
    <w:rsid w:val="00BF4FA0"/>
    <w:rsid w:val="00BF57CE"/>
    <w:rsid w:val="00C00857"/>
    <w:rsid w:val="00C0755D"/>
    <w:rsid w:val="00C21022"/>
    <w:rsid w:val="00C2413D"/>
    <w:rsid w:val="00C27AC8"/>
    <w:rsid w:val="00C323EE"/>
    <w:rsid w:val="00C331F9"/>
    <w:rsid w:val="00C33B92"/>
    <w:rsid w:val="00C35261"/>
    <w:rsid w:val="00C35809"/>
    <w:rsid w:val="00C401FD"/>
    <w:rsid w:val="00C431C4"/>
    <w:rsid w:val="00C46EE4"/>
    <w:rsid w:val="00C46F91"/>
    <w:rsid w:val="00C47BAC"/>
    <w:rsid w:val="00C527C2"/>
    <w:rsid w:val="00C52F3A"/>
    <w:rsid w:val="00C554C7"/>
    <w:rsid w:val="00C6032C"/>
    <w:rsid w:val="00C635DC"/>
    <w:rsid w:val="00C63DFA"/>
    <w:rsid w:val="00C64CD9"/>
    <w:rsid w:val="00C7008C"/>
    <w:rsid w:val="00C70427"/>
    <w:rsid w:val="00C71DBC"/>
    <w:rsid w:val="00C720C6"/>
    <w:rsid w:val="00C74599"/>
    <w:rsid w:val="00C755DA"/>
    <w:rsid w:val="00C7786F"/>
    <w:rsid w:val="00C8105B"/>
    <w:rsid w:val="00C825E2"/>
    <w:rsid w:val="00C82CBE"/>
    <w:rsid w:val="00C83790"/>
    <w:rsid w:val="00C83ABD"/>
    <w:rsid w:val="00C84C0D"/>
    <w:rsid w:val="00C85B22"/>
    <w:rsid w:val="00C91EEA"/>
    <w:rsid w:val="00C9261F"/>
    <w:rsid w:val="00C92C8B"/>
    <w:rsid w:val="00C93A57"/>
    <w:rsid w:val="00C978A2"/>
    <w:rsid w:val="00CA088F"/>
    <w:rsid w:val="00CA1DB7"/>
    <w:rsid w:val="00CA1E9D"/>
    <w:rsid w:val="00CA389F"/>
    <w:rsid w:val="00CB1183"/>
    <w:rsid w:val="00CB2476"/>
    <w:rsid w:val="00CB26B9"/>
    <w:rsid w:val="00CB360F"/>
    <w:rsid w:val="00CB4EF6"/>
    <w:rsid w:val="00CB5E01"/>
    <w:rsid w:val="00CC26FC"/>
    <w:rsid w:val="00CC28F4"/>
    <w:rsid w:val="00CC4D22"/>
    <w:rsid w:val="00CD1610"/>
    <w:rsid w:val="00CD2F2B"/>
    <w:rsid w:val="00CD31A9"/>
    <w:rsid w:val="00CE1E12"/>
    <w:rsid w:val="00CE34C3"/>
    <w:rsid w:val="00CE36DE"/>
    <w:rsid w:val="00CF3BD6"/>
    <w:rsid w:val="00CF3CFB"/>
    <w:rsid w:val="00CF403F"/>
    <w:rsid w:val="00D029D0"/>
    <w:rsid w:val="00D02EFE"/>
    <w:rsid w:val="00D05463"/>
    <w:rsid w:val="00D05C90"/>
    <w:rsid w:val="00D05D56"/>
    <w:rsid w:val="00D05FA7"/>
    <w:rsid w:val="00D06BB7"/>
    <w:rsid w:val="00D11D1B"/>
    <w:rsid w:val="00D12D2F"/>
    <w:rsid w:val="00D13707"/>
    <w:rsid w:val="00D14895"/>
    <w:rsid w:val="00D15310"/>
    <w:rsid w:val="00D16C49"/>
    <w:rsid w:val="00D1705C"/>
    <w:rsid w:val="00D20473"/>
    <w:rsid w:val="00D22151"/>
    <w:rsid w:val="00D23602"/>
    <w:rsid w:val="00D270E4"/>
    <w:rsid w:val="00D321EE"/>
    <w:rsid w:val="00D3295F"/>
    <w:rsid w:val="00D402CC"/>
    <w:rsid w:val="00D40503"/>
    <w:rsid w:val="00D40BEC"/>
    <w:rsid w:val="00D40EEF"/>
    <w:rsid w:val="00D42B82"/>
    <w:rsid w:val="00D44365"/>
    <w:rsid w:val="00D51B08"/>
    <w:rsid w:val="00D53736"/>
    <w:rsid w:val="00D563DC"/>
    <w:rsid w:val="00D57FD2"/>
    <w:rsid w:val="00D630EF"/>
    <w:rsid w:val="00D64026"/>
    <w:rsid w:val="00D6519C"/>
    <w:rsid w:val="00D657A6"/>
    <w:rsid w:val="00D71804"/>
    <w:rsid w:val="00D745C0"/>
    <w:rsid w:val="00D74958"/>
    <w:rsid w:val="00D759C4"/>
    <w:rsid w:val="00D7633E"/>
    <w:rsid w:val="00D81302"/>
    <w:rsid w:val="00D8205B"/>
    <w:rsid w:val="00D8432B"/>
    <w:rsid w:val="00D86E1D"/>
    <w:rsid w:val="00D90C20"/>
    <w:rsid w:val="00D91323"/>
    <w:rsid w:val="00D91C81"/>
    <w:rsid w:val="00D92BBC"/>
    <w:rsid w:val="00D94629"/>
    <w:rsid w:val="00D95D58"/>
    <w:rsid w:val="00D96617"/>
    <w:rsid w:val="00DA2239"/>
    <w:rsid w:val="00DA2C17"/>
    <w:rsid w:val="00DA4707"/>
    <w:rsid w:val="00DA5B19"/>
    <w:rsid w:val="00DA65E3"/>
    <w:rsid w:val="00DA6D62"/>
    <w:rsid w:val="00DB117C"/>
    <w:rsid w:val="00DB2A65"/>
    <w:rsid w:val="00DB681D"/>
    <w:rsid w:val="00DC3EA0"/>
    <w:rsid w:val="00DC445D"/>
    <w:rsid w:val="00DD0F37"/>
    <w:rsid w:val="00DD4A38"/>
    <w:rsid w:val="00DD50DE"/>
    <w:rsid w:val="00DD7807"/>
    <w:rsid w:val="00DE4645"/>
    <w:rsid w:val="00DE7B7D"/>
    <w:rsid w:val="00DF2C98"/>
    <w:rsid w:val="00DF3506"/>
    <w:rsid w:val="00DF5FAA"/>
    <w:rsid w:val="00DF7277"/>
    <w:rsid w:val="00DF7D25"/>
    <w:rsid w:val="00E04C7C"/>
    <w:rsid w:val="00E05BB2"/>
    <w:rsid w:val="00E10C27"/>
    <w:rsid w:val="00E11365"/>
    <w:rsid w:val="00E11C74"/>
    <w:rsid w:val="00E20ACF"/>
    <w:rsid w:val="00E223A8"/>
    <w:rsid w:val="00E23202"/>
    <w:rsid w:val="00E242D9"/>
    <w:rsid w:val="00E246E9"/>
    <w:rsid w:val="00E254AF"/>
    <w:rsid w:val="00E3030E"/>
    <w:rsid w:val="00E30918"/>
    <w:rsid w:val="00E30E21"/>
    <w:rsid w:val="00E32A1B"/>
    <w:rsid w:val="00E4111B"/>
    <w:rsid w:val="00E41D18"/>
    <w:rsid w:val="00E4525A"/>
    <w:rsid w:val="00E46268"/>
    <w:rsid w:val="00E47D16"/>
    <w:rsid w:val="00E50473"/>
    <w:rsid w:val="00E51DC9"/>
    <w:rsid w:val="00E53780"/>
    <w:rsid w:val="00E53FA9"/>
    <w:rsid w:val="00E5481A"/>
    <w:rsid w:val="00E57EB6"/>
    <w:rsid w:val="00E62318"/>
    <w:rsid w:val="00E65627"/>
    <w:rsid w:val="00E664A6"/>
    <w:rsid w:val="00E676C9"/>
    <w:rsid w:val="00E71720"/>
    <w:rsid w:val="00E725EF"/>
    <w:rsid w:val="00E74DCB"/>
    <w:rsid w:val="00E75436"/>
    <w:rsid w:val="00E76E99"/>
    <w:rsid w:val="00E7770A"/>
    <w:rsid w:val="00E8179C"/>
    <w:rsid w:val="00E85501"/>
    <w:rsid w:val="00E85617"/>
    <w:rsid w:val="00E857BC"/>
    <w:rsid w:val="00E87738"/>
    <w:rsid w:val="00E907BB"/>
    <w:rsid w:val="00E91011"/>
    <w:rsid w:val="00E91238"/>
    <w:rsid w:val="00E936A6"/>
    <w:rsid w:val="00E93934"/>
    <w:rsid w:val="00E93AD3"/>
    <w:rsid w:val="00E93F7A"/>
    <w:rsid w:val="00E94639"/>
    <w:rsid w:val="00EA2751"/>
    <w:rsid w:val="00EA59A8"/>
    <w:rsid w:val="00EA5A5A"/>
    <w:rsid w:val="00EA5F8B"/>
    <w:rsid w:val="00EA6944"/>
    <w:rsid w:val="00EB484E"/>
    <w:rsid w:val="00EB4A38"/>
    <w:rsid w:val="00EB5983"/>
    <w:rsid w:val="00EB5F69"/>
    <w:rsid w:val="00EB62B1"/>
    <w:rsid w:val="00EB6560"/>
    <w:rsid w:val="00EC03F7"/>
    <w:rsid w:val="00EC4017"/>
    <w:rsid w:val="00EC45B1"/>
    <w:rsid w:val="00EC4C97"/>
    <w:rsid w:val="00EC5C50"/>
    <w:rsid w:val="00ED6680"/>
    <w:rsid w:val="00EE05B1"/>
    <w:rsid w:val="00EE328F"/>
    <w:rsid w:val="00EE5C20"/>
    <w:rsid w:val="00EE5EEE"/>
    <w:rsid w:val="00EE7020"/>
    <w:rsid w:val="00EF097E"/>
    <w:rsid w:val="00EF11DF"/>
    <w:rsid w:val="00EF3B68"/>
    <w:rsid w:val="00EF5C8C"/>
    <w:rsid w:val="00F001D4"/>
    <w:rsid w:val="00F00E63"/>
    <w:rsid w:val="00F027B8"/>
    <w:rsid w:val="00F02F0A"/>
    <w:rsid w:val="00F03208"/>
    <w:rsid w:val="00F11B0F"/>
    <w:rsid w:val="00F15F11"/>
    <w:rsid w:val="00F20BF5"/>
    <w:rsid w:val="00F20C5E"/>
    <w:rsid w:val="00F21C1D"/>
    <w:rsid w:val="00F23668"/>
    <w:rsid w:val="00F2397C"/>
    <w:rsid w:val="00F24603"/>
    <w:rsid w:val="00F256A0"/>
    <w:rsid w:val="00F2735C"/>
    <w:rsid w:val="00F30A4E"/>
    <w:rsid w:val="00F341C1"/>
    <w:rsid w:val="00F355BC"/>
    <w:rsid w:val="00F4037A"/>
    <w:rsid w:val="00F4200A"/>
    <w:rsid w:val="00F42096"/>
    <w:rsid w:val="00F44BA3"/>
    <w:rsid w:val="00F511B9"/>
    <w:rsid w:val="00F5276F"/>
    <w:rsid w:val="00F53C97"/>
    <w:rsid w:val="00F541C6"/>
    <w:rsid w:val="00F550AB"/>
    <w:rsid w:val="00F572E1"/>
    <w:rsid w:val="00F57F44"/>
    <w:rsid w:val="00F62C58"/>
    <w:rsid w:val="00F63341"/>
    <w:rsid w:val="00F63D73"/>
    <w:rsid w:val="00F66617"/>
    <w:rsid w:val="00F66C50"/>
    <w:rsid w:val="00F70495"/>
    <w:rsid w:val="00F7344B"/>
    <w:rsid w:val="00F737E1"/>
    <w:rsid w:val="00F77DEA"/>
    <w:rsid w:val="00F842AB"/>
    <w:rsid w:val="00F85317"/>
    <w:rsid w:val="00F85416"/>
    <w:rsid w:val="00F9149C"/>
    <w:rsid w:val="00F963EA"/>
    <w:rsid w:val="00F96C82"/>
    <w:rsid w:val="00FA40F8"/>
    <w:rsid w:val="00FA4BF0"/>
    <w:rsid w:val="00FA58B5"/>
    <w:rsid w:val="00FA75AA"/>
    <w:rsid w:val="00FB1901"/>
    <w:rsid w:val="00FB50AF"/>
    <w:rsid w:val="00FC04D4"/>
    <w:rsid w:val="00FC1DA4"/>
    <w:rsid w:val="00FC28EF"/>
    <w:rsid w:val="00FC29A2"/>
    <w:rsid w:val="00FC5CD7"/>
    <w:rsid w:val="00FC6DF5"/>
    <w:rsid w:val="00FC72DF"/>
    <w:rsid w:val="00FC7E2A"/>
    <w:rsid w:val="00FD3E47"/>
    <w:rsid w:val="00FD6FD3"/>
    <w:rsid w:val="00FE3094"/>
    <w:rsid w:val="00FE379A"/>
    <w:rsid w:val="00FE448F"/>
    <w:rsid w:val="00FF73ED"/>
    <w:rsid w:val="00FF7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23778"/>
  <w15:chartTrackingRefBased/>
  <w15:docId w15:val="{200FDE48-6FEA-46CC-A495-2E4B4CFB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05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Numbered Para 1,Bullet 1,Bullet Points,MAIN CONTENT,OBC Bullet,List Paragraph12,List Paragraph11,Colorful List - Accent 11,Normal numbered,L"/>
    <w:basedOn w:val="Normal"/>
    <w:link w:val="ListParagraphChar"/>
    <w:uiPriority w:val="34"/>
    <w:qFormat/>
    <w:rsid w:val="00C8105B"/>
    <w:pPr>
      <w:ind w:left="720"/>
      <w:contextualSpacing/>
    </w:pPr>
  </w:style>
  <w:style w:type="table" w:customStyle="1" w:styleId="TableGrid1">
    <w:name w:val="Table Grid1"/>
    <w:basedOn w:val="TableNormal"/>
    <w:uiPriority w:val="39"/>
    <w:rsid w:val="00C8105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C058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OBC Bullet Char,L Char"/>
    <w:link w:val="ListParagraph"/>
    <w:uiPriority w:val="34"/>
    <w:qFormat/>
    <w:locked/>
    <w:rsid w:val="009C058A"/>
    <w:rPr>
      <w:kern w:val="0"/>
      <w14:ligatures w14:val="none"/>
    </w:rPr>
  </w:style>
  <w:style w:type="paragraph" w:styleId="Header">
    <w:name w:val="header"/>
    <w:basedOn w:val="Normal"/>
    <w:link w:val="HeaderChar"/>
    <w:uiPriority w:val="99"/>
    <w:unhideWhenUsed/>
    <w:rsid w:val="009C05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58A"/>
    <w:rPr>
      <w:kern w:val="0"/>
      <w14:ligatures w14:val="none"/>
    </w:rPr>
  </w:style>
  <w:style w:type="paragraph" w:styleId="Footer">
    <w:name w:val="footer"/>
    <w:basedOn w:val="Normal"/>
    <w:link w:val="FooterChar"/>
    <w:uiPriority w:val="99"/>
    <w:unhideWhenUsed/>
    <w:rsid w:val="009C05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58A"/>
    <w:rPr>
      <w:kern w:val="0"/>
      <w14:ligatures w14:val="none"/>
    </w:rPr>
  </w:style>
  <w:style w:type="character" w:styleId="Hyperlink">
    <w:name w:val="Hyperlink"/>
    <w:basedOn w:val="DefaultParagraphFont"/>
    <w:uiPriority w:val="99"/>
    <w:unhideWhenUsed/>
    <w:rsid w:val="002C50A0"/>
    <w:rPr>
      <w:color w:val="0563C1" w:themeColor="hyperlink"/>
      <w:u w:val="single"/>
    </w:rPr>
  </w:style>
  <w:style w:type="character" w:styleId="UnresolvedMention">
    <w:name w:val="Unresolved Mention"/>
    <w:basedOn w:val="DefaultParagraphFont"/>
    <w:uiPriority w:val="99"/>
    <w:semiHidden/>
    <w:unhideWhenUsed/>
    <w:rsid w:val="002C50A0"/>
    <w:rPr>
      <w:color w:val="605E5C"/>
      <w:shd w:val="clear" w:color="auto" w:fill="E1DFDD"/>
    </w:rPr>
  </w:style>
  <w:style w:type="paragraph" w:styleId="Revision">
    <w:name w:val="Revision"/>
    <w:hidden/>
    <w:uiPriority w:val="99"/>
    <w:semiHidden/>
    <w:rsid w:val="0087776B"/>
    <w:pPr>
      <w:spacing w:after="0" w:line="240" w:lineRule="auto"/>
    </w:pPr>
    <w:rPr>
      <w:kern w:val="0"/>
      <w14:ligatures w14:val="none"/>
    </w:rPr>
  </w:style>
  <w:style w:type="character" w:styleId="CommentReference">
    <w:name w:val="annotation reference"/>
    <w:basedOn w:val="DefaultParagraphFont"/>
    <w:uiPriority w:val="99"/>
    <w:semiHidden/>
    <w:unhideWhenUsed/>
    <w:rsid w:val="00CB4EF6"/>
    <w:rPr>
      <w:sz w:val="16"/>
      <w:szCs w:val="16"/>
    </w:rPr>
  </w:style>
  <w:style w:type="paragraph" w:styleId="CommentText">
    <w:name w:val="annotation text"/>
    <w:basedOn w:val="Normal"/>
    <w:link w:val="CommentTextChar"/>
    <w:uiPriority w:val="99"/>
    <w:unhideWhenUsed/>
    <w:rsid w:val="00CB4EF6"/>
    <w:pPr>
      <w:spacing w:line="240" w:lineRule="auto"/>
    </w:pPr>
    <w:rPr>
      <w:sz w:val="20"/>
      <w:szCs w:val="20"/>
    </w:rPr>
  </w:style>
  <w:style w:type="character" w:customStyle="1" w:styleId="CommentTextChar">
    <w:name w:val="Comment Text Char"/>
    <w:basedOn w:val="DefaultParagraphFont"/>
    <w:link w:val="CommentText"/>
    <w:uiPriority w:val="99"/>
    <w:rsid w:val="00CB4EF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B4EF6"/>
    <w:rPr>
      <w:b/>
      <w:bCs/>
    </w:rPr>
  </w:style>
  <w:style w:type="character" w:customStyle="1" w:styleId="CommentSubjectChar">
    <w:name w:val="Comment Subject Char"/>
    <w:basedOn w:val="CommentTextChar"/>
    <w:link w:val="CommentSubject"/>
    <w:uiPriority w:val="99"/>
    <w:semiHidden/>
    <w:rsid w:val="00CB4EF6"/>
    <w:rPr>
      <w:b/>
      <w:bCs/>
      <w:kern w:val="0"/>
      <w:sz w:val="20"/>
      <w:szCs w:val="20"/>
      <w14:ligatures w14:val="none"/>
    </w:rPr>
  </w:style>
  <w:style w:type="paragraph" w:styleId="FootnoteText">
    <w:name w:val="footnote text"/>
    <w:basedOn w:val="Normal"/>
    <w:link w:val="FootnoteTextChar"/>
    <w:uiPriority w:val="99"/>
    <w:semiHidden/>
    <w:unhideWhenUsed/>
    <w:rsid w:val="004177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7721"/>
    <w:rPr>
      <w:kern w:val="0"/>
      <w:sz w:val="20"/>
      <w:szCs w:val="20"/>
      <w14:ligatures w14:val="none"/>
    </w:rPr>
  </w:style>
  <w:style w:type="character" w:styleId="FootnoteReference">
    <w:name w:val="footnote reference"/>
    <w:basedOn w:val="DefaultParagraphFont"/>
    <w:uiPriority w:val="99"/>
    <w:semiHidden/>
    <w:unhideWhenUsed/>
    <w:rsid w:val="00417721"/>
    <w:rPr>
      <w:vertAlign w:val="superscript"/>
    </w:rPr>
  </w:style>
  <w:style w:type="paragraph" w:customStyle="1" w:styleId="NormalText">
    <w:name w:val="Normal Text"/>
    <w:basedOn w:val="Normal"/>
    <w:link w:val="NormalTextChar"/>
    <w:qFormat/>
    <w:rsid w:val="00A8552E"/>
    <w:pPr>
      <w:spacing w:before="120" w:after="120"/>
    </w:pPr>
    <w:rPr>
      <w:rFonts w:asciiTheme="majorHAnsi" w:eastAsiaTheme="minorEastAsia" w:hAnsiTheme="majorHAnsi"/>
      <w:color w:val="404040" w:themeColor="text1" w:themeTint="BF"/>
      <w:sz w:val="24"/>
    </w:rPr>
  </w:style>
  <w:style w:type="character" w:customStyle="1" w:styleId="NormalTextChar">
    <w:name w:val="Normal Text Char"/>
    <w:basedOn w:val="DefaultParagraphFont"/>
    <w:link w:val="NormalText"/>
    <w:rsid w:val="00A8552E"/>
    <w:rPr>
      <w:rFonts w:asciiTheme="majorHAnsi" w:eastAsiaTheme="minorEastAsia" w:hAnsiTheme="majorHAnsi"/>
      <w:color w:val="404040" w:themeColor="text1" w:themeTint="BF"/>
      <w:kern w:val="0"/>
      <w:sz w:val="24"/>
      <w14:ligatures w14:val="none"/>
    </w:rPr>
  </w:style>
  <w:style w:type="character" w:customStyle="1" w:styleId="normaltextrun">
    <w:name w:val="normaltextrun"/>
    <w:basedOn w:val="DefaultParagraphFont"/>
    <w:rsid w:val="00073036"/>
  </w:style>
  <w:style w:type="character" w:customStyle="1" w:styleId="eop">
    <w:name w:val="eop"/>
    <w:basedOn w:val="DefaultParagraphFont"/>
    <w:rsid w:val="00073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41965">
      <w:bodyDiv w:val="1"/>
      <w:marLeft w:val="0"/>
      <w:marRight w:val="0"/>
      <w:marTop w:val="0"/>
      <w:marBottom w:val="0"/>
      <w:divBdr>
        <w:top w:val="none" w:sz="0" w:space="0" w:color="auto"/>
        <w:left w:val="none" w:sz="0" w:space="0" w:color="auto"/>
        <w:bottom w:val="none" w:sz="0" w:space="0" w:color="auto"/>
        <w:right w:val="none" w:sz="0" w:space="0" w:color="auto"/>
      </w:divBdr>
    </w:div>
    <w:div w:id="1569419723">
      <w:bodyDiv w:val="1"/>
      <w:marLeft w:val="0"/>
      <w:marRight w:val="0"/>
      <w:marTop w:val="0"/>
      <w:marBottom w:val="0"/>
      <w:divBdr>
        <w:top w:val="none" w:sz="0" w:space="0" w:color="auto"/>
        <w:left w:val="none" w:sz="0" w:space="0" w:color="auto"/>
        <w:bottom w:val="none" w:sz="0" w:space="0" w:color="auto"/>
        <w:right w:val="none" w:sz="0" w:space="0" w:color="auto"/>
      </w:divBdr>
      <w:divsChild>
        <w:div w:id="1947807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publichealthwales.shinyapps.io/PHOF_Dashboard_Eng/" TargetMode="External"/><Relationship Id="rId7" Type="http://schemas.openxmlformats.org/officeDocument/2006/relationships/hyperlink" Target="https://publichealthwales.shinyapps.io/PHOF_Dashboard_Eng/" TargetMode="External"/><Relationship Id="rId2" Type="http://schemas.openxmlformats.org/officeDocument/2006/relationships/hyperlink" Target="https://publichealthwales.nhs.wales/topics/immunisation-and-vaccines/cover-national-childhood-immunisation-uptake-data/cover-inequalities-reports/annual-inequalities-report-202324/" TargetMode="External"/><Relationship Id="rId1" Type="http://schemas.openxmlformats.org/officeDocument/2006/relationships/hyperlink" Target="https://publichealthwales.nhs.wales/topics/immunisation-and-vaccines/cover-national-childhood-immunisation-uptake-data/cover-archive-folder/annual-reports/vaccine-uptake-in-children-in-wales-cover-annual-report-2024/" TargetMode="External"/><Relationship Id="rId6" Type="http://schemas.openxmlformats.org/officeDocument/2006/relationships/hyperlink" Target="https://publichealthwales.shinyapps.io/PHOF_Dashboard_Eng/" TargetMode="External"/><Relationship Id="rId5" Type="http://schemas.openxmlformats.org/officeDocument/2006/relationships/hyperlink" Target="https://www.ons.gov.uk/peoplepopulationandcommunity/healthandsocialcare/causesofdeath/bulletins/avoidablemortalityinenglandandwales/latest" TargetMode="External"/><Relationship Id="rId4" Type="http://schemas.openxmlformats.org/officeDocument/2006/relationships/hyperlink" Target="https://publichealthwales.shinyapps.io/PHOF_Dashboard_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80EBD41D887E4781DDA64C63846FAE" ma:contentTypeVersion="6" ma:contentTypeDescription="Create a new document." ma:contentTypeScope="" ma:versionID="504b21fe172b4798a9fea2794c0a4d61">
  <xsd:schema xmlns:xsd="http://www.w3.org/2001/XMLSchema" xmlns:xs="http://www.w3.org/2001/XMLSchema" xmlns:p="http://schemas.microsoft.com/office/2006/metadata/properties" xmlns:ns2="bb216268-9dd4-4a20-8cf2-4f7d4a6a7b70" targetNamespace="http://schemas.microsoft.com/office/2006/metadata/properties" ma:root="true" ma:fieldsID="ba0e49dfbdb57bc6a22d0deecb20fd2e" ns2:_="">
    <xsd:import namespace="bb216268-9dd4-4a20-8cf2-4f7d4a6a7b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16268-9dd4-4a20-8cf2-4f7d4a6a7b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FF3C5B18883D4E21973B57C2EEED7FD1" version="1.0.0">
  <systemFields>
    <field name="Objective-Id">
      <value order="0">A56000785</value>
    </field>
    <field name="Objective-Title">
      <value order="0">MINISTERIAL TEMPLATE 25-28</value>
    </field>
    <field name="Objective-Description">
      <value order="0"/>
    </field>
    <field name="Objective-CreationStamp">
      <value order="0">2024-12-03T13:14:07Z</value>
    </field>
    <field name="Objective-IsApproved">
      <value order="0">false</value>
    </field>
    <field name="Objective-IsPublished">
      <value order="0">true</value>
    </field>
    <field name="Objective-DatePublished">
      <value order="0">2024-12-19T16:32:41Z</value>
    </field>
    <field name="Objective-ModificationStamp">
      <value order="0">2024-12-19T16:32:41Z</value>
    </field>
    <field name="Objective-Owner">
      <value order="0">Shurn, Brent (HSCEY - NHS Wales Performance - Delivery &amp; Performance)</value>
    </field>
    <field name="Objective-Path">
      <value order="0">Objective Global Folder:#Business File Plan:WG Organisational Groups:Post April 2024 - Health, Social Care &amp; Early Years:Deputy Chief Executive NHS Wales:Health, Social Care &amp; Early Years (HSCEY) - DCE - Delivery &amp; Performance :1 - Save:Move:Planning:Framework 2025 - 2028 Onwards:Delivery and Performance - Integrated Meduim Term Plan - Framework - 2025-2028:Framework Structure 25-28</value>
    </field>
    <field name="Objective-Parent">
      <value order="0">Framework Structure 25-28</value>
    </field>
    <field name="Objective-State">
      <value order="0">Published</value>
    </field>
    <field name="Objective-VersionId">
      <value order="0">vA102176373</value>
    </field>
    <field name="Objective-Version">
      <value order="0">4.0</value>
    </field>
    <field name="Objective-VersionNumber">
      <value order="0">7</value>
    </field>
    <field name="Objective-VersionComment">
      <value order="0"/>
    </field>
    <field name="Objective-FileNumber">
      <value order="0">qA2149200</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4AEFD5F2-5A88-467E-9AA8-A2B52BCADAF0}">
  <ds:schemaRefs>
    <ds:schemaRef ds:uri="http://schemas.microsoft.com/sharepoint/v3/contenttype/forms"/>
  </ds:schemaRefs>
</ds:datastoreItem>
</file>

<file path=customXml/itemProps2.xml><?xml version="1.0" encoding="utf-8"?>
<ds:datastoreItem xmlns:ds="http://schemas.openxmlformats.org/officeDocument/2006/customXml" ds:itemID="{F4015476-3DDD-418A-914E-92D6BA49DA97}">
  <ds:schemaRefs>
    <ds:schemaRef ds:uri="http://schemas.microsoft.com/office/2006/metadata/properties"/>
    <ds:schemaRef ds:uri="http://schemas.microsoft.com/office/2006/documentManagement/types"/>
    <ds:schemaRef ds:uri="http://www.w3.org/XML/1998/namespace"/>
    <ds:schemaRef ds:uri="bb216268-9dd4-4a20-8cf2-4f7d4a6a7b70"/>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093D67E-9DFE-4745-B1C1-881A9148B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16268-9dd4-4a20-8cf2-4f7d4a6a7b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Normal.dotm</Template>
  <TotalTime>2068</TotalTime>
  <Pages>14</Pages>
  <Words>5124</Words>
  <Characters>29212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34268</CharactersWithSpaces>
  <SharedDoc>false</SharedDoc>
  <HLinks>
    <vt:vector size="42" baseType="variant">
      <vt:variant>
        <vt:i4>3932276</vt:i4>
      </vt:variant>
      <vt:variant>
        <vt:i4>18</vt:i4>
      </vt:variant>
      <vt:variant>
        <vt:i4>0</vt:i4>
      </vt:variant>
      <vt:variant>
        <vt:i4>5</vt:i4>
      </vt:variant>
      <vt:variant>
        <vt:lpwstr>https://publichealthwales.shinyapps.io/PHOF_Dashboard_Eng/</vt:lpwstr>
      </vt:variant>
      <vt:variant>
        <vt:lpwstr/>
      </vt:variant>
      <vt:variant>
        <vt:i4>3932276</vt:i4>
      </vt:variant>
      <vt:variant>
        <vt:i4>15</vt:i4>
      </vt:variant>
      <vt:variant>
        <vt:i4>0</vt:i4>
      </vt:variant>
      <vt:variant>
        <vt:i4>5</vt:i4>
      </vt:variant>
      <vt:variant>
        <vt:lpwstr>https://publichealthwales.shinyapps.io/PHOF_Dashboard_Eng/</vt:lpwstr>
      </vt:variant>
      <vt:variant>
        <vt:lpwstr/>
      </vt:variant>
      <vt:variant>
        <vt:i4>6357093</vt:i4>
      </vt:variant>
      <vt:variant>
        <vt:i4>12</vt:i4>
      </vt:variant>
      <vt:variant>
        <vt:i4>0</vt:i4>
      </vt:variant>
      <vt:variant>
        <vt:i4>5</vt:i4>
      </vt:variant>
      <vt:variant>
        <vt:lpwstr>https://www.ons.gov.uk/peoplepopulationandcommunity/healthandsocialcare/causesofdeath/bulletins/avoidablemortalityinenglandandwales/latest</vt:lpwstr>
      </vt:variant>
      <vt:variant>
        <vt:lpwstr/>
      </vt:variant>
      <vt:variant>
        <vt:i4>3932276</vt:i4>
      </vt:variant>
      <vt:variant>
        <vt:i4>9</vt:i4>
      </vt:variant>
      <vt:variant>
        <vt:i4>0</vt:i4>
      </vt:variant>
      <vt:variant>
        <vt:i4>5</vt:i4>
      </vt:variant>
      <vt:variant>
        <vt:lpwstr>https://publichealthwales.shinyapps.io/PHOF_Dashboard_Eng/</vt:lpwstr>
      </vt:variant>
      <vt:variant>
        <vt:lpwstr/>
      </vt:variant>
      <vt:variant>
        <vt:i4>3932276</vt:i4>
      </vt:variant>
      <vt:variant>
        <vt:i4>6</vt:i4>
      </vt:variant>
      <vt:variant>
        <vt:i4>0</vt:i4>
      </vt:variant>
      <vt:variant>
        <vt:i4>5</vt:i4>
      </vt:variant>
      <vt:variant>
        <vt:lpwstr>https://publichealthwales.shinyapps.io/PHOF_Dashboard_Eng/</vt:lpwstr>
      </vt:variant>
      <vt:variant>
        <vt:lpwstr/>
      </vt:variant>
      <vt:variant>
        <vt:i4>4784150</vt:i4>
      </vt:variant>
      <vt:variant>
        <vt:i4>3</vt:i4>
      </vt:variant>
      <vt:variant>
        <vt:i4>0</vt:i4>
      </vt:variant>
      <vt:variant>
        <vt:i4>5</vt:i4>
      </vt:variant>
      <vt:variant>
        <vt:lpwstr>https://publichealthwales.nhs.wales/topics/immunisation-and-vaccines/cover-national-childhood-immunisation-uptake-data/cover-inequalities-reports/annual-inequalities-report-202324/</vt:lpwstr>
      </vt:variant>
      <vt:variant>
        <vt:lpwstr/>
      </vt:variant>
      <vt:variant>
        <vt:i4>5439515</vt:i4>
      </vt:variant>
      <vt:variant>
        <vt:i4>0</vt:i4>
      </vt:variant>
      <vt:variant>
        <vt:i4>0</vt:i4>
      </vt:variant>
      <vt:variant>
        <vt:i4>5</vt:i4>
      </vt:variant>
      <vt:variant>
        <vt:lpwstr>https://publichealthwales.nhs.wales/topics/immunisation-and-vaccines/cover-national-childhood-immunisation-uptake-data/cover-archive-folder/annual-reports/vaccine-uptake-in-children-in-wales-cover-annual-report-2024/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Giles, Heather (HSS - NHS Planning)</dc:creator>
  <cp:keywords/>
  <dc:description/>
  <cp:lastModifiedBy>Danielle Seivwright (Public Health Wales - No. 2 Capital Quarter)</cp:lastModifiedBy>
  <cp:revision>565</cp:revision>
  <dcterms:created xsi:type="dcterms:W3CDTF">2025-01-21T20:58:00Z</dcterms:created>
  <dcterms:modified xsi:type="dcterms:W3CDTF">2025-03-19T16:07:00Z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A56000785</vt:lpwstr>
  </property>
  <property fmtid="{D5CDD505-2E9C-101B-9397-08002B2CF9AE}" pid="4" name="Objective-Title">
    <vt:lpwstr>MINISTERIAL TEMPLATE 25-28</vt:lpwstr>
  </property>
  <property fmtid="{D5CDD505-2E9C-101B-9397-08002B2CF9AE}" pid="5" name="Objective-Description">
    <vt:lpwstr/>
  </property>
  <property fmtid="{D5CDD505-2E9C-101B-9397-08002B2CF9AE}" pid="6" name="Objective-CreationStamp">
    <vt:filetime>2024-12-03T13:14:07Z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2024-12-19T16:32:41Z</vt:filetime>
  </property>
  <property fmtid="{D5CDD505-2E9C-101B-9397-08002B2CF9AE}" pid="10" name="Objective-ModificationStamp">
    <vt:filetime>2024-12-19T16:32:41Z</vt:filetime>
  </property>
  <property fmtid="{D5CDD505-2E9C-101B-9397-08002B2CF9AE}" pid="11" name="Objective-Owner">
    <vt:lpwstr>Shurn, Brent (HSCEY - NHS Wales Performance - Delivery &amp; Performance)</vt:lpwstr>
  </property>
  <property fmtid="{D5CDD505-2E9C-101B-9397-08002B2CF9AE}" pid="12" name="Objective-Path">
    <vt:lpwstr>Objective Global Folder:#Business File Plan:WG Organisational Groups:Post April 2024 - Health, Social Care &amp; Early Years:Deputy Chief Executive NHS Wales:Health, Social Care &amp; Early Years (HSCEY) - DCE - Delivery &amp; Performance :1 - Save:Move:Planning:Framework 2025 - 2028 Onwards:Delivery and Performance - Integrated Meduim Term Plan - Framework - 2025-2028:Framework Structure 25-28:</vt:lpwstr>
  </property>
  <property fmtid="{D5CDD505-2E9C-101B-9397-08002B2CF9AE}" pid="13" name="Objective-Parent">
    <vt:lpwstr>Framework Structure 25-28</vt:lpwstr>
  </property>
  <property fmtid="{D5CDD505-2E9C-101B-9397-08002B2CF9AE}" pid="14" name="Objective-State">
    <vt:lpwstr>Published</vt:lpwstr>
  </property>
  <property fmtid="{D5CDD505-2E9C-101B-9397-08002B2CF9AE}" pid="15" name="Objective-VersionId">
    <vt:lpwstr>vA102176373</vt:lpwstr>
  </property>
  <property fmtid="{D5CDD505-2E9C-101B-9397-08002B2CF9AE}" pid="16" name="Objective-Version">
    <vt:lpwstr>4.0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Acquired">
    <vt:lpwstr/>
  </property>
  <property fmtid="{D5CDD505-2E9C-101B-9397-08002B2CF9AE}" pid="23" name="Objective-Official Translation">
    <vt:lpwstr/>
  </property>
  <property fmtid="{D5CDD505-2E9C-101B-9397-08002B2CF9AE}" pid="24" name="Objective-Connect Creator">
    <vt:lpwstr/>
  </property>
  <property fmtid="{D5CDD505-2E9C-101B-9397-08002B2CF9AE}" pid="25" name="Objective-Comment">
    <vt:lpwstr/>
  </property>
  <property fmtid="{D5CDD505-2E9C-101B-9397-08002B2CF9AE}" pid="26" name="ContentTypeId">
    <vt:lpwstr>0x0101007680EBD41D887E4781DDA64C63846FAE</vt:lpwstr>
  </property>
</Properties>
</file>