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B366" w14:textId="77777777" w:rsidR="00886AF1" w:rsidRPr="0050057E" w:rsidRDefault="00886AF1" w:rsidP="00886AF1">
      <w:pPr>
        <w:jc w:val="right"/>
        <w:rPr>
          <w:rFonts w:ascii="Verdana" w:hAnsi="Verdana" w:cs="Arial"/>
          <w:b/>
          <w:sz w:val="24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402"/>
        <w:gridCol w:w="3287"/>
      </w:tblGrid>
      <w:tr w:rsidR="009E374F" w:rsidRPr="00772AAF" w14:paraId="17F0F03F" w14:textId="77777777" w:rsidTr="009E374F">
        <w:trPr>
          <w:trHeight w:val="82"/>
          <w:jc w:val="center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33EF" w14:textId="77777777" w:rsidR="009E374F" w:rsidRPr="00772AAF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  <w:r w:rsidRPr="00772AAF">
              <w:rPr>
                <w:rFonts w:ascii="Verdana" w:hAnsi="Verdana"/>
                <w:b/>
                <w:noProof/>
                <w:sz w:val="24"/>
              </w:rPr>
              <w:drawing>
                <wp:inline distT="0" distB="0" distL="0" distR="0" wp14:anchorId="11698DE0" wp14:editId="19748353">
                  <wp:extent cx="4343081" cy="1021080"/>
                  <wp:effectExtent l="0" t="0" r="635" b="762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271" cy="10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368A" w14:textId="77777777" w:rsidR="009E374F" w:rsidRPr="00772AAF" w:rsidRDefault="009E374F" w:rsidP="00CA78AF">
            <w:pPr>
              <w:jc w:val="right"/>
              <w:rPr>
                <w:rFonts w:ascii="Verdana" w:hAnsi="Verdana"/>
                <w:b/>
                <w:sz w:val="24"/>
              </w:rPr>
            </w:pPr>
            <w:r w:rsidRPr="00772AAF">
              <w:rPr>
                <w:rFonts w:ascii="Verdana" w:hAnsi="Verdana"/>
                <w:b/>
                <w:sz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01EC7E8BE855468C913B9BC755BEA469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rFonts w:ascii="Arial" w:hAnsi="Arial"/>
                <w:b/>
                <w:sz w:val="28"/>
              </w:rPr>
            </w:sdtEndPr>
            <w:sdtContent>
              <w:p w14:paraId="55DCF006" w14:textId="77777777" w:rsidR="009E374F" w:rsidRPr="00772AAF" w:rsidRDefault="009E374F" w:rsidP="00CA78AF">
                <w:pPr>
                  <w:jc w:val="right"/>
                  <w:rPr>
                    <w:rFonts w:ascii="Verdana" w:hAnsi="Verdana"/>
                    <w:b/>
                    <w:sz w:val="24"/>
                  </w:rPr>
                </w:pPr>
                <w:r w:rsidRPr="00772AAF"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6D72E0" w:rsidRPr="00772AAF" w14:paraId="2B9CCBF7" w14:textId="77777777" w:rsidTr="009E374F">
        <w:trPr>
          <w:trHeight w:val="77"/>
          <w:jc w:val="center"/>
        </w:trPr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611A" w14:textId="77777777" w:rsidR="009E374F" w:rsidRPr="00772AAF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2EF78" w14:textId="77777777" w:rsidR="009E374F" w:rsidRPr="00772AAF" w:rsidRDefault="009E374F" w:rsidP="009E374F">
            <w:pPr>
              <w:jc w:val="right"/>
              <w:rPr>
                <w:rFonts w:ascii="Verdana" w:hAnsi="Verdana"/>
                <w:sz w:val="24"/>
              </w:rPr>
            </w:pPr>
            <w:r w:rsidRPr="00772AAF">
              <w:rPr>
                <w:rFonts w:ascii="Verdana" w:hAnsi="Verdana"/>
                <w:b/>
                <w:sz w:val="24"/>
              </w:rPr>
              <w:t>Date of Meeting</w:t>
            </w:r>
          </w:p>
          <w:p w14:paraId="2369C44F" w14:textId="6FA02C37" w:rsidR="009E374F" w:rsidRPr="00772AAF" w:rsidRDefault="007E2232" w:rsidP="001E23C4">
            <w:pPr>
              <w:jc w:val="righ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24 November</w:t>
            </w:r>
            <w:r w:rsidR="005577BE">
              <w:rPr>
                <w:rFonts w:ascii="Verdana" w:hAnsi="Verdana"/>
                <w:sz w:val="24"/>
              </w:rPr>
              <w:t xml:space="preserve"> 2022 </w:t>
            </w:r>
          </w:p>
        </w:tc>
      </w:tr>
      <w:tr w:rsidR="009E374F" w:rsidRPr="00772AAF" w14:paraId="238A7855" w14:textId="77777777" w:rsidTr="009E374F">
        <w:trPr>
          <w:trHeight w:val="77"/>
          <w:jc w:val="center"/>
        </w:trPr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7E39" w14:textId="77777777" w:rsidR="009E374F" w:rsidRPr="00772AAF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3316" w14:textId="77777777" w:rsidR="009E374F" w:rsidRPr="00772AAF" w:rsidRDefault="009E374F" w:rsidP="009E374F">
            <w:pPr>
              <w:jc w:val="right"/>
              <w:rPr>
                <w:rFonts w:ascii="Verdana" w:hAnsi="Verdana"/>
                <w:b/>
                <w:sz w:val="24"/>
              </w:rPr>
            </w:pPr>
            <w:r w:rsidRPr="00772AAF">
              <w:rPr>
                <w:rFonts w:ascii="Verdana" w:hAnsi="Verdana"/>
                <w:b/>
                <w:sz w:val="24"/>
              </w:rPr>
              <w:t>Agenda item</w:t>
            </w:r>
          </w:p>
          <w:p w14:paraId="5EC0BFC9" w14:textId="04A839C3" w:rsidR="009E374F" w:rsidRPr="00772AAF" w:rsidRDefault="00330240" w:rsidP="00330240">
            <w:pPr>
              <w:jc w:val="righ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7.1</w:t>
            </w:r>
            <w:bookmarkStart w:id="0" w:name="_GoBack"/>
            <w:bookmarkEnd w:id="0"/>
          </w:p>
        </w:tc>
      </w:tr>
      <w:tr w:rsidR="00EC0C72" w:rsidRPr="00772AAF" w14:paraId="2F7E8187" w14:textId="77777777" w:rsidTr="00C90784">
        <w:trPr>
          <w:trHeight w:val="425"/>
          <w:jc w:val="center"/>
        </w:trPr>
        <w:tc>
          <w:tcPr>
            <w:tcW w:w="10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2774" w14:textId="77777777" w:rsidR="00CA78AF" w:rsidRPr="00772AAF" w:rsidRDefault="00CA78AF" w:rsidP="0074340F">
            <w:pPr>
              <w:rPr>
                <w:rStyle w:val="Dropdown"/>
                <w:b/>
              </w:rPr>
            </w:pPr>
          </w:p>
          <w:p w14:paraId="68F1470F" w14:textId="7C153389" w:rsidR="00EC0C72" w:rsidRPr="00772AAF" w:rsidRDefault="006F7DA4" w:rsidP="0074340F">
            <w:pPr>
              <w:rPr>
                <w:rStyle w:val="Dropdown"/>
                <w:b/>
              </w:rPr>
            </w:pPr>
            <w:r w:rsidRPr="00772AAF">
              <w:rPr>
                <w:rStyle w:val="Dropdown"/>
                <w:b/>
              </w:rPr>
              <w:t>C</w:t>
            </w:r>
            <w:r w:rsidR="005577BE">
              <w:rPr>
                <w:rStyle w:val="Dropdown"/>
                <w:b/>
              </w:rPr>
              <w:t xml:space="preserve">hair’s Report to the Board concerning the matters considered in the Private </w:t>
            </w:r>
            <w:r w:rsidR="00752AD7">
              <w:rPr>
                <w:rStyle w:val="Dropdown"/>
                <w:b/>
              </w:rPr>
              <w:t xml:space="preserve">Board meeting of the </w:t>
            </w:r>
            <w:r w:rsidR="004A2B1B">
              <w:rPr>
                <w:rStyle w:val="Dropdown"/>
                <w:b/>
              </w:rPr>
              <w:t>29 September</w:t>
            </w:r>
            <w:r w:rsidR="00967AFA">
              <w:rPr>
                <w:rStyle w:val="Dropdown"/>
                <w:b/>
              </w:rPr>
              <w:t xml:space="preserve"> 2022. </w:t>
            </w:r>
          </w:p>
          <w:p w14:paraId="0B3FF3F4" w14:textId="77777777" w:rsidR="00CA78AF" w:rsidRPr="00772AAF" w:rsidRDefault="00CA78AF" w:rsidP="0074340F">
            <w:pPr>
              <w:rPr>
                <w:rStyle w:val="Dropdown"/>
                <w:b/>
              </w:rPr>
            </w:pPr>
          </w:p>
        </w:tc>
      </w:tr>
      <w:tr w:rsidR="00752AD7" w:rsidRPr="00772AAF" w14:paraId="0BE7493C" w14:textId="77777777" w:rsidTr="00752AD7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E020" w14:textId="77777777" w:rsidR="00752AD7" w:rsidRPr="00752AD7" w:rsidRDefault="00752AD7" w:rsidP="00005BC0">
            <w:pPr>
              <w:rPr>
                <w:rFonts w:ascii="Verdana" w:hAnsi="Verdana" w:cs="Arial"/>
                <w:b/>
                <w:sz w:val="24"/>
              </w:rPr>
            </w:pPr>
            <w:r w:rsidRPr="00752AD7">
              <w:rPr>
                <w:rFonts w:ascii="Verdana" w:hAnsi="Verdana" w:cs="Arial"/>
                <w:b/>
                <w:sz w:val="24"/>
              </w:rPr>
              <w:t>Chair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FB6C" w14:textId="77777777" w:rsidR="00752AD7" w:rsidRPr="00005BC0" w:rsidRDefault="00752AD7" w:rsidP="00752AD7">
            <w:pPr>
              <w:rPr>
                <w:rFonts w:ascii="Verdana" w:hAnsi="Verdana" w:cs="Arial"/>
                <w:b/>
                <w:sz w:val="22"/>
              </w:rPr>
            </w:pPr>
            <w:r w:rsidRPr="00005BC0">
              <w:rPr>
                <w:rFonts w:ascii="Verdana" w:hAnsi="Verdana" w:cs="Arial"/>
                <w:sz w:val="22"/>
              </w:rPr>
              <w:t>Jan Williams</w:t>
            </w:r>
          </w:p>
        </w:tc>
      </w:tr>
      <w:tr w:rsidR="00752AD7" w:rsidRPr="00772AAF" w14:paraId="446CEA68" w14:textId="77777777" w:rsidTr="00752AD7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144F5" w14:textId="77777777" w:rsidR="00752AD7" w:rsidRPr="001E23C4" w:rsidRDefault="00752AD7" w:rsidP="00005BC0">
            <w:pPr>
              <w:rPr>
                <w:rFonts w:ascii="Verdana" w:hAnsi="Verdana" w:cs="Arial"/>
                <w:sz w:val="24"/>
              </w:rPr>
            </w:pPr>
            <w:r w:rsidRPr="00752AD7">
              <w:rPr>
                <w:rFonts w:ascii="Verdana" w:hAnsi="Verdana" w:cs="Arial"/>
                <w:b/>
                <w:sz w:val="24"/>
              </w:rPr>
              <w:t>Date of last meeting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F53C1" w14:textId="53ACF379" w:rsidR="00752AD7" w:rsidRPr="00005BC0" w:rsidRDefault="007E2232" w:rsidP="00752AD7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29 September 2022</w:t>
            </w:r>
          </w:p>
        </w:tc>
      </w:tr>
    </w:tbl>
    <w:p w14:paraId="216962B6" w14:textId="77777777" w:rsidR="00191431" w:rsidRPr="00772AAF" w:rsidRDefault="00191431" w:rsidP="004B314C">
      <w:pPr>
        <w:rPr>
          <w:rFonts w:ascii="Verdana" w:hAnsi="Verdana" w:cs="Arial"/>
          <w:b/>
          <w:sz w:val="24"/>
        </w:rPr>
        <w:sectPr w:rsidR="00191431" w:rsidRPr="00772AAF" w:rsidSect="00960E44">
          <w:footerReference w:type="default" r:id="rId12"/>
          <w:footerReference w:type="first" r:id="rId13"/>
          <w:pgSz w:w="11906" w:h="16838"/>
          <w:pgMar w:top="567" w:right="1800" w:bottom="1276" w:left="1800" w:header="708" w:footer="283" w:gutter="0"/>
          <w:cols w:space="708"/>
          <w:titlePg/>
          <w:docGrid w:linePitch="381"/>
        </w:sect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4B314C" w:rsidRPr="00772AAF" w14:paraId="1265D57A" w14:textId="77777777" w:rsidTr="006314FC">
        <w:trPr>
          <w:trHeight w:val="425"/>
          <w:tblHeader/>
          <w:jc w:val="center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</w:tcPr>
          <w:p w14:paraId="62FCAC2B" w14:textId="739F8D35" w:rsidR="004B314C" w:rsidRPr="00772AAF" w:rsidRDefault="004B314C" w:rsidP="007E2232">
            <w:pPr>
              <w:rPr>
                <w:rFonts w:ascii="Verdana" w:hAnsi="Verdana" w:cs="Arial"/>
                <w:b/>
                <w:sz w:val="24"/>
              </w:rPr>
            </w:pPr>
            <w:r w:rsidRPr="00772AAF">
              <w:rPr>
                <w:rFonts w:ascii="Verdana" w:hAnsi="Verdana" w:cs="Arial"/>
                <w:b/>
                <w:sz w:val="24"/>
              </w:rPr>
              <w:t>Summary o</w:t>
            </w:r>
            <w:r w:rsidR="007F6F50">
              <w:rPr>
                <w:rFonts w:ascii="Verdana" w:hAnsi="Verdana" w:cs="Arial"/>
                <w:b/>
                <w:sz w:val="24"/>
              </w:rPr>
              <w:t xml:space="preserve">f the key matters that the Board considered when meeting in private session, on </w:t>
            </w:r>
            <w:r w:rsidR="007E2232">
              <w:rPr>
                <w:rFonts w:ascii="Verdana" w:hAnsi="Verdana" w:cs="Arial"/>
                <w:b/>
                <w:sz w:val="24"/>
              </w:rPr>
              <w:t>29 September</w:t>
            </w:r>
            <w:r w:rsidR="00967AFA">
              <w:rPr>
                <w:rFonts w:ascii="Verdana" w:hAnsi="Verdana" w:cs="Arial"/>
                <w:b/>
                <w:sz w:val="24"/>
              </w:rPr>
              <w:t xml:space="preserve"> 2022</w:t>
            </w:r>
            <w:r w:rsidR="007F6F50">
              <w:rPr>
                <w:rFonts w:ascii="Verdana" w:hAnsi="Verdana" w:cs="Arial"/>
                <w:b/>
                <w:sz w:val="24"/>
              </w:rPr>
              <w:t xml:space="preserve">, together with </w:t>
            </w:r>
            <w:r w:rsidR="006314FC" w:rsidRPr="00772AAF">
              <w:rPr>
                <w:rFonts w:ascii="Verdana" w:hAnsi="Verdana" w:cs="Arial"/>
                <w:b/>
                <w:sz w:val="24"/>
              </w:rPr>
              <w:t>any related decisions made:</w:t>
            </w:r>
          </w:p>
        </w:tc>
      </w:tr>
      <w:tr w:rsidR="006D72E0" w:rsidRPr="00772AAF" w14:paraId="31973C14" w14:textId="77777777" w:rsidTr="007D1234">
        <w:trPr>
          <w:trHeight w:val="671"/>
          <w:jc w:val="center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E6D3" w14:textId="01B20787" w:rsidR="002A20DE" w:rsidRPr="002A20DE" w:rsidRDefault="007F6F50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 line with</w:t>
            </w:r>
            <w:r w:rsidR="002A20DE" w:rsidRPr="002A20DE">
              <w:rPr>
                <w:rFonts w:ascii="Verdana" w:hAnsi="Verdana"/>
                <w:sz w:val="22"/>
              </w:rPr>
              <w:t xml:space="preserve"> Public Health Wales</w:t>
            </w:r>
            <w:r>
              <w:rPr>
                <w:rFonts w:ascii="Verdana" w:hAnsi="Verdana"/>
                <w:sz w:val="22"/>
              </w:rPr>
              <w:t>’ Standing Orders, the Board conducts its meetings in public.</w:t>
            </w:r>
            <w:r w:rsidR="002A20DE" w:rsidRPr="002A20DE">
              <w:rPr>
                <w:rFonts w:ascii="Verdana" w:hAnsi="Verdana"/>
                <w:sz w:val="22"/>
              </w:rPr>
              <w:t xml:space="preserve"> Public Health </w:t>
            </w:r>
            <w:r>
              <w:rPr>
                <w:rFonts w:ascii="Verdana" w:hAnsi="Verdana"/>
                <w:sz w:val="22"/>
              </w:rPr>
              <w:t>Wales’ Standing Orders make provision, at paragraph 7.5.2,</w:t>
            </w:r>
            <w:r w:rsidR="00203DA7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for the Board to meet and discuss certain matters in private. </w:t>
            </w:r>
            <w:r w:rsidR="002A20DE" w:rsidRPr="002A20DE">
              <w:rPr>
                <w:rFonts w:ascii="Verdana" w:hAnsi="Verdana"/>
                <w:sz w:val="22"/>
              </w:rPr>
              <w:t xml:space="preserve"> </w:t>
            </w:r>
          </w:p>
          <w:p w14:paraId="29E9F20A" w14:textId="77777777" w:rsidR="002A20DE" w:rsidRPr="002A20DE" w:rsidRDefault="002A20DE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</w:p>
          <w:p w14:paraId="0EF724C1" w14:textId="403D73EE" w:rsidR="005C6704" w:rsidRPr="002A20DE" w:rsidRDefault="002A20DE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 w:rsidRPr="002A20DE">
              <w:rPr>
                <w:rFonts w:ascii="Verdana" w:hAnsi="Verdana"/>
                <w:sz w:val="22"/>
              </w:rPr>
              <w:t>The Public Bodies Act (Admission to Me</w:t>
            </w:r>
            <w:r w:rsidR="007F6F50">
              <w:rPr>
                <w:rFonts w:ascii="Verdana" w:hAnsi="Verdana"/>
                <w:sz w:val="22"/>
              </w:rPr>
              <w:t xml:space="preserve">etings) Act 1960, section 1 (2) provides the legal basis for such Private Board Meetings </w:t>
            </w:r>
            <w:r w:rsidRPr="002A20DE">
              <w:rPr>
                <w:rFonts w:ascii="Verdana" w:hAnsi="Verdana"/>
                <w:sz w:val="22"/>
              </w:rPr>
              <w:t xml:space="preserve">to </w:t>
            </w:r>
            <w:r w:rsidR="007F6F50">
              <w:rPr>
                <w:rFonts w:ascii="Verdana" w:hAnsi="Verdana"/>
                <w:sz w:val="22"/>
              </w:rPr>
              <w:t>ensure that the matters under consideration are</w:t>
            </w:r>
            <w:r w:rsidRPr="002A20DE">
              <w:rPr>
                <w:rFonts w:ascii="Verdana" w:hAnsi="Verdana"/>
                <w:sz w:val="22"/>
              </w:rPr>
              <w:t xml:space="preserve"> not prejudicial to the </w:t>
            </w:r>
            <w:r w:rsidR="007F6F50">
              <w:rPr>
                <w:rFonts w:ascii="Verdana" w:hAnsi="Verdana"/>
                <w:sz w:val="22"/>
              </w:rPr>
              <w:t>public interest – that they do not cause undue harm or influence</w:t>
            </w:r>
            <w:r w:rsidRPr="002A20DE">
              <w:rPr>
                <w:rFonts w:ascii="Verdana" w:hAnsi="Verdana"/>
                <w:sz w:val="22"/>
              </w:rPr>
              <w:t xml:space="preserve"> the publ</w:t>
            </w:r>
            <w:r w:rsidR="007F6F50">
              <w:rPr>
                <w:rFonts w:ascii="Verdana" w:hAnsi="Verdana"/>
                <w:sz w:val="22"/>
              </w:rPr>
              <w:t>ic unfairly.</w:t>
            </w:r>
            <w:r w:rsidRPr="002A20DE">
              <w:rPr>
                <w:rFonts w:ascii="Verdana" w:hAnsi="Verdana"/>
                <w:sz w:val="22"/>
              </w:rPr>
              <w:t xml:space="preserve"> </w:t>
            </w:r>
          </w:p>
          <w:p w14:paraId="3A49BFA7" w14:textId="77777777" w:rsidR="002A20DE" w:rsidRPr="002A20DE" w:rsidRDefault="002A20DE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</w:p>
          <w:p w14:paraId="3A4A44B5" w14:textId="1728E8D0" w:rsidR="002A20DE" w:rsidRDefault="007F6F50" w:rsidP="001E23C4">
            <w:pPr>
              <w:tabs>
                <w:tab w:val="left" w:pos="1906"/>
              </w:tabs>
              <w:jc w:val="both"/>
              <w:rPr>
                <w:rStyle w:val="Hyperlink"/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Public Heath Wales has a P</w:t>
            </w:r>
            <w:r w:rsidR="002A20DE" w:rsidRPr="002A20DE">
              <w:rPr>
                <w:rFonts w:ascii="Verdana" w:hAnsi="Verdana"/>
                <w:sz w:val="22"/>
              </w:rPr>
              <w:t>rotocol for Reserving Matters to a Private Board (or Committee</w:t>
            </w:r>
            <w:r>
              <w:rPr>
                <w:rFonts w:ascii="Verdana" w:hAnsi="Verdana"/>
                <w:sz w:val="22"/>
              </w:rPr>
              <w:t>) meeting,</w:t>
            </w:r>
            <w:r w:rsidR="002A20DE" w:rsidRPr="002A20DE">
              <w:rPr>
                <w:rFonts w:ascii="Verdana" w:hAnsi="Verdana"/>
                <w:sz w:val="22"/>
              </w:rPr>
              <w:t xml:space="preserve"> which can be seen here - </w:t>
            </w:r>
            <w:hyperlink r:id="rId14" w:history="1">
              <w:r w:rsidR="002A20DE" w:rsidRPr="002A20DE">
                <w:rPr>
                  <w:rStyle w:val="Hyperlink"/>
                  <w:rFonts w:ascii="Verdana" w:hAnsi="Verdana"/>
                  <w:sz w:val="22"/>
                </w:rPr>
                <w:t>Microsoft Word - 5.6 BOARD 270521 Protocol</w:t>
              </w:r>
              <w:r w:rsidR="00FE0E65">
                <w:rPr>
                  <w:rStyle w:val="Hyperlink"/>
                  <w:rFonts w:ascii="Verdana" w:hAnsi="Verdana"/>
                  <w:sz w:val="22"/>
                </w:rPr>
                <w:t xml:space="preserve"> for private meetings.docx (nhs.</w:t>
              </w:r>
              <w:r w:rsidR="002A20DE" w:rsidRPr="002A20DE">
                <w:rPr>
                  <w:rStyle w:val="Hyperlink"/>
                  <w:rFonts w:ascii="Verdana" w:hAnsi="Verdana"/>
                  <w:sz w:val="22"/>
                </w:rPr>
                <w:t>wales)</w:t>
              </w:r>
            </w:hyperlink>
          </w:p>
          <w:p w14:paraId="0B8FFC84" w14:textId="39984F25" w:rsidR="00967AFA" w:rsidRDefault="00967AFA" w:rsidP="00967AFA">
            <w:pPr>
              <w:tabs>
                <w:tab w:val="left" w:pos="1906"/>
              </w:tabs>
              <w:jc w:val="both"/>
            </w:pPr>
          </w:p>
          <w:p w14:paraId="636C2FBC" w14:textId="4E9F4656" w:rsidR="002A20DE" w:rsidRPr="00FD2714" w:rsidRDefault="00967AFA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 w:rsidRPr="00967AFA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>T</w:t>
            </w:r>
            <w:r w:rsidR="00FD2714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 xml:space="preserve">his Chair’s Report is </w:t>
            </w:r>
            <w:r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 xml:space="preserve">a </w:t>
            </w:r>
            <w:r w:rsidRPr="00E8546D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>standing agenda item,</w:t>
            </w:r>
            <w:r w:rsidR="004F4472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 xml:space="preserve"> for the purposes of transparency and accountability</w:t>
            </w:r>
            <w:r w:rsidRPr="00E8546D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>.</w:t>
            </w:r>
            <w:r w:rsidR="00FD2714">
              <w:rPr>
                <w:rStyle w:val="Hyperlink"/>
                <w:rFonts w:ascii="Verdana" w:hAnsi="Verdana"/>
                <w:color w:val="auto"/>
                <w:sz w:val="22"/>
                <w:u w:val="none"/>
              </w:rPr>
              <w:t xml:space="preserve"> </w:t>
            </w:r>
            <w:r w:rsidR="00883259">
              <w:rPr>
                <w:rFonts w:ascii="Verdana" w:hAnsi="Verdana"/>
                <w:sz w:val="22"/>
              </w:rPr>
              <w:t>This</w:t>
            </w:r>
            <w:r w:rsidR="00755BD1">
              <w:rPr>
                <w:rFonts w:ascii="Verdana" w:hAnsi="Verdana"/>
                <w:sz w:val="22"/>
              </w:rPr>
              <w:t xml:space="preserve"> </w:t>
            </w:r>
            <w:r w:rsidR="004F4472">
              <w:rPr>
                <w:rFonts w:ascii="Verdana" w:hAnsi="Verdana"/>
                <w:sz w:val="22"/>
              </w:rPr>
              <w:t>report</w:t>
            </w:r>
            <w:r w:rsidR="00755BD1">
              <w:rPr>
                <w:rFonts w:ascii="Verdana" w:hAnsi="Verdana"/>
                <w:sz w:val="22"/>
              </w:rPr>
              <w:t xml:space="preserve"> sets out</w:t>
            </w:r>
            <w:r w:rsidR="007D1234">
              <w:rPr>
                <w:rFonts w:ascii="Verdana" w:hAnsi="Verdana"/>
                <w:sz w:val="22"/>
              </w:rPr>
              <w:t xml:space="preserve"> the matters that the Board </w:t>
            </w:r>
            <w:r w:rsidR="002A20DE" w:rsidRPr="002A20DE">
              <w:rPr>
                <w:rFonts w:ascii="Verdana" w:hAnsi="Verdana"/>
                <w:sz w:val="22"/>
              </w:rPr>
              <w:t xml:space="preserve">considered during the Private Board </w:t>
            </w:r>
            <w:r w:rsidR="002A20DE" w:rsidRPr="001E72DE">
              <w:rPr>
                <w:rFonts w:ascii="Verdana" w:hAnsi="Verdana"/>
                <w:sz w:val="22"/>
                <w:szCs w:val="22"/>
              </w:rPr>
              <w:t xml:space="preserve">meeting of the </w:t>
            </w:r>
            <w:r w:rsidR="007E2232">
              <w:rPr>
                <w:rFonts w:ascii="Verdana" w:hAnsi="Verdana"/>
                <w:sz w:val="22"/>
                <w:szCs w:val="22"/>
              </w:rPr>
              <w:t xml:space="preserve">29 September 2022. </w:t>
            </w:r>
          </w:p>
          <w:p w14:paraId="7B3AD602" w14:textId="0863E335" w:rsidR="007D1234" w:rsidRDefault="007D1234" w:rsidP="00E8546D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A703384" w14:textId="77777777" w:rsidR="001B79FE" w:rsidRDefault="007D1234" w:rsidP="0022092F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 w:rsidRPr="00EC36DD">
              <w:rPr>
                <w:rFonts w:ascii="Verdana" w:hAnsi="Verdana"/>
                <w:sz w:val="22"/>
                <w:szCs w:val="22"/>
              </w:rPr>
              <w:t xml:space="preserve">The Standing Financial Instructions </w:t>
            </w:r>
            <w:r w:rsidR="00E8546D" w:rsidRPr="00EC36DD">
              <w:rPr>
                <w:rFonts w:ascii="Verdana" w:hAnsi="Verdana"/>
                <w:sz w:val="22"/>
                <w:szCs w:val="22"/>
              </w:rPr>
              <w:t>confirm</w:t>
            </w:r>
            <w:r w:rsidR="003325C9" w:rsidRPr="00EC36DD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E8546D" w:rsidRPr="00EC36DD">
              <w:rPr>
                <w:rFonts w:ascii="Verdana" w:hAnsi="Verdana"/>
                <w:sz w:val="22"/>
                <w:szCs w:val="22"/>
              </w:rPr>
              <w:t xml:space="preserve"> any financial decisions above £500,000</w:t>
            </w:r>
            <w:r w:rsidR="00FE0E65" w:rsidRPr="00EC36DD">
              <w:rPr>
                <w:rFonts w:ascii="Verdana" w:hAnsi="Verdana"/>
                <w:sz w:val="22"/>
                <w:szCs w:val="22"/>
              </w:rPr>
              <w:t xml:space="preserve"> are a matter for the Board and</w:t>
            </w:r>
            <w:r w:rsidR="00E8546D" w:rsidRPr="00EC36DD">
              <w:rPr>
                <w:rFonts w:ascii="Verdana" w:hAnsi="Verdana"/>
                <w:sz w:val="22"/>
                <w:szCs w:val="22"/>
              </w:rPr>
              <w:t xml:space="preserve"> requi</w:t>
            </w:r>
            <w:r w:rsidR="00FE0E65" w:rsidRPr="00EC36DD">
              <w:rPr>
                <w:rFonts w:ascii="Verdana" w:hAnsi="Verdana"/>
                <w:sz w:val="22"/>
                <w:szCs w:val="22"/>
              </w:rPr>
              <w:t>re Board approval</w:t>
            </w:r>
            <w:r w:rsidR="00883259">
              <w:rPr>
                <w:rFonts w:ascii="Verdana" w:hAnsi="Verdana"/>
                <w:sz w:val="22"/>
                <w:szCs w:val="22"/>
              </w:rPr>
              <w:t>. Further details about</w:t>
            </w:r>
            <w:r w:rsidR="00E8546D" w:rsidRPr="00EC36DD">
              <w:rPr>
                <w:rFonts w:ascii="Verdana" w:hAnsi="Verdana"/>
                <w:sz w:val="22"/>
                <w:szCs w:val="22"/>
              </w:rPr>
              <w:t xml:space="preserve"> financia</w:t>
            </w:r>
            <w:r w:rsidR="00883259">
              <w:rPr>
                <w:rFonts w:ascii="Verdana" w:hAnsi="Verdana"/>
                <w:sz w:val="22"/>
                <w:szCs w:val="22"/>
              </w:rPr>
              <w:t>l delegations can be seen in Public Health Wales’</w:t>
            </w:r>
            <w:r w:rsidR="00E8546D" w:rsidRPr="00EC36DD">
              <w:rPr>
                <w:rFonts w:ascii="Verdana" w:hAnsi="Verdana"/>
                <w:sz w:val="22"/>
                <w:szCs w:val="22"/>
              </w:rPr>
              <w:t xml:space="preserve"> Standing Financial Instructions here - </w:t>
            </w:r>
            <w:hyperlink r:id="rId15" w:history="1">
              <w:r w:rsidR="00E8546D" w:rsidRPr="00EC36DD">
                <w:rPr>
                  <w:rStyle w:val="Hyperlink"/>
                  <w:rFonts w:ascii="Verdana" w:hAnsi="Verdana"/>
                  <w:sz w:val="22"/>
                  <w:szCs w:val="22"/>
                </w:rPr>
                <w:t>Microsoft Word - PHW Standing Orders and delegation of powers - v9 - Approved May 2021.docx (nhs.wales)</w:t>
              </w:r>
            </w:hyperlink>
            <w:r w:rsidR="0022092F" w:rsidRPr="00EC36DD">
              <w:rPr>
                <w:rStyle w:val="Hyperlink"/>
                <w:rFonts w:ascii="Verdana" w:hAnsi="Verdana"/>
                <w:sz w:val="22"/>
                <w:szCs w:val="22"/>
              </w:rPr>
              <w:t xml:space="preserve">. </w:t>
            </w:r>
            <w:r w:rsidR="00EC36DD">
              <w:rPr>
                <w:rFonts w:ascii="Verdana" w:hAnsi="Verdana"/>
                <w:sz w:val="22"/>
              </w:rPr>
              <w:t xml:space="preserve"> </w:t>
            </w:r>
          </w:p>
          <w:p w14:paraId="462308A8" w14:textId="77777777" w:rsidR="001B79FE" w:rsidRDefault="001B79FE" w:rsidP="0022092F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</w:p>
          <w:p w14:paraId="15D01A18" w14:textId="701044A9" w:rsidR="001B79FE" w:rsidRPr="001B79FE" w:rsidRDefault="001B79FE" w:rsidP="001B79FE">
            <w:pPr>
              <w:rPr>
                <w:rFonts w:ascii="Verdana" w:hAnsi="Verdana"/>
                <w:sz w:val="22"/>
              </w:rPr>
            </w:pPr>
            <w:r w:rsidRPr="001B79FE">
              <w:rPr>
                <w:rFonts w:ascii="Verdana" w:hAnsi="Verdana"/>
                <w:sz w:val="22"/>
              </w:rPr>
              <w:t xml:space="preserve">The Board approved the financial commitment for the </w:t>
            </w:r>
            <w:r w:rsidRPr="00A866E6">
              <w:rPr>
                <w:rFonts w:ascii="Verdana" w:hAnsi="Verdana"/>
                <w:b/>
                <w:sz w:val="22"/>
              </w:rPr>
              <w:t>procurement</w:t>
            </w:r>
            <w:r w:rsidRPr="001B79FE">
              <w:rPr>
                <w:rFonts w:ascii="Verdana" w:hAnsi="Verdana"/>
                <w:sz w:val="22"/>
              </w:rPr>
              <w:t xml:space="preserve"> of reagents and consumables, linked to the Public Health Wales</w:t>
            </w:r>
            <w:r w:rsidR="004009CF">
              <w:rPr>
                <w:rFonts w:ascii="Verdana" w:hAnsi="Verdana"/>
                <w:sz w:val="22"/>
              </w:rPr>
              <w:t xml:space="preserve">’ </w:t>
            </w:r>
            <w:r w:rsidRPr="001B79FE">
              <w:rPr>
                <w:rFonts w:ascii="Verdana" w:hAnsi="Verdana"/>
                <w:sz w:val="22"/>
              </w:rPr>
              <w:t>COVID-19 response, as set out in the Annual Plan 2022/23 and in line with Welsh Government funding arrangements.</w:t>
            </w:r>
          </w:p>
          <w:p w14:paraId="57F1A396" w14:textId="3EEA1244" w:rsidR="00E97561" w:rsidRDefault="00FD1620" w:rsidP="00907188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</w:t>
            </w:r>
          </w:p>
          <w:p w14:paraId="760C1C93" w14:textId="5676974C" w:rsidR="00FE0652" w:rsidRPr="00907188" w:rsidRDefault="00F80272" w:rsidP="00907188">
            <w:pPr>
              <w:rPr>
                <w:rFonts w:ascii="Verdana" w:hAnsi="Verdana"/>
                <w:sz w:val="22"/>
              </w:rPr>
            </w:pPr>
            <w:r w:rsidRPr="00907188">
              <w:rPr>
                <w:rFonts w:ascii="Verdana" w:hAnsi="Verdana"/>
                <w:sz w:val="22"/>
              </w:rPr>
              <w:t xml:space="preserve">The Board received and discussed an update on relevant (non-COVID related) </w:t>
            </w:r>
            <w:r w:rsidRPr="00907188">
              <w:rPr>
                <w:rFonts w:ascii="Verdana" w:hAnsi="Verdana"/>
                <w:b/>
                <w:sz w:val="22"/>
              </w:rPr>
              <w:t xml:space="preserve">health protection </w:t>
            </w:r>
            <w:r w:rsidRPr="00907188">
              <w:rPr>
                <w:rFonts w:ascii="Verdana" w:hAnsi="Verdana"/>
                <w:sz w:val="22"/>
              </w:rPr>
              <w:t>issues, including</w:t>
            </w:r>
            <w:r w:rsidR="001B79FE" w:rsidRPr="00907188">
              <w:rPr>
                <w:rFonts w:ascii="Verdana" w:hAnsi="Verdana"/>
                <w:sz w:val="22"/>
              </w:rPr>
              <w:t xml:space="preserve"> </w:t>
            </w:r>
            <w:r w:rsidR="00A27BC4">
              <w:rPr>
                <w:rFonts w:ascii="Verdana" w:hAnsi="Verdana"/>
                <w:sz w:val="22"/>
              </w:rPr>
              <w:t xml:space="preserve">an update on the </w:t>
            </w:r>
            <w:r w:rsidR="007E2232">
              <w:rPr>
                <w:rFonts w:ascii="Verdana" w:hAnsi="Verdana"/>
                <w:sz w:val="22"/>
              </w:rPr>
              <w:t xml:space="preserve">active investigation of </w:t>
            </w:r>
            <w:r w:rsidR="00A27BC4">
              <w:rPr>
                <w:rFonts w:ascii="Verdana" w:hAnsi="Verdana"/>
                <w:sz w:val="22"/>
              </w:rPr>
              <w:t>Tuberculosis O</w:t>
            </w:r>
            <w:r w:rsidRPr="00907188">
              <w:rPr>
                <w:rFonts w:ascii="Verdana" w:hAnsi="Verdana"/>
                <w:sz w:val="22"/>
              </w:rPr>
              <w:t>utbreak in Llwynhendy</w:t>
            </w:r>
            <w:r w:rsidR="007E2232">
              <w:rPr>
                <w:rFonts w:ascii="Verdana" w:hAnsi="Verdana"/>
                <w:sz w:val="22"/>
              </w:rPr>
              <w:t xml:space="preserve"> and next steps in respect of the</w:t>
            </w:r>
            <w:r w:rsidR="0021503E">
              <w:rPr>
                <w:rFonts w:ascii="Verdana" w:hAnsi="Verdana"/>
                <w:sz w:val="22"/>
              </w:rPr>
              <w:t xml:space="preserve"> receipt</w:t>
            </w:r>
            <w:r w:rsidR="00D2447A">
              <w:rPr>
                <w:rFonts w:ascii="Verdana" w:hAnsi="Verdana"/>
                <w:sz w:val="22"/>
              </w:rPr>
              <w:t xml:space="preserve"> </w:t>
            </w:r>
            <w:r w:rsidR="007E2232">
              <w:rPr>
                <w:rFonts w:ascii="Verdana" w:hAnsi="Verdana"/>
                <w:sz w:val="22"/>
              </w:rPr>
              <w:t xml:space="preserve"> of the</w:t>
            </w:r>
            <w:r w:rsidR="00D2447A">
              <w:rPr>
                <w:rFonts w:ascii="Verdana" w:hAnsi="Verdana"/>
                <w:sz w:val="22"/>
              </w:rPr>
              <w:t xml:space="preserve"> draft </w:t>
            </w:r>
            <w:r w:rsidR="007E2232">
              <w:rPr>
                <w:rFonts w:ascii="Verdana" w:hAnsi="Verdana"/>
                <w:sz w:val="22"/>
              </w:rPr>
              <w:t xml:space="preserve"> TB review report</w:t>
            </w:r>
            <w:r w:rsidR="001B79FE" w:rsidRPr="00907188">
              <w:rPr>
                <w:rFonts w:ascii="Verdana" w:hAnsi="Verdana"/>
                <w:sz w:val="22"/>
              </w:rPr>
              <w:t>. The Board went on to consider an update on Monkeypox in Wales</w:t>
            </w:r>
            <w:r w:rsidR="007E2232">
              <w:rPr>
                <w:rFonts w:ascii="Verdana" w:hAnsi="Verdana"/>
                <w:sz w:val="22"/>
              </w:rPr>
              <w:t xml:space="preserve"> and status of vaccine availability.</w:t>
            </w:r>
            <w:r w:rsidR="001B79FE" w:rsidRPr="00907188">
              <w:rPr>
                <w:rFonts w:ascii="Verdana" w:hAnsi="Verdana"/>
                <w:sz w:val="22"/>
              </w:rPr>
              <w:t xml:space="preserve"> The update w</w:t>
            </w:r>
            <w:r w:rsidR="00A27BC4">
              <w:rPr>
                <w:rFonts w:ascii="Verdana" w:hAnsi="Verdana"/>
                <w:sz w:val="22"/>
              </w:rPr>
              <w:t>as confidential</w:t>
            </w:r>
            <w:r w:rsidR="00D2447A">
              <w:rPr>
                <w:rFonts w:ascii="Verdana" w:hAnsi="Verdana"/>
                <w:sz w:val="22"/>
              </w:rPr>
              <w:t xml:space="preserve"> </w:t>
            </w:r>
            <w:r w:rsidR="00862F7C">
              <w:rPr>
                <w:rFonts w:ascii="Verdana" w:hAnsi="Verdana"/>
                <w:sz w:val="22"/>
              </w:rPr>
              <w:t>in nature</w:t>
            </w:r>
            <w:r w:rsidR="00A27BC4">
              <w:rPr>
                <w:rFonts w:ascii="Verdana" w:hAnsi="Verdana"/>
                <w:sz w:val="22"/>
              </w:rPr>
              <w:t xml:space="preserve"> and</w:t>
            </w:r>
            <w:r w:rsidR="001B79FE" w:rsidRPr="00907188">
              <w:rPr>
                <w:rFonts w:ascii="Verdana" w:hAnsi="Verdana"/>
                <w:sz w:val="22"/>
              </w:rPr>
              <w:t xml:space="preserve"> added detail to the report in the public session that was not yet in the public domain.</w:t>
            </w:r>
          </w:p>
          <w:p w14:paraId="3B4BDD35" w14:textId="4B5CC291" w:rsidR="001B79FE" w:rsidRDefault="001B79FE" w:rsidP="007E2232">
            <w:pPr>
              <w:rPr>
                <w:rFonts w:ascii="Verdana" w:hAnsi="Verdana"/>
                <w:sz w:val="22"/>
              </w:rPr>
            </w:pPr>
          </w:p>
          <w:p w14:paraId="598F2BEA" w14:textId="2B1FE50A" w:rsidR="006F2422" w:rsidRDefault="007E2232" w:rsidP="007E22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lastRenderedPageBreak/>
              <w:t xml:space="preserve">The Board considered an update on the </w:t>
            </w:r>
            <w:r w:rsidRPr="006F2422">
              <w:rPr>
                <w:rFonts w:ascii="Verdana" w:hAnsi="Verdana"/>
                <w:b/>
                <w:sz w:val="22"/>
              </w:rPr>
              <w:t>transfer of Local Public Health Teams</w:t>
            </w:r>
            <w:r>
              <w:rPr>
                <w:rFonts w:ascii="Verdana" w:hAnsi="Verdana"/>
                <w:sz w:val="22"/>
              </w:rPr>
              <w:t xml:space="preserve"> and </w:t>
            </w:r>
            <w:r w:rsidR="006F2422" w:rsidRPr="006F2422">
              <w:rPr>
                <w:rFonts w:ascii="Verdana" w:hAnsi="Verdana"/>
                <w:b/>
                <w:sz w:val="22"/>
              </w:rPr>
              <w:t>approved</w:t>
            </w:r>
            <w:r w:rsidR="006F2422">
              <w:rPr>
                <w:rFonts w:ascii="Verdana" w:hAnsi="Verdana"/>
                <w:sz w:val="22"/>
              </w:rPr>
              <w:t xml:space="preserve"> the Memorandum of Understanding (part 1) document between Public Health Wales and the seven Health Boards. </w:t>
            </w:r>
            <w:r>
              <w:rPr>
                <w:rFonts w:ascii="Verdana" w:hAnsi="Verdana"/>
                <w:sz w:val="22"/>
              </w:rPr>
              <w:t>The workforce update wa</w:t>
            </w:r>
            <w:r w:rsidR="006F2422">
              <w:rPr>
                <w:rFonts w:ascii="Verdana" w:hAnsi="Verdana"/>
                <w:sz w:val="22"/>
              </w:rPr>
              <w:t xml:space="preserve">s confidential </w:t>
            </w:r>
            <w:r w:rsidR="00AF3162">
              <w:rPr>
                <w:rFonts w:ascii="Verdana" w:hAnsi="Verdana"/>
                <w:sz w:val="22"/>
              </w:rPr>
              <w:t xml:space="preserve">in </w:t>
            </w:r>
            <w:r w:rsidR="006F2422">
              <w:rPr>
                <w:rFonts w:ascii="Verdana" w:hAnsi="Verdana"/>
                <w:sz w:val="22"/>
              </w:rPr>
              <w:t>nature and was in draft forma</w:t>
            </w:r>
            <w:r w:rsidR="00A22ED2">
              <w:rPr>
                <w:rFonts w:ascii="Verdana" w:hAnsi="Verdana"/>
                <w:sz w:val="22"/>
              </w:rPr>
              <w:t xml:space="preserve">t. </w:t>
            </w:r>
          </w:p>
          <w:p w14:paraId="40A100BA" w14:textId="16AF2E48" w:rsidR="007E2232" w:rsidRPr="007E2232" w:rsidRDefault="007E2232" w:rsidP="007E22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</w:t>
            </w:r>
          </w:p>
          <w:p w14:paraId="56FF6CC5" w14:textId="36CEDCEB" w:rsidR="00FE0652" w:rsidRPr="00907188" w:rsidRDefault="001B79FE" w:rsidP="00907188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</w:rPr>
            </w:pPr>
            <w:r w:rsidRPr="00907188">
              <w:rPr>
                <w:rFonts w:ascii="Verdana" w:hAnsi="Verdana"/>
                <w:sz w:val="22"/>
              </w:rPr>
              <w:t xml:space="preserve">The Board considered a progress report on the preparedness for the </w:t>
            </w:r>
            <w:r w:rsidR="00A866E6" w:rsidRPr="00A866E6">
              <w:rPr>
                <w:rFonts w:ascii="Verdana" w:hAnsi="Verdana"/>
                <w:b/>
                <w:sz w:val="22"/>
              </w:rPr>
              <w:t>COVID</w:t>
            </w:r>
            <w:r w:rsidRPr="00A866E6">
              <w:rPr>
                <w:rFonts w:ascii="Verdana" w:hAnsi="Verdana"/>
                <w:b/>
                <w:sz w:val="22"/>
              </w:rPr>
              <w:t>-19 Public</w:t>
            </w:r>
            <w:r w:rsidRPr="00907188">
              <w:rPr>
                <w:rFonts w:ascii="Verdana" w:hAnsi="Verdana"/>
                <w:sz w:val="22"/>
              </w:rPr>
              <w:t xml:space="preserve"> </w:t>
            </w:r>
            <w:r w:rsidRPr="00A866E6">
              <w:rPr>
                <w:rFonts w:ascii="Verdana" w:hAnsi="Verdana"/>
                <w:b/>
                <w:sz w:val="22"/>
              </w:rPr>
              <w:t>Inquiry</w:t>
            </w:r>
            <w:r w:rsidR="006F2422">
              <w:rPr>
                <w:rFonts w:ascii="Verdana" w:hAnsi="Verdana"/>
                <w:sz w:val="22"/>
              </w:rPr>
              <w:t xml:space="preserve"> and the </w:t>
            </w:r>
            <w:r w:rsidR="00862F7C">
              <w:rPr>
                <w:rFonts w:ascii="Verdana" w:hAnsi="Verdana"/>
                <w:sz w:val="22"/>
              </w:rPr>
              <w:t>update from</w:t>
            </w:r>
            <w:r w:rsidR="006F2422">
              <w:rPr>
                <w:rFonts w:ascii="Verdana" w:hAnsi="Verdana"/>
                <w:sz w:val="22"/>
              </w:rPr>
              <w:t xml:space="preserve"> the first meeting of the PHW Board Covid-19 Public Inquiry Preparedness Sub-Group meeting. The Board went on to </w:t>
            </w:r>
            <w:r w:rsidR="006F2422" w:rsidRPr="006F2422">
              <w:rPr>
                <w:rFonts w:ascii="Verdana" w:hAnsi="Verdana"/>
                <w:b/>
                <w:sz w:val="22"/>
              </w:rPr>
              <w:t>approve</w:t>
            </w:r>
            <w:r w:rsidR="006F2422">
              <w:rPr>
                <w:rFonts w:ascii="Verdana" w:hAnsi="Verdana"/>
                <w:sz w:val="22"/>
              </w:rPr>
              <w:t xml:space="preserve"> the proposed draft of the Sub-Group Terms of Reference. </w:t>
            </w:r>
            <w:r w:rsidR="00274DAA">
              <w:rPr>
                <w:rFonts w:ascii="Verdana" w:hAnsi="Verdana"/>
                <w:sz w:val="22"/>
              </w:rPr>
              <w:t xml:space="preserve">The Board considered this report in private </w:t>
            </w:r>
            <w:r w:rsidR="00BD7A20">
              <w:rPr>
                <w:rFonts w:ascii="Verdana" w:hAnsi="Verdana"/>
                <w:sz w:val="22"/>
              </w:rPr>
              <w:t xml:space="preserve">because it included </w:t>
            </w:r>
            <w:r w:rsidR="00953591">
              <w:rPr>
                <w:rFonts w:ascii="Verdana" w:hAnsi="Verdana"/>
                <w:sz w:val="22"/>
              </w:rPr>
              <w:t xml:space="preserve">confidential legal information. </w:t>
            </w:r>
            <w:r w:rsidR="00907188" w:rsidRPr="00907188">
              <w:rPr>
                <w:rFonts w:ascii="Verdana" w:hAnsi="Verdana"/>
                <w:sz w:val="22"/>
              </w:rPr>
              <w:t xml:space="preserve"> </w:t>
            </w:r>
          </w:p>
          <w:p w14:paraId="5407D1C3" w14:textId="77777777" w:rsidR="0022092F" w:rsidRPr="0072095B" w:rsidRDefault="0022092F" w:rsidP="0022092F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FF99AC0" w14:textId="0554E9DA" w:rsidR="00F80272" w:rsidRDefault="006F2422" w:rsidP="00907188">
            <w:pPr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Board considered an update on Working in Partnership with Trade Unions. The Board considered this report in private due to </w:t>
            </w:r>
            <w:r w:rsidR="00862F7C">
              <w:rPr>
                <w:rFonts w:ascii="Verdana" w:hAnsi="Verdana"/>
                <w:sz w:val="22"/>
                <w:szCs w:val="22"/>
              </w:rPr>
              <w:t>an</w:t>
            </w:r>
            <w:r>
              <w:rPr>
                <w:rFonts w:ascii="Verdana" w:hAnsi="Verdana"/>
                <w:sz w:val="22"/>
                <w:szCs w:val="22"/>
              </w:rPr>
              <w:t xml:space="preserve"> ongoing respect and resolution matter.</w:t>
            </w:r>
          </w:p>
          <w:p w14:paraId="36DE255E" w14:textId="597184CC" w:rsidR="0054540D" w:rsidRDefault="0054540D" w:rsidP="00907188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Board took assurance on the report of the Committee </w:t>
            </w:r>
            <w:r w:rsidR="00862F7C">
              <w:rPr>
                <w:rFonts w:ascii="Verdana" w:hAnsi="Verdana"/>
                <w:sz w:val="22"/>
                <w:szCs w:val="22"/>
              </w:rPr>
              <w:t>Chairs of</w:t>
            </w:r>
            <w:r>
              <w:rPr>
                <w:rFonts w:ascii="Verdana" w:hAnsi="Verdana"/>
                <w:sz w:val="22"/>
                <w:szCs w:val="22"/>
              </w:rPr>
              <w:t xml:space="preserve"> meetings held in private since the </w:t>
            </w:r>
            <w:r w:rsidR="00862F7C">
              <w:rPr>
                <w:rFonts w:ascii="Verdana" w:hAnsi="Verdana"/>
                <w:sz w:val="22"/>
                <w:szCs w:val="22"/>
              </w:rPr>
              <w:t>last Board</w:t>
            </w:r>
            <w:r>
              <w:rPr>
                <w:rFonts w:ascii="Verdana" w:hAnsi="Verdana"/>
                <w:sz w:val="22"/>
                <w:szCs w:val="22"/>
              </w:rPr>
              <w:t xml:space="preserve"> meeting</w:t>
            </w:r>
            <w:r w:rsidR="000E1352">
              <w:rPr>
                <w:rFonts w:ascii="Verdana" w:hAnsi="Verdana"/>
                <w:sz w:val="22"/>
                <w:szCs w:val="22"/>
              </w:rPr>
              <w:t xml:space="preserve"> in private session.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7D469BFF" w14:textId="5D4FD2E0" w:rsidR="0054540D" w:rsidRDefault="0054540D" w:rsidP="00907188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E43F1C6" w14:textId="1A652F8E" w:rsidR="00E8546D" w:rsidRPr="00907188" w:rsidRDefault="00E8546D" w:rsidP="00907188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907188">
              <w:rPr>
                <w:rFonts w:ascii="Verdana" w:hAnsi="Verdana"/>
                <w:sz w:val="22"/>
                <w:szCs w:val="22"/>
              </w:rPr>
              <w:t xml:space="preserve">The Board considered and approved </w:t>
            </w:r>
            <w:r w:rsidRPr="00907188">
              <w:rPr>
                <w:rFonts w:ascii="Verdana" w:hAnsi="Verdana"/>
                <w:b/>
                <w:sz w:val="22"/>
                <w:szCs w:val="22"/>
              </w:rPr>
              <w:t>minutes</w:t>
            </w:r>
            <w:r w:rsidRPr="00907188">
              <w:rPr>
                <w:rFonts w:ascii="Verdana" w:hAnsi="Verdana"/>
                <w:sz w:val="22"/>
                <w:szCs w:val="22"/>
              </w:rPr>
              <w:t xml:space="preserve"> and </w:t>
            </w:r>
            <w:r w:rsidRPr="00907188">
              <w:rPr>
                <w:rFonts w:ascii="Verdana" w:hAnsi="Verdana"/>
                <w:b/>
                <w:sz w:val="22"/>
                <w:szCs w:val="22"/>
              </w:rPr>
              <w:t>action logs</w:t>
            </w:r>
            <w:r w:rsidRPr="00907188">
              <w:rPr>
                <w:rFonts w:ascii="Verdana" w:hAnsi="Verdana"/>
                <w:sz w:val="22"/>
                <w:szCs w:val="22"/>
              </w:rPr>
              <w:t xml:space="preserve"> of the Private Board meeting on the </w:t>
            </w:r>
            <w:r w:rsidR="007E2232">
              <w:rPr>
                <w:rFonts w:ascii="Verdana" w:hAnsi="Verdana"/>
                <w:sz w:val="22"/>
                <w:szCs w:val="22"/>
              </w:rPr>
              <w:t>28 July</w:t>
            </w:r>
            <w:r w:rsidR="00FD1620" w:rsidRPr="00907188">
              <w:rPr>
                <w:rFonts w:ascii="Verdana" w:hAnsi="Verdana"/>
                <w:sz w:val="22"/>
                <w:szCs w:val="22"/>
              </w:rPr>
              <w:t xml:space="preserve"> 2022</w:t>
            </w:r>
            <w:r w:rsidR="007E2232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49293C" w:rsidRPr="0090718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0F54CDD" w14:textId="77777777" w:rsidR="00A2014A" w:rsidRDefault="00A2014A" w:rsidP="006F2422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F9EF686" w14:textId="1ED171D4" w:rsidR="00E8546D" w:rsidRDefault="00A2014A" w:rsidP="006F2422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Under</w:t>
            </w:r>
            <w:r w:rsidR="006F2422">
              <w:rPr>
                <w:rFonts w:ascii="Verdana" w:hAnsi="Verdana"/>
                <w:sz w:val="22"/>
                <w:szCs w:val="22"/>
              </w:rPr>
              <w:t xml:space="preserve"> any other Business, the Board considered a verbal brief on the establishment of the NHS Wales Executive and Public Health W</w:t>
            </w:r>
            <w:r w:rsidR="0054540D">
              <w:rPr>
                <w:rFonts w:ascii="Verdana" w:hAnsi="Verdana"/>
                <w:sz w:val="22"/>
                <w:szCs w:val="22"/>
              </w:rPr>
              <w:t xml:space="preserve">ales’ </w:t>
            </w:r>
            <w:r w:rsidR="006F2422">
              <w:rPr>
                <w:rFonts w:ascii="Verdana" w:hAnsi="Verdana"/>
                <w:sz w:val="22"/>
                <w:szCs w:val="22"/>
              </w:rPr>
              <w:t>specific interest</w:t>
            </w:r>
            <w:r w:rsidR="00ED3D58">
              <w:rPr>
                <w:rFonts w:ascii="Verdana" w:hAnsi="Verdana"/>
                <w:sz w:val="22"/>
                <w:szCs w:val="22"/>
              </w:rPr>
              <w:t xml:space="preserve"> in this matter</w:t>
            </w:r>
            <w:r w:rsidR="00645215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862F7C">
              <w:rPr>
                <w:rFonts w:ascii="Verdana" w:hAnsi="Verdana"/>
                <w:sz w:val="22"/>
                <w:szCs w:val="22"/>
              </w:rPr>
              <w:t>the briefing</w:t>
            </w:r>
            <w:r w:rsidR="001F6A46">
              <w:rPr>
                <w:rFonts w:ascii="Verdana" w:hAnsi="Verdana"/>
                <w:sz w:val="22"/>
                <w:szCs w:val="22"/>
              </w:rPr>
              <w:t xml:space="preserve"> included a </w:t>
            </w:r>
            <w:r w:rsidR="00862F7C">
              <w:rPr>
                <w:rFonts w:ascii="Verdana" w:hAnsi="Verdana"/>
                <w:sz w:val="22"/>
                <w:szCs w:val="22"/>
              </w:rPr>
              <w:t>legal dimension</w:t>
            </w:r>
            <w:r w:rsidR="00645215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6F2422">
              <w:rPr>
                <w:rFonts w:ascii="Verdana" w:hAnsi="Verdana"/>
                <w:sz w:val="22"/>
                <w:szCs w:val="22"/>
              </w:rPr>
              <w:t>The B</w:t>
            </w:r>
            <w:r w:rsidR="0054540D">
              <w:rPr>
                <w:rFonts w:ascii="Verdana" w:hAnsi="Verdana"/>
                <w:sz w:val="22"/>
                <w:szCs w:val="22"/>
              </w:rPr>
              <w:t xml:space="preserve">oard </w:t>
            </w:r>
            <w:r w:rsidR="00ED3D58">
              <w:rPr>
                <w:rFonts w:ascii="Verdana" w:hAnsi="Verdana"/>
                <w:sz w:val="22"/>
                <w:szCs w:val="22"/>
              </w:rPr>
              <w:t xml:space="preserve">would </w:t>
            </w:r>
            <w:r w:rsidR="0054540D">
              <w:rPr>
                <w:rFonts w:ascii="Verdana" w:hAnsi="Verdana"/>
                <w:sz w:val="22"/>
                <w:szCs w:val="22"/>
              </w:rPr>
              <w:t xml:space="preserve">consider a </w:t>
            </w:r>
            <w:r w:rsidR="00862F7C">
              <w:rPr>
                <w:rFonts w:ascii="Verdana" w:hAnsi="Verdana"/>
                <w:sz w:val="22"/>
                <w:szCs w:val="22"/>
              </w:rPr>
              <w:t>further update</w:t>
            </w:r>
            <w:r w:rsidR="0054540D">
              <w:rPr>
                <w:rFonts w:ascii="Verdana" w:hAnsi="Verdana"/>
                <w:sz w:val="22"/>
                <w:szCs w:val="22"/>
              </w:rPr>
              <w:t xml:space="preserve"> at the November private Board meeting. </w:t>
            </w:r>
          </w:p>
          <w:p w14:paraId="2114AF56" w14:textId="1CC5D5CA" w:rsidR="001E23C4" w:rsidRPr="00193CC6" w:rsidRDefault="001E23C4" w:rsidP="00D04111">
            <w:pPr>
              <w:tabs>
                <w:tab w:val="left" w:pos="1906"/>
              </w:tabs>
              <w:jc w:val="both"/>
              <w:rPr>
                <w:rFonts w:ascii="Verdana" w:hAnsi="Verdana"/>
                <w:b/>
                <w:sz w:val="24"/>
              </w:rPr>
            </w:pPr>
          </w:p>
        </w:tc>
      </w:tr>
      <w:tr w:rsidR="00D04111" w:rsidRPr="0013257E" w14:paraId="04A67978" w14:textId="77777777" w:rsidTr="0013257E">
        <w:trPr>
          <w:trHeight w:val="671"/>
          <w:jc w:val="center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604E3DE" w14:textId="1B1D7ED4" w:rsidR="00D04111" w:rsidRPr="0013257E" w:rsidRDefault="00D04111" w:rsidP="00AA027E">
            <w:pPr>
              <w:tabs>
                <w:tab w:val="left" w:pos="1906"/>
              </w:tabs>
              <w:jc w:val="both"/>
              <w:rPr>
                <w:rFonts w:ascii="Verdana" w:hAnsi="Verdana"/>
                <w:b/>
                <w:sz w:val="24"/>
              </w:rPr>
            </w:pPr>
            <w:r w:rsidRPr="0013257E">
              <w:rPr>
                <w:rFonts w:ascii="Verdana" w:hAnsi="Verdana"/>
                <w:b/>
                <w:sz w:val="24"/>
              </w:rPr>
              <w:lastRenderedPageBreak/>
              <w:t xml:space="preserve">Summary of </w:t>
            </w:r>
            <w:r w:rsidR="0013257E" w:rsidRPr="0013257E">
              <w:rPr>
                <w:rFonts w:ascii="Verdana" w:hAnsi="Verdana"/>
                <w:b/>
                <w:sz w:val="24"/>
              </w:rPr>
              <w:t xml:space="preserve">communication </w:t>
            </w:r>
            <w:r w:rsidRPr="0013257E">
              <w:rPr>
                <w:rFonts w:ascii="Verdana" w:hAnsi="Verdana"/>
                <w:b/>
                <w:sz w:val="24"/>
              </w:rPr>
              <w:t xml:space="preserve">items circulated to Board members electronically (via e-mail) since the last Board meeting held on 29 </w:t>
            </w:r>
            <w:r w:rsidR="00AA027E">
              <w:rPr>
                <w:rFonts w:ascii="Verdana" w:hAnsi="Verdana"/>
                <w:b/>
                <w:sz w:val="24"/>
              </w:rPr>
              <w:t>September</w:t>
            </w:r>
            <w:r w:rsidRPr="0013257E">
              <w:rPr>
                <w:rFonts w:ascii="Verdana" w:hAnsi="Verdana"/>
                <w:b/>
                <w:sz w:val="24"/>
              </w:rPr>
              <w:t xml:space="preserve"> 2022</w:t>
            </w:r>
          </w:p>
        </w:tc>
      </w:tr>
      <w:tr w:rsidR="00D04111" w:rsidRPr="00772AAF" w14:paraId="30FD7C8D" w14:textId="77777777" w:rsidTr="007D1234">
        <w:trPr>
          <w:trHeight w:val="671"/>
          <w:jc w:val="center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6CB0" w14:textId="2F02B51F" w:rsidR="00953591" w:rsidRDefault="00322ADB" w:rsidP="00953591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 Health Wales Has a system of communications with</w:t>
            </w:r>
            <w:r w:rsidR="00D04C0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62F7C">
              <w:rPr>
                <w:rFonts w:ascii="Verdana" w:hAnsi="Verdana"/>
                <w:sz w:val="22"/>
                <w:szCs w:val="22"/>
              </w:rPr>
              <w:t>the Board</w:t>
            </w:r>
            <w:r>
              <w:rPr>
                <w:rFonts w:ascii="Verdana" w:hAnsi="Verdana"/>
                <w:sz w:val="22"/>
                <w:szCs w:val="22"/>
              </w:rPr>
              <w:t xml:space="preserve"> outside formal meetings</w:t>
            </w:r>
            <w:r w:rsidR="00862F7C">
              <w:rPr>
                <w:rFonts w:ascii="Verdana" w:hAnsi="Verdana"/>
                <w:sz w:val="22"/>
                <w:szCs w:val="22"/>
              </w:rPr>
              <w:t>, to</w:t>
            </w:r>
            <w:r w:rsidR="00953591">
              <w:rPr>
                <w:rFonts w:ascii="Verdana" w:hAnsi="Verdana"/>
                <w:sz w:val="22"/>
                <w:szCs w:val="22"/>
              </w:rPr>
              <w:t xml:space="preserve"> ensure </w:t>
            </w:r>
            <w:r w:rsidR="00D04C08">
              <w:rPr>
                <w:rFonts w:ascii="Verdana" w:hAnsi="Verdana"/>
                <w:sz w:val="22"/>
                <w:szCs w:val="22"/>
              </w:rPr>
              <w:t xml:space="preserve">that directors have up to date </w:t>
            </w:r>
            <w:r w:rsidR="00862F7C">
              <w:rPr>
                <w:rFonts w:ascii="Verdana" w:hAnsi="Verdana"/>
                <w:sz w:val="22"/>
                <w:szCs w:val="22"/>
              </w:rPr>
              <w:t>information and</w:t>
            </w:r>
            <w:r w:rsidR="00953591">
              <w:rPr>
                <w:rFonts w:ascii="Verdana" w:hAnsi="Verdana"/>
                <w:sz w:val="22"/>
                <w:szCs w:val="22"/>
              </w:rPr>
              <w:t xml:space="preserve"> to support </w:t>
            </w:r>
            <w:r w:rsidR="00862F7C">
              <w:rPr>
                <w:rFonts w:ascii="Verdana" w:hAnsi="Verdana"/>
                <w:sz w:val="22"/>
                <w:szCs w:val="22"/>
              </w:rPr>
              <w:t>them in</w:t>
            </w:r>
            <w:r w:rsidR="00953591">
              <w:rPr>
                <w:rFonts w:ascii="Verdana" w:hAnsi="Verdana"/>
                <w:sz w:val="22"/>
                <w:szCs w:val="22"/>
              </w:rPr>
              <w:t xml:space="preserve"> fulfilling their role. A summary of information sent to the Board</w:t>
            </w:r>
            <w:r w:rsidR="002F18B7">
              <w:rPr>
                <w:rFonts w:ascii="Verdana" w:hAnsi="Verdana"/>
                <w:sz w:val="22"/>
                <w:szCs w:val="22"/>
              </w:rPr>
              <w:t xml:space="preserve"> since the September 2022 </w:t>
            </w:r>
            <w:r w:rsidR="00953591">
              <w:rPr>
                <w:rFonts w:ascii="Verdana" w:hAnsi="Verdana"/>
                <w:sz w:val="22"/>
                <w:szCs w:val="22"/>
              </w:rPr>
              <w:t xml:space="preserve"> Board meeting  </w:t>
            </w:r>
            <w:r w:rsidR="00AA027E">
              <w:rPr>
                <w:rFonts w:ascii="Verdana" w:hAnsi="Verdana"/>
                <w:sz w:val="22"/>
                <w:szCs w:val="22"/>
              </w:rPr>
              <w:t xml:space="preserve">(up to the 17 November) </w:t>
            </w:r>
            <w:r w:rsidR="00953591">
              <w:rPr>
                <w:rFonts w:ascii="Verdana" w:hAnsi="Verdana"/>
                <w:sz w:val="22"/>
                <w:szCs w:val="22"/>
              </w:rPr>
              <w:t xml:space="preserve">is as follows: </w:t>
            </w:r>
          </w:p>
          <w:p w14:paraId="579DA3A3" w14:textId="77777777" w:rsidR="005957F2" w:rsidRPr="00953591" w:rsidRDefault="005957F2" w:rsidP="00953591">
            <w:p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0DB2EF5" w14:textId="28A6A081" w:rsidR="00D04111" w:rsidRPr="00794FF6" w:rsidRDefault="00953591" w:rsidP="005957F2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</w:t>
            </w:r>
            <w:r w:rsidR="00D04111" w:rsidRPr="0013257E">
              <w:rPr>
                <w:rFonts w:ascii="Verdana" w:hAnsi="Verdana"/>
                <w:sz w:val="22"/>
                <w:szCs w:val="22"/>
              </w:rPr>
              <w:t xml:space="preserve"> </w:t>
            </w:r>
            <w:hyperlink r:id="rId16" w:history="1">
              <w:r w:rsidR="00D04111" w:rsidRPr="004A2B1B">
                <w:rPr>
                  <w:rStyle w:val="Hyperlink"/>
                  <w:rFonts w:ascii="Verdana" w:hAnsi="Verdana"/>
                  <w:sz w:val="22"/>
                  <w:szCs w:val="22"/>
                </w:rPr>
                <w:t xml:space="preserve">Public Health Approach to Respiratory Viruses Autumn/Winter </w:t>
              </w:r>
              <w:r w:rsidRPr="004A2B1B">
                <w:rPr>
                  <w:rStyle w:val="Hyperlink"/>
                  <w:rFonts w:ascii="Verdana" w:hAnsi="Verdana"/>
                  <w:sz w:val="22"/>
                  <w:szCs w:val="22"/>
                </w:rPr>
                <w:t>20</w:t>
              </w:r>
              <w:r w:rsidR="00D04111" w:rsidRPr="004A2B1B">
                <w:rPr>
                  <w:rStyle w:val="Hyperlink"/>
                  <w:rFonts w:ascii="Verdana" w:hAnsi="Verdana"/>
                  <w:sz w:val="22"/>
                  <w:szCs w:val="22"/>
                </w:rPr>
                <w:t>22/23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C6A6E86" w14:textId="19F0F147" w:rsidR="00816DC3" w:rsidRDefault="00794FF6" w:rsidP="00816DC3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Briefing notes </w:t>
            </w:r>
            <w:r w:rsidR="00816DC3">
              <w:rPr>
                <w:rFonts w:ascii="Verdana" w:hAnsi="Verdana"/>
                <w:sz w:val="22"/>
                <w:szCs w:val="22"/>
              </w:rPr>
              <w:t xml:space="preserve">on </w:t>
            </w:r>
            <w:r>
              <w:rPr>
                <w:rFonts w:ascii="Verdana" w:hAnsi="Verdana"/>
                <w:sz w:val="22"/>
                <w:szCs w:val="22"/>
              </w:rPr>
              <w:t xml:space="preserve">the Foundational Economy and Cost of Living Crisis </w:t>
            </w:r>
          </w:p>
          <w:p w14:paraId="19963FD5" w14:textId="4B64E0D2" w:rsidR="00794FF6" w:rsidRPr="00816DC3" w:rsidRDefault="00794FF6" w:rsidP="00816DC3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816DC3">
              <w:rPr>
                <w:rFonts w:ascii="Verdana" w:hAnsi="Verdana"/>
                <w:sz w:val="22"/>
                <w:szCs w:val="22"/>
              </w:rPr>
              <w:t>Information</w:t>
            </w:r>
            <w:r w:rsidR="00290F86">
              <w:rPr>
                <w:rFonts w:ascii="Verdana" w:hAnsi="Verdana"/>
                <w:sz w:val="22"/>
                <w:szCs w:val="22"/>
              </w:rPr>
              <w:t xml:space="preserve"> on </w:t>
            </w:r>
            <w:r w:rsidRPr="00816DC3">
              <w:rPr>
                <w:rFonts w:ascii="Verdana" w:hAnsi="Verdana"/>
                <w:sz w:val="22"/>
                <w:szCs w:val="22"/>
              </w:rPr>
              <w:t>th</w:t>
            </w:r>
            <w:r w:rsidR="00290F86">
              <w:rPr>
                <w:rFonts w:ascii="Verdana" w:hAnsi="Verdana"/>
                <w:sz w:val="22"/>
                <w:szCs w:val="22"/>
              </w:rPr>
              <w:t xml:space="preserve">e Public Health Wales’ </w:t>
            </w:r>
            <w:r w:rsidRPr="00816DC3">
              <w:rPr>
                <w:rFonts w:ascii="Verdana" w:hAnsi="Verdana"/>
                <w:sz w:val="22"/>
                <w:szCs w:val="22"/>
              </w:rPr>
              <w:t xml:space="preserve">staff conferences and the Welsh </w:t>
            </w:r>
            <w:r w:rsidR="008D28C5">
              <w:rPr>
                <w:rFonts w:ascii="Verdana" w:hAnsi="Verdana"/>
                <w:sz w:val="22"/>
                <w:szCs w:val="22"/>
              </w:rPr>
              <w:t xml:space="preserve">NHS </w:t>
            </w:r>
            <w:r w:rsidRPr="00816DC3">
              <w:rPr>
                <w:rFonts w:ascii="Verdana" w:hAnsi="Verdana"/>
                <w:sz w:val="22"/>
                <w:szCs w:val="22"/>
              </w:rPr>
              <w:t xml:space="preserve"> Confederation Conference </w:t>
            </w:r>
          </w:p>
          <w:p w14:paraId="278D4A32" w14:textId="5040D2E6" w:rsidR="00794FF6" w:rsidRDefault="00794FF6" w:rsidP="005957F2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Information / programme for the 24 October 2022 Board Development day </w:t>
            </w:r>
          </w:p>
          <w:p w14:paraId="5A9C1956" w14:textId="545558F5" w:rsidR="005957F2" w:rsidRDefault="005957F2" w:rsidP="005957F2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draft Board agenda</w:t>
            </w:r>
            <w:r w:rsidR="00794FF6">
              <w:rPr>
                <w:rFonts w:ascii="Verdana" w:hAnsi="Verdana"/>
                <w:sz w:val="22"/>
                <w:szCs w:val="22"/>
              </w:rPr>
              <w:t xml:space="preserve">s for November 2022 </w:t>
            </w:r>
          </w:p>
          <w:p w14:paraId="7E57D307" w14:textId="24552A18" w:rsidR="00953591" w:rsidRPr="0013257E" w:rsidRDefault="00953591" w:rsidP="00D04111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weekly communication</w:t>
            </w:r>
            <w:r w:rsidR="006967A3">
              <w:rPr>
                <w:rFonts w:ascii="Verdana" w:hAnsi="Verdana"/>
                <w:sz w:val="22"/>
                <w:szCs w:val="22"/>
              </w:rPr>
              <w:t>’</w:t>
            </w:r>
            <w:r>
              <w:rPr>
                <w:rFonts w:ascii="Verdana" w:hAnsi="Verdana"/>
                <w:sz w:val="22"/>
                <w:szCs w:val="22"/>
              </w:rPr>
              <w:t xml:space="preserve"> plan forward look</w:t>
            </w:r>
            <w:r w:rsidR="008D28C5">
              <w:rPr>
                <w:rFonts w:ascii="Verdana" w:hAnsi="Verdana"/>
                <w:sz w:val="22"/>
                <w:szCs w:val="22"/>
              </w:rPr>
              <w:t>’</w:t>
            </w:r>
            <w:r>
              <w:rPr>
                <w:rFonts w:ascii="Verdana" w:hAnsi="Verdana"/>
                <w:sz w:val="22"/>
                <w:szCs w:val="22"/>
              </w:rPr>
              <w:t xml:space="preserve"> for the organisation</w:t>
            </w:r>
          </w:p>
          <w:p w14:paraId="2F00139F" w14:textId="77777777" w:rsidR="00D04111" w:rsidRPr="0013257E" w:rsidRDefault="00D04111" w:rsidP="001E23C4">
            <w:pPr>
              <w:tabs>
                <w:tab w:val="left" w:pos="1906"/>
              </w:tabs>
              <w:jc w:val="both"/>
              <w:rPr>
                <w:rFonts w:ascii="Verdana" w:hAnsi="Verdana"/>
                <w:sz w:val="24"/>
              </w:rPr>
            </w:pPr>
          </w:p>
        </w:tc>
      </w:tr>
    </w:tbl>
    <w:p w14:paraId="11E889D5" w14:textId="77777777" w:rsidR="00191431" w:rsidRPr="00772AAF" w:rsidRDefault="00191431" w:rsidP="004B314C">
      <w:pPr>
        <w:pStyle w:val="Default"/>
        <w:rPr>
          <w:rFonts w:ascii="Verdana" w:hAnsi="Verdana"/>
          <w:b/>
          <w:bCs/>
        </w:rPr>
        <w:sectPr w:rsidR="00191431" w:rsidRPr="00772AAF" w:rsidSect="00191431">
          <w:type w:val="continuous"/>
          <w:pgSz w:w="11906" w:h="16838"/>
          <w:pgMar w:top="567" w:right="1800" w:bottom="1276" w:left="1800" w:header="708" w:footer="283" w:gutter="0"/>
          <w:cols w:space="708"/>
          <w:titlePg/>
          <w:docGrid w:linePitch="381"/>
        </w:sectPr>
      </w:pPr>
    </w:p>
    <w:p w14:paraId="20FC7D8F" w14:textId="77777777" w:rsidR="00124464" w:rsidRPr="0050057E" w:rsidRDefault="00124464" w:rsidP="00941BDE">
      <w:pPr>
        <w:rPr>
          <w:rFonts w:ascii="Verdana" w:eastAsia="Calibri" w:hAnsi="Verdana" w:cs="Verdana"/>
          <w:b/>
          <w:bCs/>
          <w:color w:val="000000"/>
          <w:sz w:val="24"/>
          <w:lang w:eastAsia="en-US"/>
        </w:rPr>
      </w:pPr>
    </w:p>
    <w:sectPr w:rsidR="00124464" w:rsidRPr="0050057E" w:rsidSect="00191431">
      <w:type w:val="continuous"/>
      <w:pgSz w:w="11906" w:h="16838"/>
      <w:pgMar w:top="567" w:right="1800" w:bottom="1276" w:left="180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4EB0" w14:textId="77777777" w:rsidR="00096FA6" w:rsidRDefault="00096FA6" w:rsidP="00704045">
      <w:r>
        <w:separator/>
      </w:r>
    </w:p>
  </w:endnote>
  <w:endnote w:type="continuationSeparator" w:id="0">
    <w:p w14:paraId="55B9D112" w14:textId="77777777" w:rsidR="00096FA6" w:rsidRDefault="00096FA6" w:rsidP="007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CD48B2" w:rsidRPr="000E4E83" w14:paraId="5931E3C5" w14:textId="77777777" w:rsidTr="00566B71">
      <w:tc>
        <w:tcPr>
          <w:tcW w:w="3119" w:type="dxa"/>
        </w:tcPr>
        <w:p w14:paraId="1EB0897A" w14:textId="5442A2C1" w:rsidR="00CD48B2" w:rsidRPr="00FF3763" w:rsidRDefault="00CD48B2" w:rsidP="00953591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Date: 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AA027E">
            <w:rPr>
              <w:rFonts w:ascii="Verdana" w:hAnsi="Verdana"/>
              <w:sz w:val="20"/>
            </w:rPr>
            <w:t>17</w:t>
          </w:r>
          <w:r w:rsidR="00953591">
            <w:rPr>
              <w:rFonts w:ascii="Verdana" w:hAnsi="Verdana"/>
              <w:sz w:val="20"/>
            </w:rPr>
            <w:t xml:space="preserve"> November </w:t>
          </w:r>
          <w:r w:rsidR="00907188">
            <w:rPr>
              <w:rFonts w:ascii="Verdana" w:hAnsi="Verdana"/>
              <w:sz w:val="20"/>
            </w:rPr>
            <w:t>2022</w:t>
          </w:r>
        </w:p>
      </w:tc>
      <w:tc>
        <w:tcPr>
          <w:tcW w:w="3828" w:type="dxa"/>
        </w:tcPr>
        <w:p w14:paraId="7596CCA2" w14:textId="4AEB63FD" w:rsidR="00CD48B2" w:rsidRPr="00613426" w:rsidRDefault="00CD48B2" w:rsidP="00907188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>Version:</w:t>
          </w:r>
          <w:r w:rsidRPr="00613426">
            <w:rPr>
              <w:rFonts w:ascii="Verdana" w:hAnsi="Verdana"/>
              <w:sz w:val="20"/>
            </w:rPr>
            <w:t xml:space="preserve"> </w:t>
          </w:r>
          <w:r w:rsidR="00907188">
            <w:rPr>
              <w:rFonts w:ascii="Verdana" w:hAnsi="Verdana"/>
              <w:sz w:val="20"/>
            </w:rPr>
            <w:t>Draft</w:t>
          </w:r>
          <w:r w:rsidR="0013257E">
            <w:rPr>
              <w:rFonts w:ascii="Verdana" w:hAnsi="Verdana"/>
              <w:sz w:val="20"/>
            </w:rPr>
            <w:t xml:space="preserve">  0.0</w:t>
          </w:r>
        </w:p>
      </w:tc>
      <w:tc>
        <w:tcPr>
          <w:tcW w:w="3118" w:type="dxa"/>
        </w:tcPr>
        <w:p w14:paraId="35354F59" w14:textId="516099B2" w:rsidR="00CD48B2" w:rsidRPr="000E4E83" w:rsidRDefault="00CD48B2" w:rsidP="00005BC0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330240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330240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69FBDF9F" w14:textId="77777777" w:rsidR="00CD48B2" w:rsidRPr="000E4E83" w:rsidRDefault="00CD48B2" w:rsidP="000E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CD48B2" w:rsidRPr="000E4E83" w14:paraId="58CAD8A6" w14:textId="77777777" w:rsidTr="00CA5B61">
      <w:trPr>
        <w:trHeight w:val="132"/>
      </w:trPr>
      <w:tc>
        <w:tcPr>
          <w:tcW w:w="3119" w:type="dxa"/>
        </w:tcPr>
        <w:p w14:paraId="75478D14" w14:textId="2000845D" w:rsidR="00CD48B2" w:rsidRPr="000E4E83" w:rsidRDefault="00CD48B2" w:rsidP="0054540D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>Date</w:t>
          </w:r>
          <w:r w:rsidR="0054540D">
            <w:rPr>
              <w:rFonts w:ascii="Verdana" w:hAnsi="Verdana"/>
              <w:b/>
              <w:sz w:val="20"/>
            </w:rPr>
            <w:t xml:space="preserve">: </w:t>
          </w:r>
          <w:r w:rsidR="0054540D">
            <w:rPr>
              <w:rFonts w:ascii="Verdana" w:hAnsi="Verdana"/>
              <w:sz w:val="20"/>
            </w:rPr>
            <w:t>October</w:t>
          </w:r>
          <w:r>
            <w:rPr>
              <w:rFonts w:ascii="Verdana" w:hAnsi="Verdana"/>
              <w:sz w:val="20"/>
            </w:rPr>
            <w:t xml:space="preserve"> 2022</w:t>
          </w:r>
        </w:p>
      </w:tc>
      <w:tc>
        <w:tcPr>
          <w:tcW w:w="3828" w:type="dxa"/>
        </w:tcPr>
        <w:p w14:paraId="54FC3492" w14:textId="758C2011" w:rsidR="00CD48B2" w:rsidRPr="000E4E83" w:rsidRDefault="00CD48B2" w:rsidP="00907188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>Version: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907188">
            <w:rPr>
              <w:rFonts w:ascii="Verdana" w:hAnsi="Verdana"/>
              <w:sz w:val="20"/>
            </w:rPr>
            <w:t>Draft</w:t>
          </w:r>
        </w:p>
      </w:tc>
      <w:tc>
        <w:tcPr>
          <w:tcW w:w="3118" w:type="dxa"/>
        </w:tcPr>
        <w:p w14:paraId="6A79AC10" w14:textId="2D2ECF83" w:rsidR="00CD48B2" w:rsidRPr="000E4E83" w:rsidRDefault="00CD48B2" w:rsidP="005577BE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330240">
            <w:rPr>
              <w:rStyle w:val="PageNumber"/>
              <w:rFonts w:ascii="Verdana" w:hAnsi="Verdana"/>
              <w:noProof/>
              <w:sz w:val="20"/>
            </w:rPr>
            <w:t>1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330240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78E6354A" w14:textId="77777777" w:rsidR="00CD48B2" w:rsidRPr="000E4E83" w:rsidRDefault="00CD48B2" w:rsidP="000E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0458" w14:textId="77777777" w:rsidR="00096FA6" w:rsidRDefault="00096FA6" w:rsidP="00704045">
      <w:r>
        <w:separator/>
      </w:r>
    </w:p>
  </w:footnote>
  <w:footnote w:type="continuationSeparator" w:id="0">
    <w:p w14:paraId="7A83F94A" w14:textId="77777777" w:rsidR="00096FA6" w:rsidRDefault="00096FA6" w:rsidP="0070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1CE"/>
    <w:multiLevelType w:val="hybridMultilevel"/>
    <w:tmpl w:val="99D2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8B"/>
    <w:multiLevelType w:val="hybridMultilevel"/>
    <w:tmpl w:val="846E04E6"/>
    <w:lvl w:ilvl="0" w:tplc="4C302410">
      <w:numFmt w:val="bullet"/>
      <w:lvlText w:val=""/>
      <w:lvlJc w:val="left"/>
      <w:pPr>
        <w:ind w:left="959" w:hanging="5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7E65638">
      <w:numFmt w:val="bullet"/>
      <w:lvlText w:val="•"/>
      <w:lvlJc w:val="left"/>
      <w:pPr>
        <w:ind w:left="1765" w:hanging="569"/>
      </w:pPr>
      <w:rPr>
        <w:rFonts w:hint="default"/>
        <w:lang w:val="en-US" w:eastAsia="en-US" w:bidi="en-US"/>
      </w:rPr>
    </w:lvl>
    <w:lvl w:ilvl="2" w:tplc="17EC3506">
      <w:numFmt w:val="bullet"/>
      <w:lvlText w:val="•"/>
      <w:lvlJc w:val="left"/>
      <w:pPr>
        <w:ind w:left="2570" w:hanging="569"/>
      </w:pPr>
      <w:rPr>
        <w:rFonts w:hint="default"/>
        <w:lang w:val="en-US" w:eastAsia="en-US" w:bidi="en-US"/>
      </w:rPr>
    </w:lvl>
    <w:lvl w:ilvl="3" w:tplc="B91AAD02">
      <w:numFmt w:val="bullet"/>
      <w:lvlText w:val="•"/>
      <w:lvlJc w:val="left"/>
      <w:pPr>
        <w:ind w:left="3375" w:hanging="569"/>
      </w:pPr>
      <w:rPr>
        <w:rFonts w:hint="default"/>
        <w:lang w:val="en-US" w:eastAsia="en-US" w:bidi="en-US"/>
      </w:rPr>
    </w:lvl>
    <w:lvl w:ilvl="4" w:tplc="D1927BC8">
      <w:numFmt w:val="bullet"/>
      <w:lvlText w:val="•"/>
      <w:lvlJc w:val="left"/>
      <w:pPr>
        <w:ind w:left="4180" w:hanging="569"/>
      </w:pPr>
      <w:rPr>
        <w:rFonts w:hint="default"/>
        <w:lang w:val="en-US" w:eastAsia="en-US" w:bidi="en-US"/>
      </w:rPr>
    </w:lvl>
    <w:lvl w:ilvl="5" w:tplc="1CBE18C8">
      <w:numFmt w:val="bullet"/>
      <w:lvlText w:val="•"/>
      <w:lvlJc w:val="left"/>
      <w:pPr>
        <w:ind w:left="4985" w:hanging="569"/>
      </w:pPr>
      <w:rPr>
        <w:rFonts w:hint="default"/>
        <w:lang w:val="en-US" w:eastAsia="en-US" w:bidi="en-US"/>
      </w:rPr>
    </w:lvl>
    <w:lvl w:ilvl="6" w:tplc="03A65FE0">
      <w:numFmt w:val="bullet"/>
      <w:lvlText w:val="•"/>
      <w:lvlJc w:val="left"/>
      <w:pPr>
        <w:ind w:left="5790" w:hanging="569"/>
      </w:pPr>
      <w:rPr>
        <w:rFonts w:hint="default"/>
        <w:lang w:val="en-US" w:eastAsia="en-US" w:bidi="en-US"/>
      </w:rPr>
    </w:lvl>
    <w:lvl w:ilvl="7" w:tplc="7A2E9B9A">
      <w:numFmt w:val="bullet"/>
      <w:lvlText w:val="•"/>
      <w:lvlJc w:val="left"/>
      <w:pPr>
        <w:ind w:left="6595" w:hanging="569"/>
      </w:pPr>
      <w:rPr>
        <w:rFonts w:hint="default"/>
        <w:lang w:val="en-US" w:eastAsia="en-US" w:bidi="en-US"/>
      </w:rPr>
    </w:lvl>
    <w:lvl w:ilvl="8" w:tplc="007032A6">
      <w:numFmt w:val="bullet"/>
      <w:lvlText w:val="•"/>
      <w:lvlJc w:val="left"/>
      <w:pPr>
        <w:ind w:left="7400" w:hanging="569"/>
      </w:pPr>
      <w:rPr>
        <w:rFonts w:hint="default"/>
        <w:lang w:val="en-US" w:eastAsia="en-US" w:bidi="en-US"/>
      </w:rPr>
    </w:lvl>
  </w:abstractNum>
  <w:abstractNum w:abstractNumId="2" w15:restartNumberingAfterBreak="0">
    <w:nsid w:val="12032469"/>
    <w:multiLevelType w:val="hybridMultilevel"/>
    <w:tmpl w:val="F6687FD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4437191"/>
    <w:multiLevelType w:val="hybridMultilevel"/>
    <w:tmpl w:val="6992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1C5"/>
    <w:multiLevelType w:val="hybridMultilevel"/>
    <w:tmpl w:val="EBDE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1F90"/>
    <w:multiLevelType w:val="hybridMultilevel"/>
    <w:tmpl w:val="26DA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52CD8"/>
    <w:multiLevelType w:val="hybridMultilevel"/>
    <w:tmpl w:val="2CCCEBB0"/>
    <w:lvl w:ilvl="0" w:tplc="D436D798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631B"/>
    <w:multiLevelType w:val="hybridMultilevel"/>
    <w:tmpl w:val="A30A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43B5"/>
    <w:multiLevelType w:val="hybridMultilevel"/>
    <w:tmpl w:val="4D4C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BBB"/>
    <w:multiLevelType w:val="hybridMultilevel"/>
    <w:tmpl w:val="430A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D099C"/>
    <w:multiLevelType w:val="hybridMultilevel"/>
    <w:tmpl w:val="A280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767C1"/>
    <w:multiLevelType w:val="multilevel"/>
    <w:tmpl w:val="2D7AE6C4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2" w15:restartNumberingAfterBreak="0">
    <w:nsid w:val="26B77E8B"/>
    <w:multiLevelType w:val="hybridMultilevel"/>
    <w:tmpl w:val="EA7EA1D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2AA528E6"/>
    <w:multiLevelType w:val="hybridMultilevel"/>
    <w:tmpl w:val="8398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46D8"/>
    <w:multiLevelType w:val="hybridMultilevel"/>
    <w:tmpl w:val="30FE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E31"/>
    <w:multiLevelType w:val="hybridMultilevel"/>
    <w:tmpl w:val="2D52235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607B82"/>
    <w:multiLevelType w:val="hybridMultilevel"/>
    <w:tmpl w:val="1426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0A1D"/>
    <w:multiLevelType w:val="hybridMultilevel"/>
    <w:tmpl w:val="380A524A"/>
    <w:lvl w:ilvl="0" w:tplc="D436D798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51CC9"/>
    <w:multiLevelType w:val="hybridMultilevel"/>
    <w:tmpl w:val="1D6AEF6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395233E4"/>
    <w:multiLevelType w:val="hybridMultilevel"/>
    <w:tmpl w:val="DE44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B47"/>
    <w:multiLevelType w:val="hybridMultilevel"/>
    <w:tmpl w:val="74FC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F58F4"/>
    <w:multiLevelType w:val="hybridMultilevel"/>
    <w:tmpl w:val="A73E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1CA"/>
    <w:multiLevelType w:val="hybridMultilevel"/>
    <w:tmpl w:val="9E14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417F3"/>
    <w:multiLevelType w:val="hybridMultilevel"/>
    <w:tmpl w:val="1096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2320A"/>
    <w:multiLevelType w:val="hybridMultilevel"/>
    <w:tmpl w:val="71C4C470"/>
    <w:lvl w:ilvl="0" w:tplc="D436D798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96D4F"/>
    <w:multiLevelType w:val="hybridMultilevel"/>
    <w:tmpl w:val="492E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44FB6"/>
    <w:multiLevelType w:val="hybridMultilevel"/>
    <w:tmpl w:val="7ED651A0"/>
    <w:lvl w:ilvl="0" w:tplc="D436D798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258F6"/>
    <w:multiLevelType w:val="hybridMultilevel"/>
    <w:tmpl w:val="29702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D15F1A"/>
    <w:multiLevelType w:val="multilevel"/>
    <w:tmpl w:val="AC2CA644"/>
    <w:styleLink w:val="OutlinenumberedArialOutlinenumberedArial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StyleOutlinenumberedArialOutlinenumberedArial11Outli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0B1B09"/>
    <w:multiLevelType w:val="hybridMultilevel"/>
    <w:tmpl w:val="B14E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F6DB5"/>
    <w:multiLevelType w:val="hybridMultilevel"/>
    <w:tmpl w:val="FD7E4EB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614C55"/>
    <w:multiLevelType w:val="hybridMultilevel"/>
    <w:tmpl w:val="30F2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81D0E"/>
    <w:multiLevelType w:val="hybridMultilevel"/>
    <w:tmpl w:val="C2CC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A132D"/>
    <w:multiLevelType w:val="hybridMultilevel"/>
    <w:tmpl w:val="6ACCA998"/>
    <w:lvl w:ilvl="0" w:tplc="A5E84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F11E55"/>
    <w:multiLevelType w:val="hybridMultilevel"/>
    <w:tmpl w:val="7A94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F250B"/>
    <w:multiLevelType w:val="hybridMultilevel"/>
    <w:tmpl w:val="A08A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B5AE2"/>
    <w:multiLevelType w:val="hybridMultilevel"/>
    <w:tmpl w:val="B866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13DC9"/>
    <w:multiLevelType w:val="hybridMultilevel"/>
    <w:tmpl w:val="3190DDAC"/>
    <w:lvl w:ilvl="0" w:tplc="E3028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0672"/>
    <w:multiLevelType w:val="hybridMultilevel"/>
    <w:tmpl w:val="EA14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F2E1E"/>
    <w:multiLevelType w:val="hybridMultilevel"/>
    <w:tmpl w:val="0C70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731E"/>
    <w:multiLevelType w:val="hybridMultilevel"/>
    <w:tmpl w:val="0946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56126"/>
    <w:multiLevelType w:val="hybridMultilevel"/>
    <w:tmpl w:val="69EA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315EA"/>
    <w:multiLevelType w:val="hybridMultilevel"/>
    <w:tmpl w:val="4752A3E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9"/>
  </w:num>
  <w:num w:numId="4">
    <w:abstractNumId w:val="41"/>
  </w:num>
  <w:num w:numId="5">
    <w:abstractNumId w:val="5"/>
  </w:num>
  <w:num w:numId="6">
    <w:abstractNumId w:val="24"/>
  </w:num>
  <w:num w:numId="7">
    <w:abstractNumId w:val="26"/>
  </w:num>
  <w:num w:numId="8">
    <w:abstractNumId w:val="21"/>
  </w:num>
  <w:num w:numId="9">
    <w:abstractNumId w:val="22"/>
  </w:num>
  <w:num w:numId="10">
    <w:abstractNumId w:val="17"/>
  </w:num>
  <w:num w:numId="11">
    <w:abstractNumId w:val="33"/>
  </w:num>
  <w:num w:numId="12">
    <w:abstractNumId w:val="6"/>
  </w:num>
  <w:num w:numId="13">
    <w:abstractNumId w:val="16"/>
  </w:num>
  <w:num w:numId="14">
    <w:abstractNumId w:val="40"/>
  </w:num>
  <w:num w:numId="15">
    <w:abstractNumId w:val="38"/>
  </w:num>
  <w:num w:numId="16">
    <w:abstractNumId w:val="36"/>
  </w:num>
  <w:num w:numId="17">
    <w:abstractNumId w:val="34"/>
  </w:num>
  <w:num w:numId="18">
    <w:abstractNumId w:val="12"/>
  </w:num>
  <w:num w:numId="19">
    <w:abstractNumId w:val="30"/>
  </w:num>
  <w:num w:numId="20">
    <w:abstractNumId w:val="14"/>
  </w:num>
  <w:num w:numId="21">
    <w:abstractNumId w:val="23"/>
  </w:num>
  <w:num w:numId="22">
    <w:abstractNumId w:val="2"/>
  </w:num>
  <w:num w:numId="23">
    <w:abstractNumId w:val="18"/>
  </w:num>
  <w:num w:numId="24">
    <w:abstractNumId w:val="13"/>
  </w:num>
  <w:num w:numId="25">
    <w:abstractNumId w:val="8"/>
  </w:num>
  <w:num w:numId="26">
    <w:abstractNumId w:val="42"/>
  </w:num>
  <w:num w:numId="27">
    <w:abstractNumId w:val="4"/>
  </w:num>
  <w:num w:numId="28">
    <w:abstractNumId w:val="19"/>
  </w:num>
  <w:num w:numId="29">
    <w:abstractNumId w:val="3"/>
  </w:num>
  <w:num w:numId="30">
    <w:abstractNumId w:val="7"/>
  </w:num>
  <w:num w:numId="31">
    <w:abstractNumId w:val="20"/>
  </w:num>
  <w:num w:numId="32">
    <w:abstractNumId w:val="1"/>
  </w:num>
  <w:num w:numId="33">
    <w:abstractNumId w:val="37"/>
  </w:num>
  <w:num w:numId="34">
    <w:abstractNumId w:val="11"/>
  </w:num>
  <w:num w:numId="35">
    <w:abstractNumId w:val="25"/>
  </w:num>
  <w:num w:numId="36">
    <w:abstractNumId w:val="29"/>
  </w:num>
  <w:num w:numId="37">
    <w:abstractNumId w:val="35"/>
  </w:num>
  <w:num w:numId="38">
    <w:abstractNumId w:val="27"/>
  </w:num>
  <w:num w:numId="39">
    <w:abstractNumId w:val="39"/>
  </w:num>
  <w:num w:numId="40">
    <w:abstractNumId w:val="32"/>
  </w:num>
  <w:num w:numId="41">
    <w:abstractNumId w:val="31"/>
  </w:num>
  <w:num w:numId="42">
    <w:abstractNumId w:val="15"/>
  </w:num>
  <w:num w:numId="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0"/>
    <w:rsid w:val="00002EB0"/>
    <w:rsid w:val="00003B1C"/>
    <w:rsid w:val="000048EB"/>
    <w:rsid w:val="00005BC0"/>
    <w:rsid w:val="00005FFD"/>
    <w:rsid w:val="00012100"/>
    <w:rsid w:val="00012777"/>
    <w:rsid w:val="00013BCA"/>
    <w:rsid w:val="00022C4C"/>
    <w:rsid w:val="00024C30"/>
    <w:rsid w:val="00024F07"/>
    <w:rsid w:val="000331F5"/>
    <w:rsid w:val="00034054"/>
    <w:rsid w:val="000379ED"/>
    <w:rsid w:val="00041E98"/>
    <w:rsid w:val="000427E9"/>
    <w:rsid w:val="00042DFD"/>
    <w:rsid w:val="00045F25"/>
    <w:rsid w:val="000466C7"/>
    <w:rsid w:val="000474E8"/>
    <w:rsid w:val="00053BFC"/>
    <w:rsid w:val="00056883"/>
    <w:rsid w:val="00065091"/>
    <w:rsid w:val="000714AB"/>
    <w:rsid w:val="00071B6B"/>
    <w:rsid w:val="00072AE6"/>
    <w:rsid w:val="00082CF5"/>
    <w:rsid w:val="000903B4"/>
    <w:rsid w:val="000915FE"/>
    <w:rsid w:val="00093741"/>
    <w:rsid w:val="00096FA6"/>
    <w:rsid w:val="000A2ABC"/>
    <w:rsid w:val="000C2D86"/>
    <w:rsid w:val="000C472C"/>
    <w:rsid w:val="000C578C"/>
    <w:rsid w:val="000C7960"/>
    <w:rsid w:val="000D2219"/>
    <w:rsid w:val="000D3332"/>
    <w:rsid w:val="000D7D49"/>
    <w:rsid w:val="000E1352"/>
    <w:rsid w:val="000E4E83"/>
    <w:rsid w:val="000E5BCB"/>
    <w:rsid w:val="000E6DD6"/>
    <w:rsid w:val="000F2CCE"/>
    <w:rsid w:val="001046E5"/>
    <w:rsid w:val="00107B72"/>
    <w:rsid w:val="00120851"/>
    <w:rsid w:val="00120DC1"/>
    <w:rsid w:val="00121B17"/>
    <w:rsid w:val="00123113"/>
    <w:rsid w:val="00123F47"/>
    <w:rsid w:val="00124464"/>
    <w:rsid w:val="001274E2"/>
    <w:rsid w:val="00130C8F"/>
    <w:rsid w:val="0013257E"/>
    <w:rsid w:val="001343B1"/>
    <w:rsid w:val="0013610A"/>
    <w:rsid w:val="001472FB"/>
    <w:rsid w:val="001502F9"/>
    <w:rsid w:val="00151A1F"/>
    <w:rsid w:val="00157655"/>
    <w:rsid w:val="00157A6D"/>
    <w:rsid w:val="00191431"/>
    <w:rsid w:val="00191459"/>
    <w:rsid w:val="00193CC6"/>
    <w:rsid w:val="001943F2"/>
    <w:rsid w:val="00196A80"/>
    <w:rsid w:val="00197682"/>
    <w:rsid w:val="001A619D"/>
    <w:rsid w:val="001A7EC9"/>
    <w:rsid w:val="001B0556"/>
    <w:rsid w:val="001B7052"/>
    <w:rsid w:val="001B79FE"/>
    <w:rsid w:val="001C44BA"/>
    <w:rsid w:val="001D4833"/>
    <w:rsid w:val="001D748A"/>
    <w:rsid w:val="001D781E"/>
    <w:rsid w:val="001E23C4"/>
    <w:rsid w:val="001E72DE"/>
    <w:rsid w:val="001F064A"/>
    <w:rsid w:val="001F6A46"/>
    <w:rsid w:val="002023F4"/>
    <w:rsid w:val="00203DA7"/>
    <w:rsid w:val="00210F64"/>
    <w:rsid w:val="0021503E"/>
    <w:rsid w:val="00215655"/>
    <w:rsid w:val="002179CF"/>
    <w:rsid w:val="00220824"/>
    <w:rsid w:val="0022092F"/>
    <w:rsid w:val="002250A5"/>
    <w:rsid w:val="00230CA1"/>
    <w:rsid w:val="00235BA7"/>
    <w:rsid w:val="002403F0"/>
    <w:rsid w:val="0024251D"/>
    <w:rsid w:val="00252AC3"/>
    <w:rsid w:val="0026035A"/>
    <w:rsid w:val="00271500"/>
    <w:rsid w:val="002729F4"/>
    <w:rsid w:val="00274DAA"/>
    <w:rsid w:val="00277252"/>
    <w:rsid w:val="00281871"/>
    <w:rsid w:val="00290768"/>
    <w:rsid w:val="00290F86"/>
    <w:rsid w:val="002A20DE"/>
    <w:rsid w:val="002A2E0F"/>
    <w:rsid w:val="002A6955"/>
    <w:rsid w:val="002A7CBB"/>
    <w:rsid w:val="002B1385"/>
    <w:rsid w:val="002B49EC"/>
    <w:rsid w:val="002B55CC"/>
    <w:rsid w:val="002B7A71"/>
    <w:rsid w:val="002D2E20"/>
    <w:rsid w:val="002D7811"/>
    <w:rsid w:val="002E2110"/>
    <w:rsid w:val="002E655C"/>
    <w:rsid w:val="002E6A11"/>
    <w:rsid w:val="002E6ACB"/>
    <w:rsid w:val="002F0EAC"/>
    <w:rsid w:val="002F18B7"/>
    <w:rsid w:val="002F345D"/>
    <w:rsid w:val="002F45E4"/>
    <w:rsid w:val="002F7792"/>
    <w:rsid w:val="003025B1"/>
    <w:rsid w:val="00316D66"/>
    <w:rsid w:val="00317BCF"/>
    <w:rsid w:val="00322ADB"/>
    <w:rsid w:val="00323817"/>
    <w:rsid w:val="0032437F"/>
    <w:rsid w:val="00326188"/>
    <w:rsid w:val="003275D7"/>
    <w:rsid w:val="00330240"/>
    <w:rsid w:val="003325C9"/>
    <w:rsid w:val="00337E91"/>
    <w:rsid w:val="003400CB"/>
    <w:rsid w:val="00341E15"/>
    <w:rsid w:val="00351CFF"/>
    <w:rsid w:val="00361136"/>
    <w:rsid w:val="003622EF"/>
    <w:rsid w:val="00370505"/>
    <w:rsid w:val="00374692"/>
    <w:rsid w:val="00377D10"/>
    <w:rsid w:val="00383150"/>
    <w:rsid w:val="003A2800"/>
    <w:rsid w:val="003A5B08"/>
    <w:rsid w:val="003A621B"/>
    <w:rsid w:val="003A649B"/>
    <w:rsid w:val="003A77A2"/>
    <w:rsid w:val="003C061B"/>
    <w:rsid w:val="003C7DD8"/>
    <w:rsid w:val="003D0AF9"/>
    <w:rsid w:val="003D27DF"/>
    <w:rsid w:val="003D3DBC"/>
    <w:rsid w:val="003E0616"/>
    <w:rsid w:val="003E6E86"/>
    <w:rsid w:val="003E7D01"/>
    <w:rsid w:val="0040064C"/>
    <w:rsid w:val="004009CF"/>
    <w:rsid w:val="00406B41"/>
    <w:rsid w:val="004077A3"/>
    <w:rsid w:val="00407ACB"/>
    <w:rsid w:val="00420495"/>
    <w:rsid w:val="004255AB"/>
    <w:rsid w:val="004317C0"/>
    <w:rsid w:val="00431C8E"/>
    <w:rsid w:val="004323C0"/>
    <w:rsid w:val="0043780F"/>
    <w:rsid w:val="00445900"/>
    <w:rsid w:val="00445907"/>
    <w:rsid w:val="0045076D"/>
    <w:rsid w:val="00453B5D"/>
    <w:rsid w:val="00454E2B"/>
    <w:rsid w:val="004555CD"/>
    <w:rsid w:val="004557E6"/>
    <w:rsid w:val="00462287"/>
    <w:rsid w:val="004641B6"/>
    <w:rsid w:val="0046458B"/>
    <w:rsid w:val="004677D0"/>
    <w:rsid w:val="00483071"/>
    <w:rsid w:val="004879C8"/>
    <w:rsid w:val="0049293C"/>
    <w:rsid w:val="004A2B1B"/>
    <w:rsid w:val="004B01F1"/>
    <w:rsid w:val="004B0D92"/>
    <w:rsid w:val="004B12EF"/>
    <w:rsid w:val="004B152F"/>
    <w:rsid w:val="004B201B"/>
    <w:rsid w:val="004B314C"/>
    <w:rsid w:val="004C196B"/>
    <w:rsid w:val="004C2391"/>
    <w:rsid w:val="004C335D"/>
    <w:rsid w:val="004C3576"/>
    <w:rsid w:val="004C4176"/>
    <w:rsid w:val="004C4F6E"/>
    <w:rsid w:val="004F2B58"/>
    <w:rsid w:val="004F4472"/>
    <w:rsid w:val="0050057E"/>
    <w:rsid w:val="00501C6B"/>
    <w:rsid w:val="00502BBF"/>
    <w:rsid w:val="00506D78"/>
    <w:rsid w:val="00512E63"/>
    <w:rsid w:val="00515ED5"/>
    <w:rsid w:val="00520D0A"/>
    <w:rsid w:val="005279C4"/>
    <w:rsid w:val="005329B7"/>
    <w:rsid w:val="00534640"/>
    <w:rsid w:val="00543EE6"/>
    <w:rsid w:val="00544358"/>
    <w:rsid w:val="0054540D"/>
    <w:rsid w:val="005507BA"/>
    <w:rsid w:val="00554BA8"/>
    <w:rsid w:val="00556C6B"/>
    <w:rsid w:val="00557232"/>
    <w:rsid w:val="005577BE"/>
    <w:rsid w:val="00560BE2"/>
    <w:rsid w:val="00562839"/>
    <w:rsid w:val="005632C7"/>
    <w:rsid w:val="00564BA2"/>
    <w:rsid w:val="00565336"/>
    <w:rsid w:val="00566B71"/>
    <w:rsid w:val="005715AB"/>
    <w:rsid w:val="0058604D"/>
    <w:rsid w:val="005941AE"/>
    <w:rsid w:val="005957F2"/>
    <w:rsid w:val="005970C0"/>
    <w:rsid w:val="005A27C1"/>
    <w:rsid w:val="005A4F88"/>
    <w:rsid w:val="005A63FD"/>
    <w:rsid w:val="005B3032"/>
    <w:rsid w:val="005B6474"/>
    <w:rsid w:val="005C1A1C"/>
    <w:rsid w:val="005C2A86"/>
    <w:rsid w:val="005C2FAC"/>
    <w:rsid w:val="005C5E6D"/>
    <w:rsid w:val="005C6704"/>
    <w:rsid w:val="005E2EDF"/>
    <w:rsid w:val="005F2E0A"/>
    <w:rsid w:val="005F4406"/>
    <w:rsid w:val="005F4587"/>
    <w:rsid w:val="005F7D55"/>
    <w:rsid w:val="00601F75"/>
    <w:rsid w:val="00604E13"/>
    <w:rsid w:val="00605149"/>
    <w:rsid w:val="00613426"/>
    <w:rsid w:val="0062360F"/>
    <w:rsid w:val="00626E68"/>
    <w:rsid w:val="006311F7"/>
    <w:rsid w:val="006314FC"/>
    <w:rsid w:val="00635DD5"/>
    <w:rsid w:val="00645215"/>
    <w:rsid w:val="00646886"/>
    <w:rsid w:val="00656944"/>
    <w:rsid w:val="0066774F"/>
    <w:rsid w:val="00687D60"/>
    <w:rsid w:val="00693B46"/>
    <w:rsid w:val="006967A3"/>
    <w:rsid w:val="006A53B5"/>
    <w:rsid w:val="006B2B13"/>
    <w:rsid w:val="006B798F"/>
    <w:rsid w:val="006C53DC"/>
    <w:rsid w:val="006D068B"/>
    <w:rsid w:val="006D72E0"/>
    <w:rsid w:val="006D7C0B"/>
    <w:rsid w:val="006E0256"/>
    <w:rsid w:val="006E54AB"/>
    <w:rsid w:val="006E6ADF"/>
    <w:rsid w:val="006E715A"/>
    <w:rsid w:val="006F2422"/>
    <w:rsid w:val="006F68DA"/>
    <w:rsid w:val="006F7DA4"/>
    <w:rsid w:val="006F7E60"/>
    <w:rsid w:val="007006FC"/>
    <w:rsid w:val="00702221"/>
    <w:rsid w:val="00704045"/>
    <w:rsid w:val="00715962"/>
    <w:rsid w:val="007203F2"/>
    <w:rsid w:val="0072095B"/>
    <w:rsid w:val="007214FB"/>
    <w:rsid w:val="007215A6"/>
    <w:rsid w:val="007324BE"/>
    <w:rsid w:val="0073613E"/>
    <w:rsid w:val="0074091C"/>
    <w:rsid w:val="007412BC"/>
    <w:rsid w:val="007413C1"/>
    <w:rsid w:val="0074214F"/>
    <w:rsid w:val="00742F86"/>
    <w:rsid w:val="0074340F"/>
    <w:rsid w:val="00743CF2"/>
    <w:rsid w:val="00752AD7"/>
    <w:rsid w:val="00752CD9"/>
    <w:rsid w:val="00755BD1"/>
    <w:rsid w:val="007604E8"/>
    <w:rsid w:val="0077043C"/>
    <w:rsid w:val="00770518"/>
    <w:rsid w:val="00772AAF"/>
    <w:rsid w:val="00774BCB"/>
    <w:rsid w:val="00776837"/>
    <w:rsid w:val="007803CA"/>
    <w:rsid w:val="007857B5"/>
    <w:rsid w:val="00786D87"/>
    <w:rsid w:val="0078746E"/>
    <w:rsid w:val="0079108A"/>
    <w:rsid w:val="00794FF6"/>
    <w:rsid w:val="007A5E51"/>
    <w:rsid w:val="007B2EA3"/>
    <w:rsid w:val="007B3FD2"/>
    <w:rsid w:val="007B6972"/>
    <w:rsid w:val="007C12A4"/>
    <w:rsid w:val="007C39B3"/>
    <w:rsid w:val="007C537D"/>
    <w:rsid w:val="007C7CBF"/>
    <w:rsid w:val="007D1234"/>
    <w:rsid w:val="007D2C59"/>
    <w:rsid w:val="007D6B7A"/>
    <w:rsid w:val="007E2232"/>
    <w:rsid w:val="007E3CB6"/>
    <w:rsid w:val="007F6F50"/>
    <w:rsid w:val="0080736D"/>
    <w:rsid w:val="00807CBE"/>
    <w:rsid w:val="00814513"/>
    <w:rsid w:val="0081506E"/>
    <w:rsid w:val="00816DC3"/>
    <w:rsid w:val="00820798"/>
    <w:rsid w:val="00827613"/>
    <w:rsid w:val="00831636"/>
    <w:rsid w:val="00831A52"/>
    <w:rsid w:val="00831BEE"/>
    <w:rsid w:val="0083353A"/>
    <w:rsid w:val="00843165"/>
    <w:rsid w:val="008541E0"/>
    <w:rsid w:val="008542A8"/>
    <w:rsid w:val="0085557A"/>
    <w:rsid w:val="00861A51"/>
    <w:rsid w:val="00861EC9"/>
    <w:rsid w:val="00862F7C"/>
    <w:rsid w:val="00864102"/>
    <w:rsid w:val="0087068E"/>
    <w:rsid w:val="00880413"/>
    <w:rsid w:val="00883259"/>
    <w:rsid w:val="00886AF1"/>
    <w:rsid w:val="008900BA"/>
    <w:rsid w:val="00890299"/>
    <w:rsid w:val="00890B35"/>
    <w:rsid w:val="00891FAE"/>
    <w:rsid w:val="00892F37"/>
    <w:rsid w:val="008A182F"/>
    <w:rsid w:val="008A4ADE"/>
    <w:rsid w:val="008A56FC"/>
    <w:rsid w:val="008D28C5"/>
    <w:rsid w:val="008D67C0"/>
    <w:rsid w:val="00907188"/>
    <w:rsid w:val="009072F1"/>
    <w:rsid w:val="00911FF9"/>
    <w:rsid w:val="0092200C"/>
    <w:rsid w:val="009307FA"/>
    <w:rsid w:val="009356A1"/>
    <w:rsid w:val="00941BDE"/>
    <w:rsid w:val="009430D7"/>
    <w:rsid w:val="009435A5"/>
    <w:rsid w:val="009505A2"/>
    <w:rsid w:val="00953591"/>
    <w:rsid w:val="00960A76"/>
    <w:rsid w:val="00960E44"/>
    <w:rsid w:val="00963B4E"/>
    <w:rsid w:val="00967025"/>
    <w:rsid w:val="00967AFA"/>
    <w:rsid w:val="00972CE6"/>
    <w:rsid w:val="0097522C"/>
    <w:rsid w:val="00982DF4"/>
    <w:rsid w:val="00982FAB"/>
    <w:rsid w:val="009861C4"/>
    <w:rsid w:val="00995DB8"/>
    <w:rsid w:val="009A16CC"/>
    <w:rsid w:val="009A1AE0"/>
    <w:rsid w:val="009A2BE2"/>
    <w:rsid w:val="009A2FA8"/>
    <w:rsid w:val="009B3404"/>
    <w:rsid w:val="009B5ECD"/>
    <w:rsid w:val="009C4FF6"/>
    <w:rsid w:val="009C66AA"/>
    <w:rsid w:val="009D3D53"/>
    <w:rsid w:val="009D47B2"/>
    <w:rsid w:val="009D7AE9"/>
    <w:rsid w:val="009E196E"/>
    <w:rsid w:val="009E374F"/>
    <w:rsid w:val="009E61B9"/>
    <w:rsid w:val="00A00AF0"/>
    <w:rsid w:val="00A019D6"/>
    <w:rsid w:val="00A0290F"/>
    <w:rsid w:val="00A032AE"/>
    <w:rsid w:val="00A10E4C"/>
    <w:rsid w:val="00A14ACC"/>
    <w:rsid w:val="00A17A2F"/>
    <w:rsid w:val="00A2014A"/>
    <w:rsid w:val="00A22ED2"/>
    <w:rsid w:val="00A27BC4"/>
    <w:rsid w:val="00A314DB"/>
    <w:rsid w:val="00A333A9"/>
    <w:rsid w:val="00A421A6"/>
    <w:rsid w:val="00A46AD0"/>
    <w:rsid w:val="00A507BD"/>
    <w:rsid w:val="00A55A08"/>
    <w:rsid w:val="00A611E2"/>
    <w:rsid w:val="00A822DC"/>
    <w:rsid w:val="00A8464F"/>
    <w:rsid w:val="00A866E6"/>
    <w:rsid w:val="00A928ED"/>
    <w:rsid w:val="00AA027E"/>
    <w:rsid w:val="00AA13AE"/>
    <w:rsid w:val="00AA38FD"/>
    <w:rsid w:val="00AB2F54"/>
    <w:rsid w:val="00AC3E70"/>
    <w:rsid w:val="00AC5278"/>
    <w:rsid w:val="00AC6EB3"/>
    <w:rsid w:val="00AC7B1A"/>
    <w:rsid w:val="00AD09A6"/>
    <w:rsid w:val="00AD4C94"/>
    <w:rsid w:val="00AD74CB"/>
    <w:rsid w:val="00AF1A87"/>
    <w:rsid w:val="00AF3162"/>
    <w:rsid w:val="00B05ACE"/>
    <w:rsid w:val="00B115AF"/>
    <w:rsid w:val="00B14592"/>
    <w:rsid w:val="00B26412"/>
    <w:rsid w:val="00B30A2F"/>
    <w:rsid w:val="00B502D2"/>
    <w:rsid w:val="00B7160B"/>
    <w:rsid w:val="00B767A9"/>
    <w:rsid w:val="00B84802"/>
    <w:rsid w:val="00B93E50"/>
    <w:rsid w:val="00B962CC"/>
    <w:rsid w:val="00BA0112"/>
    <w:rsid w:val="00BA7EB8"/>
    <w:rsid w:val="00BB02A4"/>
    <w:rsid w:val="00BB237D"/>
    <w:rsid w:val="00BB3DF3"/>
    <w:rsid w:val="00BB6C4B"/>
    <w:rsid w:val="00BC41BC"/>
    <w:rsid w:val="00BD1003"/>
    <w:rsid w:val="00BD12AC"/>
    <w:rsid w:val="00BD1EE1"/>
    <w:rsid w:val="00BD21BA"/>
    <w:rsid w:val="00BD6B73"/>
    <w:rsid w:val="00BD7A20"/>
    <w:rsid w:val="00BD7E81"/>
    <w:rsid w:val="00BE0904"/>
    <w:rsid w:val="00BF65F5"/>
    <w:rsid w:val="00BF7EF9"/>
    <w:rsid w:val="00C03773"/>
    <w:rsid w:val="00C0570D"/>
    <w:rsid w:val="00C06975"/>
    <w:rsid w:val="00C1086D"/>
    <w:rsid w:val="00C12016"/>
    <w:rsid w:val="00C13F3E"/>
    <w:rsid w:val="00C22B33"/>
    <w:rsid w:val="00C247E9"/>
    <w:rsid w:val="00C252B4"/>
    <w:rsid w:val="00C25383"/>
    <w:rsid w:val="00C27B6A"/>
    <w:rsid w:val="00C30D1F"/>
    <w:rsid w:val="00C402DB"/>
    <w:rsid w:val="00C43A7D"/>
    <w:rsid w:val="00C44B28"/>
    <w:rsid w:val="00C47559"/>
    <w:rsid w:val="00C522C0"/>
    <w:rsid w:val="00C54B94"/>
    <w:rsid w:val="00C55CF1"/>
    <w:rsid w:val="00C6159D"/>
    <w:rsid w:val="00C76358"/>
    <w:rsid w:val="00C76572"/>
    <w:rsid w:val="00C86E4D"/>
    <w:rsid w:val="00C90784"/>
    <w:rsid w:val="00C90B13"/>
    <w:rsid w:val="00C92045"/>
    <w:rsid w:val="00C9325F"/>
    <w:rsid w:val="00C938DE"/>
    <w:rsid w:val="00CA3BB4"/>
    <w:rsid w:val="00CA5B61"/>
    <w:rsid w:val="00CA6241"/>
    <w:rsid w:val="00CA7858"/>
    <w:rsid w:val="00CA78AF"/>
    <w:rsid w:val="00CB5AD0"/>
    <w:rsid w:val="00CC4B7B"/>
    <w:rsid w:val="00CC653C"/>
    <w:rsid w:val="00CD202C"/>
    <w:rsid w:val="00CD4342"/>
    <w:rsid w:val="00CD48B2"/>
    <w:rsid w:val="00CD58E8"/>
    <w:rsid w:val="00CE1609"/>
    <w:rsid w:val="00D0162E"/>
    <w:rsid w:val="00D02BB9"/>
    <w:rsid w:val="00D0352C"/>
    <w:rsid w:val="00D04111"/>
    <w:rsid w:val="00D04C08"/>
    <w:rsid w:val="00D16EC2"/>
    <w:rsid w:val="00D16F4E"/>
    <w:rsid w:val="00D21B7B"/>
    <w:rsid w:val="00D2447A"/>
    <w:rsid w:val="00D244D4"/>
    <w:rsid w:val="00D254B9"/>
    <w:rsid w:val="00D35FCB"/>
    <w:rsid w:val="00D4342E"/>
    <w:rsid w:val="00D474DA"/>
    <w:rsid w:val="00D531E8"/>
    <w:rsid w:val="00D55711"/>
    <w:rsid w:val="00D64A29"/>
    <w:rsid w:val="00D810CA"/>
    <w:rsid w:val="00D86685"/>
    <w:rsid w:val="00D92D9F"/>
    <w:rsid w:val="00D93068"/>
    <w:rsid w:val="00D9388F"/>
    <w:rsid w:val="00DA305D"/>
    <w:rsid w:val="00DB6D0E"/>
    <w:rsid w:val="00DC1750"/>
    <w:rsid w:val="00DC198B"/>
    <w:rsid w:val="00DC2C12"/>
    <w:rsid w:val="00DC7392"/>
    <w:rsid w:val="00DD16C5"/>
    <w:rsid w:val="00DE54C3"/>
    <w:rsid w:val="00E1250F"/>
    <w:rsid w:val="00E16EDB"/>
    <w:rsid w:val="00E23A6F"/>
    <w:rsid w:val="00E279FA"/>
    <w:rsid w:val="00E31613"/>
    <w:rsid w:val="00E33EAE"/>
    <w:rsid w:val="00E35EA4"/>
    <w:rsid w:val="00E43602"/>
    <w:rsid w:val="00E43A44"/>
    <w:rsid w:val="00E518B6"/>
    <w:rsid w:val="00E52268"/>
    <w:rsid w:val="00E57F1E"/>
    <w:rsid w:val="00E6158C"/>
    <w:rsid w:val="00E63B06"/>
    <w:rsid w:val="00E7330A"/>
    <w:rsid w:val="00E77251"/>
    <w:rsid w:val="00E776EA"/>
    <w:rsid w:val="00E81B94"/>
    <w:rsid w:val="00E82A36"/>
    <w:rsid w:val="00E8546D"/>
    <w:rsid w:val="00E85A7A"/>
    <w:rsid w:val="00E97561"/>
    <w:rsid w:val="00EA186E"/>
    <w:rsid w:val="00EB0EE8"/>
    <w:rsid w:val="00EB3596"/>
    <w:rsid w:val="00EC0C72"/>
    <w:rsid w:val="00EC36DD"/>
    <w:rsid w:val="00EC7D6B"/>
    <w:rsid w:val="00ED04CF"/>
    <w:rsid w:val="00ED3404"/>
    <w:rsid w:val="00ED3D58"/>
    <w:rsid w:val="00EF3888"/>
    <w:rsid w:val="00EF6798"/>
    <w:rsid w:val="00F03504"/>
    <w:rsid w:val="00F03AF4"/>
    <w:rsid w:val="00F2301D"/>
    <w:rsid w:val="00F30D07"/>
    <w:rsid w:val="00F32085"/>
    <w:rsid w:val="00F349DE"/>
    <w:rsid w:val="00F35983"/>
    <w:rsid w:val="00F46C49"/>
    <w:rsid w:val="00F5256B"/>
    <w:rsid w:val="00F55F3C"/>
    <w:rsid w:val="00F602CA"/>
    <w:rsid w:val="00F724FC"/>
    <w:rsid w:val="00F72A30"/>
    <w:rsid w:val="00F80272"/>
    <w:rsid w:val="00F82A0D"/>
    <w:rsid w:val="00F85F41"/>
    <w:rsid w:val="00F9295E"/>
    <w:rsid w:val="00F95B0A"/>
    <w:rsid w:val="00FA002D"/>
    <w:rsid w:val="00FA4124"/>
    <w:rsid w:val="00FA6443"/>
    <w:rsid w:val="00FA69CB"/>
    <w:rsid w:val="00FA7CB6"/>
    <w:rsid w:val="00FB0332"/>
    <w:rsid w:val="00FB2846"/>
    <w:rsid w:val="00FB2C45"/>
    <w:rsid w:val="00FB6154"/>
    <w:rsid w:val="00FB7704"/>
    <w:rsid w:val="00FB7EDA"/>
    <w:rsid w:val="00FC0F9B"/>
    <w:rsid w:val="00FC41D3"/>
    <w:rsid w:val="00FC447F"/>
    <w:rsid w:val="00FC5140"/>
    <w:rsid w:val="00FC7384"/>
    <w:rsid w:val="00FC7CFE"/>
    <w:rsid w:val="00FD1620"/>
    <w:rsid w:val="00FD2714"/>
    <w:rsid w:val="00FE0652"/>
    <w:rsid w:val="00FE0E65"/>
    <w:rsid w:val="00FE20FA"/>
    <w:rsid w:val="00FE6D52"/>
    <w:rsid w:val="00FF0EE3"/>
    <w:rsid w:val="00FF3733"/>
    <w:rsid w:val="00FF3763"/>
    <w:rsid w:val="00FF4D01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7F3778D"/>
  <w15:docId w15:val="{4156DB9B-F370-4D90-A71E-8B12CD7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F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566B71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66B71"/>
    <w:pPr>
      <w:keepNext/>
      <w:keepLines/>
      <w:outlineLvl w:val="1"/>
    </w:pPr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7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6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4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4045"/>
    <w:rPr>
      <w:rFonts w:ascii="Arial" w:hAnsi="Arial"/>
      <w:sz w:val="28"/>
      <w:szCs w:val="24"/>
    </w:rPr>
  </w:style>
  <w:style w:type="paragraph" w:styleId="Footer">
    <w:name w:val="footer"/>
    <w:aliases w:val="Doc Footer"/>
    <w:basedOn w:val="Normal"/>
    <w:link w:val="FooterChar"/>
    <w:uiPriority w:val="99"/>
    <w:rsid w:val="00704045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Doc Footer Char"/>
    <w:basedOn w:val="DefaultParagraphFont"/>
    <w:link w:val="Footer"/>
    <w:uiPriority w:val="99"/>
    <w:rsid w:val="00704045"/>
    <w:rPr>
      <w:rFonts w:ascii="Arial" w:hAnsi="Arial"/>
      <w:sz w:val="28"/>
      <w:szCs w:val="24"/>
    </w:rPr>
  </w:style>
  <w:style w:type="table" w:styleId="TableGrid">
    <w:name w:val="Table Grid"/>
    <w:basedOn w:val="TableNormal"/>
    <w:uiPriority w:val="59"/>
    <w:rsid w:val="0044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54B9"/>
    <w:rPr>
      <w:color w:val="808080"/>
    </w:rPr>
  </w:style>
  <w:style w:type="character" w:customStyle="1" w:styleId="Dropdown">
    <w:name w:val="Dropdown"/>
    <w:basedOn w:val="DefaultParagraphFont"/>
    <w:uiPriority w:val="1"/>
    <w:rsid w:val="00D254B9"/>
    <w:rPr>
      <w:rFonts w:ascii="Verdana" w:hAnsi="Verdana"/>
      <w:color w:val="auto"/>
      <w:sz w:val="24"/>
    </w:rPr>
  </w:style>
  <w:style w:type="character" w:styleId="PageNumber">
    <w:name w:val="page number"/>
    <w:basedOn w:val="DefaultParagraphFont"/>
    <w:rsid w:val="000E4E83"/>
  </w:style>
  <w:style w:type="paragraph" w:customStyle="1" w:styleId="Default">
    <w:name w:val="Default"/>
    <w:rsid w:val="0031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613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8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531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3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31E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1E8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D531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66B71"/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566B71"/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6B7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6B71"/>
    <w:pPr>
      <w:spacing w:after="100"/>
    </w:pPr>
    <w:rPr>
      <w:rFonts w:ascii="Verdana" w:eastAsiaTheme="minorHAnsi" w:hAnsi="Verdana" w:cstheme="minorBidi"/>
      <w:sz w:val="24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6B71"/>
    <w:pPr>
      <w:spacing w:after="100"/>
      <w:ind w:left="240"/>
    </w:pPr>
    <w:rPr>
      <w:rFonts w:ascii="Verdana" w:eastAsiaTheme="minorHAnsi" w:hAnsi="Verdana" w:cstheme="minorBidi"/>
      <w:sz w:val="24"/>
      <w:szCs w:val="22"/>
      <w:lang w:eastAsia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566B71"/>
    <w:rPr>
      <w:rFonts w:ascii="Arial" w:hAnsi="Arial"/>
      <w:sz w:val="28"/>
      <w:szCs w:val="24"/>
    </w:rPr>
  </w:style>
  <w:style w:type="numbering" w:customStyle="1" w:styleId="OutlinenumberedArialOutlinenumberedArial11">
    <w:name w:val="Outline numbered Arial + Outline numbered Arial 1...1"/>
    <w:basedOn w:val="NoList"/>
    <w:rsid w:val="00AD74CB"/>
    <w:pPr>
      <w:numPr>
        <w:numId w:val="1"/>
      </w:numPr>
    </w:pPr>
  </w:style>
  <w:style w:type="paragraph" w:customStyle="1" w:styleId="StyleOutlinenumberedArialOutlinenumberedArial11Outli">
    <w:name w:val="Style Outline numbered Arial + Outline numbered Arial 1...1 + Outli..."/>
    <w:basedOn w:val="Normal"/>
    <w:rsid w:val="00AD74CB"/>
    <w:pPr>
      <w:widowControl w:val="0"/>
      <w:numPr>
        <w:ilvl w:val="2"/>
        <w:numId w:val="1"/>
      </w:numPr>
      <w:autoSpaceDE w:val="0"/>
      <w:autoSpaceDN w:val="0"/>
      <w:adjustRightInd w:val="0"/>
    </w:pPr>
    <w:rPr>
      <w:rFonts w:cs="Arial"/>
      <w:b/>
      <w:bCs/>
      <w:sz w:val="24"/>
      <w:lang w:eastAsia="en-US"/>
    </w:rPr>
  </w:style>
  <w:style w:type="paragraph" w:customStyle="1" w:styleId="CoverSheet">
    <w:name w:val="Cover Sheet"/>
    <w:basedOn w:val="Normal"/>
    <w:rsid w:val="00AD74CB"/>
    <w:pPr>
      <w:spacing w:before="120"/>
    </w:pPr>
    <w:rPr>
      <w:rFonts w:cs="Arial"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7C7C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C7DD8"/>
    <w:rPr>
      <w:rFonts w:ascii="Arial" w:hAnsi="Arial"/>
      <w:sz w:val="28"/>
      <w:szCs w:val="24"/>
    </w:rPr>
  </w:style>
  <w:style w:type="paragraph" w:customStyle="1" w:styleId="null">
    <w:name w:val="null"/>
    <w:basedOn w:val="Normal"/>
    <w:rsid w:val="00543EE6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FE6D52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paragraph" w:styleId="NoSpacing">
    <w:name w:val="No Spacing"/>
    <w:uiPriority w:val="1"/>
    <w:qFormat/>
    <w:rsid w:val="00193CC6"/>
    <w:rPr>
      <w:rFonts w:asciiTheme="minorHAnsi" w:eastAsiaTheme="minorHAnsi" w:hAnsiTheme="minorHAnsi" w:cstheme="minorBidi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wales/public-health-approach-respiratory-viruses-including-covid-19-2022-20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hw.nhs.wales/about-us/policies-and-procedures/policies-and-procedures-documents/corporate-governance-communications-and-finance-policies/standing-orders1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about-us/board-and-executive-team/protocol-for-private-meeting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EC7E8BE855468C913B9BC755BE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3880-5EF4-4451-A987-E58FA84A71E6}"/>
      </w:docPartPr>
      <w:docPartBody>
        <w:p w:rsidR="00CE2891" w:rsidRDefault="005130D4" w:rsidP="005130D4">
          <w:pPr>
            <w:pStyle w:val="01EC7E8BE855468C913B9BC755BEA469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D5"/>
    <w:rsid w:val="00047165"/>
    <w:rsid w:val="0005282D"/>
    <w:rsid w:val="00074D89"/>
    <w:rsid w:val="000B1B34"/>
    <w:rsid w:val="001C607B"/>
    <w:rsid w:val="001F3947"/>
    <w:rsid w:val="0023087D"/>
    <w:rsid w:val="00282325"/>
    <w:rsid w:val="003B07C0"/>
    <w:rsid w:val="00460906"/>
    <w:rsid w:val="00473011"/>
    <w:rsid w:val="004C25E1"/>
    <w:rsid w:val="005130D4"/>
    <w:rsid w:val="005D5135"/>
    <w:rsid w:val="005F0F81"/>
    <w:rsid w:val="006A3045"/>
    <w:rsid w:val="006C16E9"/>
    <w:rsid w:val="006D10B6"/>
    <w:rsid w:val="00700998"/>
    <w:rsid w:val="007171CE"/>
    <w:rsid w:val="00724D98"/>
    <w:rsid w:val="007E2847"/>
    <w:rsid w:val="007F1E79"/>
    <w:rsid w:val="00826D7B"/>
    <w:rsid w:val="008C469A"/>
    <w:rsid w:val="00917D98"/>
    <w:rsid w:val="00952EB1"/>
    <w:rsid w:val="00A726B4"/>
    <w:rsid w:val="00AB230B"/>
    <w:rsid w:val="00AD0402"/>
    <w:rsid w:val="00B012EA"/>
    <w:rsid w:val="00B2694C"/>
    <w:rsid w:val="00BA24A8"/>
    <w:rsid w:val="00BA59B5"/>
    <w:rsid w:val="00C05826"/>
    <w:rsid w:val="00C56CD5"/>
    <w:rsid w:val="00C70C24"/>
    <w:rsid w:val="00CD6B37"/>
    <w:rsid w:val="00CE2891"/>
    <w:rsid w:val="00CF308C"/>
    <w:rsid w:val="00D31FE3"/>
    <w:rsid w:val="00D41CFA"/>
    <w:rsid w:val="00D63636"/>
    <w:rsid w:val="00D723D2"/>
    <w:rsid w:val="00D73FD6"/>
    <w:rsid w:val="00DE64F6"/>
    <w:rsid w:val="00EB7051"/>
    <w:rsid w:val="00F435CC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07B"/>
    <w:rPr>
      <w:color w:val="808080"/>
    </w:rPr>
  </w:style>
  <w:style w:type="paragraph" w:customStyle="1" w:styleId="01EC7E8BE855468C913B9BC755BEA469">
    <w:name w:val="01EC7E8BE855468C913B9BC755BEA469"/>
    <w:rsid w:val="00513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6F3134C5B3E40B47EB59C67290923" ma:contentTypeVersion="11" ma:contentTypeDescription="Create a new document." ma:contentTypeScope="" ma:versionID="fb32e90b47337a30f789ee8c1a09155d">
  <xsd:schema xmlns:xsd="http://www.w3.org/2001/XMLSchema" xmlns:xs="http://www.w3.org/2001/XMLSchema" xmlns:p="http://schemas.microsoft.com/office/2006/metadata/properties" xmlns:ns3="dc56991a-366f-43a6-89c5-d4a7f1e28415" xmlns:ns4="bad46882-cb20-41f7-beb3-e1573fb06c10" targetNamespace="http://schemas.microsoft.com/office/2006/metadata/properties" ma:root="true" ma:fieldsID="bd6115796974c1c9663a4f7dcd6cd8fa" ns3:_="" ns4:_="">
    <xsd:import namespace="dc56991a-366f-43a6-89c5-d4a7f1e28415"/>
    <xsd:import namespace="bad46882-cb20-41f7-beb3-e1573fb06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6991a-366f-43a6-89c5-d4a7f1e2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6882-cb20-41f7-beb3-e1573fb06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CADE-9F22-4669-894A-A391968B07B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FB2AC-AD30-4580-B726-640267A93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B5C1C-4717-4EBD-88F0-4140473645E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c56991a-366f-43a6-89c5-d4a7f1e28415"/>
    <ds:schemaRef ds:uri="bad46882-cb20-41f7-beb3-e1573fb06c1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6222F-1EAB-4D11-9F91-D54A1276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Glamorgan NHS Trust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Liz Blayney (Public Health Wales - No. 2 Capital Quarter)</cp:lastModifiedBy>
  <cp:revision>4</cp:revision>
  <cp:lastPrinted>2022-07-21T10:25:00Z</cp:lastPrinted>
  <dcterms:created xsi:type="dcterms:W3CDTF">2022-11-11T12:47:00Z</dcterms:created>
  <dcterms:modified xsi:type="dcterms:W3CDTF">2022-11-17T15:30:00Z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0x0101004C56F3134C5B3E40B47EB59C67290923</vt:lpwstr>
  </property>
</Properties>
</file>