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26" w:type="dxa"/>
        <w:tblInd w:w="-5" w:type="dxa"/>
        <w:tblLook w:val="04A0" w:firstRow="1" w:lastRow="0" w:firstColumn="1" w:lastColumn="0" w:noHBand="0" w:noVBand="1"/>
      </w:tblPr>
      <w:tblGrid>
        <w:gridCol w:w="1848"/>
        <w:gridCol w:w="954"/>
        <w:gridCol w:w="390"/>
        <w:gridCol w:w="504"/>
        <w:gridCol w:w="1506"/>
        <w:gridCol w:w="334"/>
        <w:gridCol w:w="1662"/>
        <w:gridCol w:w="1728"/>
        <w:gridCol w:w="100"/>
      </w:tblGrid>
      <w:tr w:rsidR="0013075E" w:rsidRPr="008F1F7E" w14:paraId="361CA59C" w14:textId="77777777" w:rsidTr="007B4060">
        <w:trPr>
          <w:gridAfter w:val="1"/>
          <w:wAfter w:w="95" w:type="dxa"/>
        </w:trPr>
        <w:tc>
          <w:tcPr>
            <w:tcW w:w="5202" w:type="dxa"/>
            <w:gridSpan w:val="5"/>
            <w:vMerge w:val="restart"/>
          </w:tcPr>
          <w:p w14:paraId="361CA599" w14:textId="77777777" w:rsidR="0013075E" w:rsidRPr="008F1F7E" w:rsidRDefault="0013075E" w:rsidP="00CF7674">
            <w:r w:rsidRPr="008F1F7E">
              <w:rPr>
                <w:b/>
                <w:noProof/>
                <w:lang w:eastAsia="en-GB"/>
              </w:rPr>
              <w:drawing>
                <wp:inline distT="0" distB="0" distL="0" distR="0" wp14:anchorId="361CA63C" wp14:editId="361CA63D">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724" w:type="dxa"/>
            <w:gridSpan w:val="3"/>
            <w:tcBorders>
              <w:bottom w:val="nil"/>
            </w:tcBorders>
          </w:tcPr>
          <w:p w14:paraId="361CA59A"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361CA59B" w14:textId="3401E768" w:rsidR="0013075E" w:rsidRPr="00EE7097" w:rsidRDefault="00A97191" w:rsidP="00EE7097">
                <w:pPr>
                  <w:jc w:val="right"/>
                  <w:rPr>
                    <w:b/>
                    <w:szCs w:val="24"/>
                  </w:rPr>
                </w:pPr>
                <w:r>
                  <w:rPr>
                    <w:rStyle w:val="Dropdown"/>
                  </w:rPr>
                  <w:t>Quality, Safety and Improvement Committee</w:t>
                </w:r>
              </w:p>
            </w:sdtContent>
          </w:sdt>
        </w:tc>
      </w:tr>
      <w:tr w:rsidR="0013075E" w:rsidRPr="008F1F7E" w14:paraId="361CA5A0" w14:textId="77777777" w:rsidTr="007B4060">
        <w:trPr>
          <w:gridAfter w:val="1"/>
          <w:wAfter w:w="95" w:type="dxa"/>
        </w:trPr>
        <w:tc>
          <w:tcPr>
            <w:tcW w:w="5202" w:type="dxa"/>
            <w:gridSpan w:val="5"/>
            <w:vMerge/>
          </w:tcPr>
          <w:p w14:paraId="361CA59D" w14:textId="77777777" w:rsidR="0013075E" w:rsidRPr="008F1F7E" w:rsidRDefault="0013075E" w:rsidP="00CF7674">
            <w:pPr>
              <w:rPr>
                <w:b/>
                <w:noProof/>
                <w:lang w:eastAsia="en-GB"/>
              </w:rPr>
            </w:pPr>
          </w:p>
        </w:tc>
        <w:tc>
          <w:tcPr>
            <w:tcW w:w="3724" w:type="dxa"/>
            <w:gridSpan w:val="3"/>
            <w:tcBorders>
              <w:top w:val="nil"/>
              <w:bottom w:val="nil"/>
            </w:tcBorders>
          </w:tcPr>
          <w:p w14:paraId="361CA59E" w14:textId="77777777" w:rsidR="00D34F08" w:rsidRPr="00D34F08" w:rsidRDefault="00D34F08" w:rsidP="00EE7097">
            <w:pPr>
              <w:jc w:val="right"/>
              <w:rPr>
                <w:b/>
              </w:rPr>
            </w:pPr>
            <w:r w:rsidRPr="00D34F08">
              <w:rPr>
                <w:b/>
              </w:rPr>
              <w:t>Date of Meeting</w:t>
            </w:r>
          </w:p>
          <w:p w14:paraId="361CA59F" w14:textId="3BEDE51D" w:rsidR="0013075E" w:rsidRPr="00D34F08" w:rsidRDefault="00A97191" w:rsidP="00941424">
            <w:pPr>
              <w:jc w:val="right"/>
              <w:rPr>
                <w:color w:val="FF0000"/>
              </w:rPr>
            </w:pPr>
            <w:r>
              <w:t>18</w:t>
            </w:r>
            <w:r w:rsidR="005926AB">
              <w:t xml:space="preserve"> May 2022</w:t>
            </w:r>
          </w:p>
        </w:tc>
      </w:tr>
      <w:tr w:rsidR="0013075E" w:rsidRPr="008F1F7E" w14:paraId="361CA5A4" w14:textId="77777777" w:rsidTr="007B4060">
        <w:trPr>
          <w:gridAfter w:val="1"/>
          <w:wAfter w:w="95" w:type="dxa"/>
        </w:trPr>
        <w:tc>
          <w:tcPr>
            <w:tcW w:w="5202" w:type="dxa"/>
            <w:gridSpan w:val="5"/>
            <w:vMerge/>
            <w:tcBorders>
              <w:bottom w:val="single" w:sz="4" w:space="0" w:color="auto"/>
            </w:tcBorders>
          </w:tcPr>
          <w:p w14:paraId="361CA5A1" w14:textId="77777777" w:rsidR="0013075E" w:rsidRPr="008F1F7E" w:rsidRDefault="0013075E" w:rsidP="00CF7674">
            <w:pPr>
              <w:rPr>
                <w:b/>
                <w:noProof/>
                <w:lang w:eastAsia="en-GB"/>
              </w:rPr>
            </w:pPr>
          </w:p>
        </w:tc>
        <w:tc>
          <w:tcPr>
            <w:tcW w:w="3724" w:type="dxa"/>
            <w:gridSpan w:val="3"/>
            <w:tcBorders>
              <w:top w:val="nil"/>
              <w:bottom w:val="single" w:sz="4" w:space="0" w:color="auto"/>
            </w:tcBorders>
          </w:tcPr>
          <w:p w14:paraId="361CA5A2" w14:textId="77777777" w:rsidR="0013075E" w:rsidRPr="008F1F7E" w:rsidRDefault="0013075E" w:rsidP="00EE7097">
            <w:pPr>
              <w:jc w:val="right"/>
              <w:rPr>
                <w:b/>
              </w:rPr>
            </w:pPr>
            <w:r w:rsidRPr="008F1F7E">
              <w:rPr>
                <w:b/>
              </w:rPr>
              <w:t>Agenda item:</w:t>
            </w:r>
          </w:p>
          <w:p w14:paraId="361CA5A3" w14:textId="402EEED7" w:rsidR="0071099D" w:rsidRPr="0071099D" w:rsidRDefault="00364F55" w:rsidP="00A97191">
            <w:pPr>
              <w:jc w:val="right"/>
            </w:pPr>
            <w:r>
              <w:t>6.</w:t>
            </w:r>
            <w:r w:rsidR="00A97191">
              <w:t>3</w:t>
            </w:r>
          </w:p>
        </w:tc>
      </w:tr>
      <w:tr w:rsidR="00EE7097" w:rsidRPr="008F1F7E" w14:paraId="361CA5A8" w14:textId="77777777" w:rsidTr="007B4060">
        <w:trPr>
          <w:gridAfter w:val="1"/>
          <w:wAfter w:w="95" w:type="dxa"/>
        </w:trPr>
        <w:tc>
          <w:tcPr>
            <w:tcW w:w="8926" w:type="dxa"/>
            <w:gridSpan w:val="8"/>
            <w:tcBorders>
              <w:left w:val="nil"/>
              <w:right w:val="nil"/>
            </w:tcBorders>
            <w:vAlign w:val="center"/>
          </w:tcPr>
          <w:p w14:paraId="361CA5A7" w14:textId="48ADEB16" w:rsidR="00D34F08" w:rsidRPr="00912C7B" w:rsidRDefault="00D34F08" w:rsidP="00720EC2">
            <w:pPr>
              <w:rPr>
                <w:b/>
                <w:sz w:val="28"/>
              </w:rPr>
            </w:pPr>
          </w:p>
        </w:tc>
      </w:tr>
      <w:tr w:rsidR="00EE7097" w:rsidRPr="008F1F7E" w14:paraId="361CA5AA" w14:textId="77777777" w:rsidTr="007B4060">
        <w:trPr>
          <w:gridAfter w:val="1"/>
          <w:wAfter w:w="95" w:type="dxa"/>
        </w:trPr>
        <w:tc>
          <w:tcPr>
            <w:tcW w:w="8926" w:type="dxa"/>
            <w:gridSpan w:val="8"/>
            <w:vAlign w:val="center"/>
          </w:tcPr>
          <w:p w14:paraId="361CA5A9" w14:textId="2C4A84B2" w:rsidR="00EE7097" w:rsidRPr="00D34F08" w:rsidRDefault="002F22A2" w:rsidP="00851721">
            <w:pPr>
              <w:jc w:val="center"/>
              <w:rPr>
                <w:b/>
                <w:sz w:val="36"/>
                <w:szCs w:val="36"/>
              </w:rPr>
            </w:pPr>
            <w:r>
              <w:rPr>
                <w:b/>
                <w:sz w:val="36"/>
                <w:szCs w:val="36"/>
              </w:rPr>
              <w:t>Review of Committee Terms of Reference</w:t>
            </w:r>
            <w:r w:rsidR="00851721">
              <w:rPr>
                <w:b/>
                <w:sz w:val="36"/>
                <w:szCs w:val="36"/>
              </w:rPr>
              <w:t xml:space="preserve"> </w:t>
            </w:r>
          </w:p>
        </w:tc>
      </w:tr>
      <w:tr w:rsidR="00EE7097" w:rsidRPr="001C60B5" w14:paraId="361CA5AD" w14:textId="77777777" w:rsidTr="007B4060">
        <w:trPr>
          <w:gridAfter w:val="1"/>
          <w:wAfter w:w="95" w:type="dxa"/>
        </w:trPr>
        <w:tc>
          <w:tcPr>
            <w:tcW w:w="2802" w:type="dxa"/>
            <w:gridSpan w:val="2"/>
          </w:tcPr>
          <w:p w14:paraId="361CA5AB" w14:textId="77777777" w:rsidR="00EE7097" w:rsidRPr="001C60B5" w:rsidRDefault="00EE7097">
            <w:pPr>
              <w:rPr>
                <w:b/>
                <w:szCs w:val="24"/>
              </w:rPr>
            </w:pPr>
            <w:r w:rsidRPr="001C60B5">
              <w:rPr>
                <w:b/>
                <w:szCs w:val="24"/>
              </w:rPr>
              <w:t>Executive lead:</w:t>
            </w:r>
          </w:p>
        </w:tc>
        <w:tc>
          <w:tcPr>
            <w:tcW w:w="6124" w:type="dxa"/>
            <w:gridSpan w:val="6"/>
          </w:tcPr>
          <w:p w14:paraId="361CA5AC" w14:textId="40B9D903" w:rsidR="00EE7097" w:rsidRPr="00851721" w:rsidRDefault="00851721">
            <w:pPr>
              <w:rPr>
                <w:szCs w:val="24"/>
              </w:rPr>
            </w:pPr>
            <w:r>
              <w:rPr>
                <w:szCs w:val="24"/>
              </w:rPr>
              <w:t>Helen Bushell, Board Secretary and Head of Board Business Unit</w:t>
            </w:r>
          </w:p>
        </w:tc>
      </w:tr>
      <w:tr w:rsidR="00EE7097" w:rsidRPr="001C60B5" w14:paraId="361CA5B0" w14:textId="77777777" w:rsidTr="007B4060">
        <w:trPr>
          <w:gridAfter w:val="1"/>
          <w:wAfter w:w="95" w:type="dxa"/>
        </w:trPr>
        <w:tc>
          <w:tcPr>
            <w:tcW w:w="2802" w:type="dxa"/>
            <w:gridSpan w:val="2"/>
          </w:tcPr>
          <w:p w14:paraId="361CA5AE" w14:textId="77777777" w:rsidR="00EE7097" w:rsidRPr="001C60B5" w:rsidRDefault="00EE7097">
            <w:pPr>
              <w:rPr>
                <w:b/>
                <w:szCs w:val="24"/>
              </w:rPr>
            </w:pPr>
            <w:r w:rsidRPr="001C60B5">
              <w:rPr>
                <w:b/>
                <w:szCs w:val="24"/>
              </w:rPr>
              <w:t>Author:</w:t>
            </w:r>
          </w:p>
        </w:tc>
        <w:tc>
          <w:tcPr>
            <w:tcW w:w="6124" w:type="dxa"/>
            <w:gridSpan w:val="6"/>
          </w:tcPr>
          <w:p w14:paraId="361CA5AF" w14:textId="084BA6F0" w:rsidR="00EE7097" w:rsidRPr="00851721" w:rsidRDefault="00851721" w:rsidP="00051E74">
            <w:pPr>
              <w:rPr>
                <w:szCs w:val="24"/>
              </w:rPr>
            </w:pPr>
            <w:r>
              <w:rPr>
                <w:szCs w:val="24"/>
              </w:rPr>
              <w:t xml:space="preserve">Liz Blayney, </w:t>
            </w:r>
            <w:r w:rsidR="00F254D7">
              <w:rPr>
                <w:szCs w:val="24"/>
              </w:rPr>
              <w:t xml:space="preserve">Deputy Board Secretary and </w:t>
            </w:r>
            <w:r>
              <w:rPr>
                <w:szCs w:val="24"/>
              </w:rPr>
              <w:t>Board Governance Manager</w:t>
            </w:r>
          </w:p>
        </w:tc>
      </w:tr>
      <w:tr w:rsidR="00EE7097" w:rsidRPr="001C60B5" w14:paraId="361CA5B3" w14:textId="77777777" w:rsidTr="007B4060">
        <w:trPr>
          <w:gridAfter w:val="1"/>
          <w:wAfter w:w="95" w:type="dxa"/>
          <w:trHeight w:val="149"/>
        </w:trPr>
        <w:tc>
          <w:tcPr>
            <w:tcW w:w="2802" w:type="dxa"/>
            <w:gridSpan w:val="2"/>
            <w:tcBorders>
              <w:left w:val="nil"/>
              <w:right w:val="nil"/>
            </w:tcBorders>
          </w:tcPr>
          <w:p w14:paraId="361CA5B1" w14:textId="77777777" w:rsidR="00EE7097" w:rsidRPr="005B4E75" w:rsidRDefault="00EE7097">
            <w:pPr>
              <w:rPr>
                <w:b/>
                <w:sz w:val="12"/>
                <w:szCs w:val="12"/>
              </w:rPr>
            </w:pPr>
          </w:p>
        </w:tc>
        <w:tc>
          <w:tcPr>
            <w:tcW w:w="6124" w:type="dxa"/>
            <w:gridSpan w:val="6"/>
            <w:tcBorders>
              <w:left w:val="nil"/>
              <w:right w:val="nil"/>
            </w:tcBorders>
          </w:tcPr>
          <w:p w14:paraId="361CA5B2" w14:textId="77777777" w:rsidR="00EE7097" w:rsidRPr="00851721" w:rsidRDefault="00EE7097">
            <w:pPr>
              <w:rPr>
                <w:sz w:val="12"/>
                <w:szCs w:val="12"/>
              </w:rPr>
            </w:pPr>
          </w:p>
        </w:tc>
      </w:tr>
      <w:tr w:rsidR="00EE7097" w:rsidRPr="001C60B5" w14:paraId="361CA5B6" w14:textId="77777777" w:rsidTr="007B4060">
        <w:trPr>
          <w:gridAfter w:val="1"/>
          <w:wAfter w:w="95" w:type="dxa"/>
        </w:trPr>
        <w:tc>
          <w:tcPr>
            <w:tcW w:w="2802" w:type="dxa"/>
            <w:gridSpan w:val="2"/>
          </w:tcPr>
          <w:p w14:paraId="361CA5B4" w14:textId="77777777" w:rsidR="00EE7097" w:rsidRPr="001C60B5" w:rsidRDefault="00EE7097">
            <w:pPr>
              <w:rPr>
                <w:b/>
                <w:szCs w:val="24"/>
              </w:rPr>
            </w:pPr>
            <w:r w:rsidRPr="001C60B5">
              <w:rPr>
                <w:b/>
                <w:szCs w:val="24"/>
              </w:rPr>
              <w:t>Approval/Scrutiny route:</w:t>
            </w:r>
          </w:p>
        </w:tc>
        <w:tc>
          <w:tcPr>
            <w:tcW w:w="6124" w:type="dxa"/>
            <w:gridSpan w:val="6"/>
          </w:tcPr>
          <w:p w14:paraId="48BB675D" w14:textId="5AC84DDF" w:rsidR="00941424" w:rsidRDefault="00A31294" w:rsidP="00CA5841">
            <w:pPr>
              <w:rPr>
                <w:szCs w:val="24"/>
              </w:rPr>
            </w:pPr>
            <w:r>
              <w:rPr>
                <w:szCs w:val="24"/>
              </w:rPr>
              <w:t xml:space="preserve">Discussion with the Chair and Executive Leads. </w:t>
            </w:r>
          </w:p>
          <w:p w14:paraId="516044E5" w14:textId="77777777" w:rsidR="00E33B6A" w:rsidRDefault="00E33B6A" w:rsidP="00CA5841">
            <w:pPr>
              <w:rPr>
                <w:szCs w:val="24"/>
              </w:rPr>
            </w:pPr>
            <w:bookmarkStart w:id="0" w:name="_GoBack"/>
            <w:bookmarkEnd w:id="0"/>
          </w:p>
          <w:p w14:paraId="361CA5B5" w14:textId="572BB1BA" w:rsidR="00E33B6A" w:rsidRPr="00851721" w:rsidRDefault="00E33B6A" w:rsidP="00CA5841">
            <w:pPr>
              <w:rPr>
                <w:szCs w:val="24"/>
              </w:rPr>
            </w:pPr>
            <w:r>
              <w:rPr>
                <w:szCs w:val="24"/>
              </w:rPr>
              <w:t>Business Executive Team (16 May 2022)</w:t>
            </w:r>
          </w:p>
        </w:tc>
      </w:tr>
      <w:tr w:rsidR="006C4A51" w:rsidRPr="001C60B5" w14:paraId="361CA5B8" w14:textId="77777777" w:rsidTr="007B4060">
        <w:trPr>
          <w:gridAfter w:val="1"/>
          <w:wAfter w:w="95" w:type="dxa"/>
        </w:trPr>
        <w:tc>
          <w:tcPr>
            <w:tcW w:w="8926" w:type="dxa"/>
            <w:gridSpan w:val="8"/>
            <w:tcBorders>
              <w:left w:val="nil"/>
              <w:bottom w:val="single" w:sz="4" w:space="0" w:color="auto"/>
              <w:right w:val="nil"/>
            </w:tcBorders>
          </w:tcPr>
          <w:p w14:paraId="361CA5B7" w14:textId="77777777" w:rsidR="006C4A51" w:rsidRPr="005B4E75" w:rsidRDefault="006C4A51">
            <w:pPr>
              <w:rPr>
                <w:b/>
                <w:sz w:val="12"/>
                <w:szCs w:val="12"/>
              </w:rPr>
            </w:pPr>
          </w:p>
        </w:tc>
      </w:tr>
      <w:tr w:rsidR="005B4E75" w:rsidRPr="001C60B5" w14:paraId="361CA5BA" w14:textId="77777777" w:rsidTr="007B4060">
        <w:trPr>
          <w:gridAfter w:val="1"/>
          <w:wAfter w:w="95" w:type="dxa"/>
        </w:trPr>
        <w:tc>
          <w:tcPr>
            <w:tcW w:w="8926" w:type="dxa"/>
            <w:gridSpan w:val="8"/>
            <w:tcBorders>
              <w:left w:val="single" w:sz="4" w:space="0" w:color="auto"/>
              <w:right w:val="single" w:sz="4" w:space="0" w:color="auto"/>
            </w:tcBorders>
          </w:tcPr>
          <w:p w14:paraId="361CA5B9" w14:textId="77777777" w:rsidR="005B4E75" w:rsidRPr="001C60B5" w:rsidRDefault="005B4E75">
            <w:pPr>
              <w:rPr>
                <w:b/>
                <w:szCs w:val="24"/>
              </w:rPr>
            </w:pPr>
            <w:r>
              <w:rPr>
                <w:b/>
                <w:szCs w:val="24"/>
              </w:rPr>
              <w:t>Purpose</w:t>
            </w:r>
          </w:p>
        </w:tc>
      </w:tr>
      <w:tr w:rsidR="005B4E75" w:rsidRPr="001C60B5" w14:paraId="361CA5BD" w14:textId="77777777" w:rsidTr="007B4060">
        <w:trPr>
          <w:gridAfter w:val="1"/>
          <w:wAfter w:w="95" w:type="dxa"/>
        </w:trPr>
        <w:tc>
          <w:tcPr>
            <w:tcW w:w="8926" w:type="dxa"/>
            <w:gridSpan w:val="8"/>
            <w:tcBorders>
              <w:left w:val="single" w:sz="4" w:space="0" w:color="auto"/>
              <w:right w:val="single" w:sz="4" w:space="0" w:color="auto"/>
            </w:tcBorders>
          </w:tcPr>
          <w:p w14:paraId="2E113E24" w14:textId="77777777" w:rsidR="00A31294" w:rsidRDefault="002F22A2" w:rsidP="00A31294">
            <w:pPr>
              <w:spacing w:after="200"/>
              <w:rPr>
                <w:szCs w:val="24"/>
              </w:rPr>
            </w:pPr>
            <w:r>
              <w:rPr>
                <w:szCs w:val="24"/>
              </w:rPr>
              <w:t>The Committees Terms of Reference</w:t>
            </w:r>
            <w:r w:rsidR="008E5907">
              <w:rPr>
                <w:szCs w:val="24"/>
              </w:rPr>
              <w:t xml:space="preserve"> were last reviewed in </w:t>
            </w:r>
            <w:r w:rsidR="00A31294">
              <w:rPr>
                <w:szCs w:val="24"/>
              </w:rPr>
              <w:t>May 2021.</w:t>
            </w:r>
            <w:r w:rsidR="00720EC2">
              <w:rPr>
                <w:szCs w:val="24"/>
              </w:rPr>
              <w:t xml:space="preserve"> </w:t>
            </w:r>
            <w:r>
              <w:rPr>
                <w:szCs w:val="24"/>
              </w:rPr>
              <w:t>Terms of Reference should be reviewed annu</w:t>
            </w:r>
            <w:r w:rsidR="00561F54">
              <w:rPr>
                <w:szCs w:val="24"/>
              </w:rPr>
              <w:t>ally to ensure compliance with Standing O</w:t>
            </w:r>
            <w:r>
              <w:rPr>
                <w:szCs w:val="24"/>
              </w:rPr>
              <w:t xml:space="preserve">rders. </w:t>
            </w:r>
            <w:r w:rsidR="008E5907">
              <w:rPr>
                <w:szCs w:val="24"/>
              </w:rPr>
              <w:t xml:space="preserve"> </w:t>
            </w:r>
          </w:p>
          <w:p w14:paraId="361CA5BC" w14:textId="2E4D3FDE" w:rsidR="00D54EFC" w:rsidRPr="00851721" w:rsidRDefault="00720EC2" w:rsidP="00A31294">
            <w:pPr>
              <w:spacing w:after="200"/>
              <w:rPr>
                <w:szCs w:val="24"/>
              </w:rPr>
            </w:pPr>
            <w:r>
              <w:rPr>
                <w:szCs w:val="24"/>
              </w:rPr>
              <w:t>A</w:t>
            </w:r>
            <w:r w:rsidR="009D501F">
              <w:rPr>
                <w:szCs w:val="24"/>
              </w:rPr>
              <w:t xml:space="preserve"> review of the </w:t>
            </w:r>
            <w:r w:rsidR="00A31294">
              <w:rPr>
                <w:szCs w:val="24"/>
              </w:rPr>
              <w:t xml:space="preserve">Committee </w:t>
            </w:r>
            <w:r w:rsidR="009D501F">
              <w:rPr>
                <w:szCs w:val="24"/>
              </w:rPr>
              <w:t>Terms of Reference has taken place and suggested amendments are presented</w:t>
            </w:r>
            <w:r w:rsidR="00A31294">
              <w:rPr>
                <w:szCs w:val="24"/>
              </w:rPr>
              <w:t xml:space="preserve"> to the Committee, for a recommendation</w:t>
            </w:r>
            <w:r w:rsidR="009D501F">
              <w:rPr>
                <w:szCs w:val="24"/>
              </w:rPr>
              <w:t xml:space="preserve"> to the Board for approval</w:t>
            </w:r>
            <w:proofErr w:type="gramStart"/>
            <w:r w:rsidR="009D501F">
              <w:rPr>
                <w:szCs w:val="24"/>
              </w:rPr>
              <w:t xml:space="preserve">.  </w:t>
            </w:r>
            <w:proofErr w:type="gramEnd"/>
          </w:p>
        </w:tc>
      </w:tr>
      <w:tr w:rsidR="005B4E75" w:rsidRPr="001C60B5" w14:paraId="361CA5BF" w14:textId="77777777" w:rsidTr="007B4060">
        <w:trPr>
          <w:gridAfter w:val="1"/>
          <w:wAfter w:w="95" w:type="dxa"/>
        </w:trPr>
        <w:tc>
          <w:tcPr>
            <w:tcW w:w="8926" w:type="dxa"/>
            <w:gridSpan w:val="8"/>
            <w:tcBorders>
              <w:left w:val="nil"/>
              <w:right w:val="nil"/>
            </w:tcBorders>
          </w:tcPr>
          <w:p w14:paraId="361CA5BE" w14:textId="77777777" w:rsidR="005B4E75" w:rsidRPr="005B4E75" w:rsidRDefault="005B4E75">
            <w:pPr>
              <w:rPr>
                <w:b/>
                <w:sz w:val="12"/>
                <w:szCs w:val="12"/>
              </w:rPr>
            </w:pPr>
          </w:p>
        </w:tc>
      </w:tr>
      <w:tr w:rsidR="00EE7097" w:rsidRPr="001C60B5" w14:paraId="361CA5C1" w14:textId="77777777" w:rsidTr="007B4060">
        <w:trPr>
          <w:gridAfter w:val="1"/>
          <w:wAfter w:w="95" w:type="dxa"/>
        </w:trPr>
        <w:tc>
          <w:tcPr>
            <w:tcW w:w="8926" w:type="dxa"/>
            <w:gridSpan w:val="8"/>
          </w:tcPr>
          <w:p w14:paraId="361CA5C0" w14:textId="04AEB19C" w:rsidR="00EE7097" w:rsidRPr="0013075E" w:rsidRDefault="0013075E" w:rsidP="00851721">
            <w:pPr>
              <w:rPr>
                <w:b/>
                <w:szCs w:val="24"/>
              </w:rPr>
            </w:pPr>
            <w:r>
              <w:rPr>
                <w:b/>
                <w:szCs w:val="24"/>
              </w:rPr>
              <w:t>Recommendation:</w:t>
            </w:r>
            <w:r w:rsidR="00E07F66">
              <w:rPr>
                <w:b/>
                <w:szCs w:val="24"/>
              </w:rPr>
              <w:t xml:space="preserve"> </w:t>
            </w:r>
          </w:p>
        </w:tc>
      </w:tr>
      <w:tr w:rsidR="005B4E75" w:rsidRPr="001C60B5" w14:paraId="361CA5CC" w14:textId="77777777" w:rsidTr="007B4060">
        <w:trPr>
          <w:gridAfter w:val="1"/>
          <w:wAfter w:w="95" w:type="dxa"/>
        </w:trPr>
        <w:tc>
          <w:tcPr>
            <w:tcW w:w="1848" w:type="dxa"/>
            <w:tcBorders>
              <w:bottom w:val="single" w:sz="4" w:space="0" w:color="auto"/>
            </w:tcBorders>
          </w:tcPr>
          <w:p w14:paraId="361CA5C2" w14:textId="77777777" w:rsidR="005B4E75" w:rsidRPr="007A47F5" w:rsidRDefault="005B4E75" w:rsidP="00D34F08">
            <w:pPr>
              <w:jc w:val="center"/>
              <w:rPr>
                <w:szCs w:val="24"/>
              </w:rPr>
            </w:pPr>
            <w:r w:rsidRPr="007A47F5">
              <w:rPr>
                <w:szCs w:val="24"/>
              </w:rPr>
              <w:t>APPROVE</w:t>
            </w:r>
          </w:p>
          <w:p w14:paraId="361CA5C3" w14:textId="7A05A3DF" w:rsidR="005B4E75" w:rsidRPr="007A47F5" w:rsidRDefault="00A31294"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0"/>
                  </w:checkBox>
                </w:ffData>
              </w:fldChar>
            </w:r>
            <w:bookmarkStart w:id="1" w:name="Check1"/>
            <w:r>
              <w:rPr>
                <w:rFonts w:ascii="Wingdings" w:hAnsi="Wingdings"/>
                <w:szCs w:val="24"/>
              </w:rPr>
              <w:instrText xml:space="preserve"> FORMCHECKBOX </w:instrText>
            </w:r>
            <w:r w:rsidR="00E33B6A">
              <w:rPr>
                <w:rFonts w:ascii="Wingdings" w:hAnsi="Wingdings"/>
                <w:szCs w:val="24"/>
              </w:rPr>
            </w:r>
            <w:r w:rsidR="00E33B6A">
              <w:rPr>
                <w:rFonts w:ascii="Wingdings" w:hAnsi="Wingdings"/>
                <w:szCs w:val="24"/>
              </w:rPr>
              <w:fldChar w:fldCharType="separate"/>
            </w:r>
            <w:r>
              <w:rPr>
                <w:rFonts w:ascii="Wingdings" w:hAnsi="Wingdings"/>
                <w:szCs w:val="24"/>
              </w:rPr>
              <w:fldChar w:fldCharType="end"/>
            </w:r>
            <w:bookmarkEnd w:id="1"/>
          </w:p>
        </w:tc>
        <w:tc>
          <w:tcPr>
            <w:tcW w:w="1848" w:type="dxa"/>
            <w:gridSpan w:val="3"/>
            <w:tcBorders>
              <w:bottom w:val="single" w:sz="4" w:space="0" w:color="auto"/>
            </w:tcBorders>
          </w:tcPr>
          <w:p w14:paraId="361CA5C4" w14:textId="77777777" w:rsidR="005B4E75" w:rsidRDefault="005B4E75" w:rsidP="00D34F08">
            <w:pPr>
              <w:jc w:val="center"/>
              <w:rPr>
                <w:szCs w:val="24"/>
              </w:rPr>
            </w:pPr>
            <w:r w:rsidRPr="007A47F5">
              <w:rPr>
                <w:szCs w:val="24"/>
              </w:rPr>
              <w:t>CONSIDER</w:t>
            </w:r>
          </w:p>
          <w:p w14:paraId="361CA5C5" w14:textId="21196A79" w:rsidR="005B4E75" w:rsidRPr="007A47F5" w:rsidRDefault="00E85420" w:rsidP="00D34F08">
            <w:pPr>
              <w:jc w:val="center"/>
              <w:rPr>
                <w:szCs w:val="24"/>
              </w:rPr>
            </w:pPr>
            <w:r>
              <w:rPr>
                <w:szCs w:val="24"/>
              </w:rPr>
              <w:fldChar w:fldCharType="begin">
                <w:ffData>
                  <w:name w:val="Check2"/>
                  <w:enabled/>
                  <w:calcOnExit w:val="0"/>
                  <w:checkBox>
                    <w:sizeAuto/>
                    <w:default w:val="0"/>
                  </w:checkBox>
                </w:ffData>
              </w:fldChar>
            </w:r>
            <w:bookmarkStart w:id="2" w:name="Check2"/>
            <w:r>
              <w:rPr>
                <w:szCs w:val="24"/>
              </w:rPr>
              <w:instrText xml:space="preserve"> FORMCHECKBOX </w:instrText>
            </w:r>
            <w:r w:rsidR="00E33B6A">
              <w:rPr>
                <w:szCs w:val="24"/>
              </w:rPr>
            </w:r>
            <w:r w:rsidR="00E33B6A">
              <w:rPr>
                <w:szCs w:val="24"/>
              </w:rPr>
              <w:fldChar w:fldCharType="separate"/>
            </w:r>
            <w:r>
              <w:rPr>
                <w:szCs w:val="24"/>
              </w:rPr>
              <w:fldChar w:fldCharType="end"/>
            </w:r>
            <w:bookmarkEnd w:id="2"/>
          </w:p>
        </w:tc>
        <w:tc>
          <w:tcPr>
            <w:tcW w:w="1840" w:type="dxa"/>
            <w:gridSpan w:val="2"/>
            <w:tcBorders>
              <w:bottom w:val="single" w:sz="4" w:space="0" w:color="auto"/>
            </w:tcBorders>
          </w:tcPr>
          <w:p w14:paraId="361CA5C6" w14:textId="77777777" w:rsidR="005B4E75" w:rsidRDefault="005B4E75" w:rsidP="00D34F08">
            <w:pPr>
              <w:jc w:val="center"/>
              <w:rPr>
                <w:szCs w:val="24"/>
              </w:rPr>
            </w:pPr>
            <w:r w:rsidRPr="007A47F5">
              <w:rPr>
                <w:szCs w:val="24"/>
              </w:rPr>
              <w:t>RECOMMEND</w:t>
            </w:r>
          </w:p>
          <w:p w14:paraId="361CA5C7" w14:textId="483A3CE9" w:rsidR="005B4E75" w:rsidRPr="007A47F5" w:rsidRDefault="00A31294" w:rsidP="00D34F08">
            <w:pPr>
              <w:jc w:val="center"/>
              <w:rPr>
                <w:szCs w:val="24"/>
              </w:rPr>
            </w:pPr>
            <w:r>
              <w:rPr>
                <w:szCs w:val="24"/>
              </w:rPr>
              <w:fldChar w:fldCharType="begin">
                <w:ffData>
                  <w:name w:val="Check3"/>
                  <w:enabled/>
                  <w:calcOnExit w:val="0"/>
                  <w:checkBox>
                    <w:sizeAuto/>
                    <w:default w:val="1"/>
                  </w:checkBox>
                </w:ffData>
              </w:fldChar>
            </w:r>
            <w:bookmarkStart w:id="3" w:name="Check3"/>
            <w:r>
              <w:rPr>
                <w:szCs w:val="24"/>
              </w:rPr>
              <w:instrText xml:space="preserve"> FORMCHECKBOX </w:instrText>
            </w:r>
            <w:r w:rsidR="00E33B6A">
              <w:rPr>
                <w:szCs w:val="24"/>
              </w:rPr>
            </w:r>
            <w:r w:rsidR="00E33B6A">
              <w:rPr>
                <w:szCs w:val="24"/>
              </w:rPr>
              <w:fldChar w:fldCharType="separate"/>
            </w:r>
            <w:r>
              <w:rPr>
                <w:szCs w:val="24"/>
              </w:rPr>
              <w:fldChar w:fldCharType="end"/>
            </w:r>
            <w:bookmarkEnd w:id="3"/>
          </w:p>
        </w:tc>
        <w:tc>
          <w:tcPr>
            <w:tcW w:w="1662" w:type="dxa"/>
            <w:tcBorders>
              <w:bottom w:val="single" w:sz="4" w:space="0" w:color="auto"/>
            </w:tcBorders>
          </w:tcPr>
          <w:p w14:paraId="361CA5C8" w14:textId="77777777" w:rsidR="005B4E75" w:rsidRDefault="005B4E75" w:rsidP="00D34F08">
            <w:pPr>
              <w:jc w:val="center"/>
              <w:rPr>
                <w:szCs w:val="24"/>
              </w:rPr>
            </w:pPr>
            <w:r w:rsidRPr="007A47F5">
              <w:rPr>
                <w:szCs w:val="24"/>
              </w:rPr>
              <w:t>ADOPT</w:t>
            </w:r>
          </w:p>
          <w:p w14:paraId="361CA5C9"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4" w:name="Check4"/>
            <w:r w:rsidR="005B4E75">
              <w:rPr>
                <w:szCs w:val="24"/>
              </w:rPr>
              <w:instrText xml:space="preserve"> FORMCHECKBOX </w:instrText>
            </w:r>
            <w:r w:rsidR="00E33B6A">
              <w:rPr>
                <w:szCs w:val="24"/>
              </w:rPr>
            </w:r>
            <w:r w:rsidR="00E33B6A">
              <w:rPr>
                <w:szCs w:val="24"/>
              </w:rPr>
              <w:fldChar w:fldCharType="separate"/>
            </w:r>
            <w:r>
              <w:rPr>
                <w:szCs w:val="24"/>
              </w:rPr>
              <w:fldChar w:fldCharType="end"/>
            </w:r>
            <w:bookmarkEnd w:id="4"/>
          </w:p>
        </w:tc>
        <w:tc>
          <w:tcPr>
            <w:tcW w:w="1728" w:type="dxa"/>
            <w:tcBorders>
              <w:bottom w:val="single" w:sz="4" w:space="0" w:color="auto"/>
            </w:tcBorders>
          </w:tcPr>
          <w:p w14:paraId="361CA5CA" w14:textId="77777777" w:rsidR="005B4E75" w:rsidRDefault="00141FC5" w:rsidP="00D34F08">
            <w:pPr>
              <w:jc w:val="center"/>
              <w:rPr>
                <w:szCs w:val="24"/>
              </w:rPr>
            </w:pPr>
            <w:r>
              <w:rPr>
                <w:szCs w:val="24"/>
              </w:rPr>
              <w:t>ASSURANCE</w:t>
            </w:r>
          </w:p>
          <w:p w14:paraId="361CA5CB" w14:textId="77777777" w:rsidR="005B4E75" w:rsidRPr="007A47F5" w:rsidRDefault="007F7EA7" w:rsidP="00D34F08">
            <w:pPr>
              <w:jc w:val="center"/>
              <w:rPr>
                <w:szCs w:val="24"/>
              </w:rPr>
            </w:pPr>
            <w:r>
              <w:rPr>
                <w:szCs w:val="24"/>
              </w:rPr>
              <w:fldChar w:fldCharType="begin">
                <w:ffData>
                  <w:name w:val="Check5"/>
                  <w:enabled/>
                  <w:calcOnExit w:val="0"/>
                  <w:checkBox>
                    <w:sizeAuto/>
                    <w:default w:val="0"/>
                  </w:checkBox>
                </w:ffData>
              </w:fldChar>
            </w:r>
            <w:bookmarkStart w:id="5" w:name="Check5"/>
            <w:r w:rsidR="005B4E75">
              <w:rPr>
                <w:szCs w:val="24"/>
              </w:rPr>
              <w:instrText xml:space="preserve"> FORMCHECKBOX </w:instrText>
            </w:r>
            <w:r w:rsidR="00E33B6A">
              <w:rPr>
                <w:szCs w:val="24"/>
              </w:rPr>
            </w:r>
            <w:r w:rsidR="00E33B6A">
              <w:rPr>
                <w:szCs w:val="24"/>
              </w:rPr>
              <w:fldChar w:fldCharType="separate"/>
            </w:r>
            <w:r>
              <w:rPr>
                <w:szCs w:val="24"/>
              </w:rPr>
              <w:fldChar w:fldCharType="end"/>
            </w:r>
            <w:bookmarkEnd w:id="5"/>
          </w:p>
        </w:tc>
      </w:tr>
      <w:tr w:rsidR="00EE7097" w:rsidRPr="001C60B5" w14:paraId="361CA5D3" w14:textId="77777777" w:rsidTr="007B4060">
        <w:trPr>
          <w:gridAfter w:val="1"/>
          <w:wAfter w:w="95" w:type="dxa"/>
        </w:trPr>
        <w:tc>
          <w:tcPr>
            <w:tcW w:w="8926" w:type="dxa"/>
            <w:gridSpan w:val="8"/>
            <w:tcBorders>
              <w:bottom w:val="single" w:sz="4" w:space="0" w:color="auto"/>
            </w:tcBorders>
          </w:tcPr>
          <w:p w14:paraId="410DA142" w14:textId="28079999" w:rsidR="00022C5B" w:rsidRDefault="00022C5B" w:rsidP="00022C5B">
            <w:pPr>
              <w:rPr>
                <w:szCs w:val="24"/>
              </w:rPr>
            </w:pPr>
            <w:r>
              <w:rPr>
                <w:szCs w:val="24"/>
              </w:rPr>
              <w:t xml:space="preserve">The </w:t>
            </w:r>
            <w:r w:rsidR="00A31294">
              <w:rPr>
                <w:szCs w:val="24"/>
              </w:rPr>
              <w:t>Committee</w:t>
            </w:r>
            <w:r>
              <w:rPr>
                <w:szCs w:val="24"/>
              </w:rPr>
              <w:t xml:space="preserve"> </w:t>
            </w:r>
            <w:r w:rsidRPr="00851721">
              <w:rPr>
                <w:szCs w:val="24"/>
              </w:rPr>
              <w:t xml:space="preserve">is </w:t>
            </w:r>
            <w:r w:rsidRPr="001C60B5">
              <w:rPr>
                <w:szCs w:val="24"/>
              </w:rPr>
              <w:t xml:space="preserve">asked to: </w:t>
            </w:r>
          </w:p>
          <w:p w14:paraId="1F8A32BF" w14:textId="77777777" w:rsidR="007B4060" w:rsidRDefault="007B4060" w:rsidP="00022C5B">
            <w:pPr>
              <w:rPr>
                <w:szCs w:val="24"/>
              </w:rPr>
            </w:pPr>
          </w:p>
          <w:p w14:paraId="7A60F94D" w14:textId="6295BBF5" w:rsidR="0018657C" w:rsidRDefault="00A31294" w:rsidP="0018657C">
            <w:pPr>
              <w:widowControl w:val="0"/>
              <w:numPr>
                <w:ilvl w:val="0"/>
                <w:numId w:val="2"/>
              </w:numPr>
              <w:autoSpaceDE w:val="0"/>
              <w:autoSpaceDN w:val="0"/>
              <w:adjustRightInd w:val="0"/>
              <w:ind w:left="596" w:hanging="425"/>
              <w:jc w:val="both"/>
              <w:rPr>
                <w:rFonts w:cs="Arial"/>
              </w:rPr>
            </w:pPr>
            <w:r w:rsidRPr="00A31294">
              <w:rPr>
                <w:rFonts w:cs="Arial"/>
                <w:b/>
              </w:rPr>
              <w:t>Consider</w:t>
            </w:r>
            <w:r>
              <w:rPr>
                <w:rFonts w:cs="Arial"/>
              </w:rPr>
              <w:t xml:space="preserve"> the proposed changes to the Committees terms of reference;</w:t>
            </w:r>
          </w:p>
          <w:p w14:paraId="10AA5200" w14:textId="77777777" w:rsidR="00A31294" w:rsidRDefault="00A31294" w:rsidP="0018657C">
            <w:pPr>
              <w:widowControl w:val="0"/>
              <w:numPr>
                <w:ilvl w:val="0"/>
                <w:numId w:val="2"/>
              </w:numPr>
              <w:autoSpaceDE w:val="0"/>
              <w:autoSpaceDN w:val="0"/>
              <w:adjustRightInd w:val="0"/>
              <w:ind w:left="596" w:hanging="425"/>
              <w:jc w:val="both"/>
              <w:rPr>
                <w:rFonts w:cs="Arial"/>
              </w:rPr>
            </w:pPr>
            <w:r w:rsidRPr="00A31294">
              <w:rPr>
                <w:rFonts w:cs="Arial"/>
                <w:b/>
              </w:rPr>
              <w:t>Recommend</w:t>
            </w:r>
            <w:r>
              <w:rPr>
                <w:rFonts w:cs="Arial"/>
              </w:rPr>
              <w:t xml:space="preserve"> the revised terms of reference to the Board for approval. </w:t>
            </w:r>
          </w:p>
          <w:p w14:paraId="361CA5D2" w14:textId="64F11B1F" w:rsidR="00A31294" w:rsidRPr="00720EC2" w:rsidRDefault="00A31294" w:rsidP="00A31294">
            <w:pPr>
              <w:widowControl w:val="0"/>
              <w:autoSpaceDE w:val="0"/>
              <w:autoSpaceDN w:val="0"/>
              <w:adjustRightInd w:val="0"/>
              <w:ind w:left="596"/>
              <w:jc w:val="both"/>
              <w:rPr>
                <w:rFonts w:cs="Arial"/>
              </w:rPr>
            </w:pPr>
          </w:p>
        </w:tc>
      </w:tr>
      <w:tr w:rsidR="00D713DC" w:rsidRPr="001C60B5" w14:paraId="361CA5D6" w14:textId="77777777" w:rsidTr="007B4060">
        <w:tc>
          <w:tcPr>
            <w:tcW w:w="9026" w:type="dxa"/>
            <w:gridSpan w:val="9"/>
            <w:tcBorders>
              <w:left w:val="nil"/>
              <w:right w:val="nil"/>
            </w:tcBorders>
            <w:shd w:val="clear" w:color="auto" w:fill="auto"/>
          </w:tcPr>
          <w:p w14:paraId="361CA5D5" w14:textId="4A268161" w:rsidR="00D713DC" w:rsidRPr="005B4E75" w:rsidRDefault="00916053">
            <w:pPr>
              <w:rPr>
                <w:b/>
                <w:sz w:val="12"/>
                <w:szCs w:val="12"/>
              </w:rPr>
            </w:pPr>
            <w:r>
              <w:br w:type="page"/>
            </w:r>
          </w:p>
        </w:tc>
      </w:tr>
      <w:tr w:rsidR="00EE7097" w:rsidRPr="001C60B5" w14:paraId="361CA5DC" w14:textId="77777777" w:rsidTr="007B4060">
        <w:tc>
          <w:tcPr>
            <w:tcW w:w="9026" w:type="dxa"/>
            <w:gridSpan w:val="9"/>
            <w:shd w:val="clear" w:color="auto" w:fill="F2F2F2" w:themeFill="background1" w:themeFillShade="F2"/>
          </w:tcPr>
          <w:p w14:paraId="361CA5D7" w14:textId="77777777" w:rsidR="00EE7097" w:rsidRPr="001C60B5" w:rsidRDefault="00EE7097" w:rsidP="00680248">
            <w:pPr>
              <w:rPr>
                <w:szCs w:val="24"/>
              </w:rPr>
            </w:pPr>
            <w:r w:rsidRPr="001C60B5">
              <w:rPr>
                <w:b/>
                <w:szCs w:val="24"/>
              </w:rPr>
              <w:t xml:space="preserve">Link to Public Health Wales </w:t>
            </w:r>
            <w:hyperlink r:id="rId13" w:history="1">
              <w:r w:rsidRPr="001C60B5">
                <w:rPr>
                  <w:rStyle w:val="Hyperlink"/>
                  <w:b/>
                  <w:szCs w:val="24"/>
                </w:rPr>
                <w:t>Strategic Plan</w:t>
              </w:r>
            </w:hyperlink>
          </w:p>
          <w:p w14:paraId="361CA5D8" w14:textId="77777777" w:rsidR="00EE7097" w:rsidRPr="001C60B5" w:rsidRDefault="00EE7097" w:rsidP="00680248">
            <w:pPr>
              <w:rPr>
                <w:szCs w:val="24"/>
              </w:rPr>
            </w:pPr>
          </w:p>
          <w:p w14:paraId="361CA5D9" w14:textId="77777777"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14:paraId="361CA5DA" w14:textId="77777777" w:rsidR="00B52B29" w:rsidRDefault="00B52B29" w:rsidP="00EE7097">
            <w:pPr>
              <w:rPr>
                <w:bCs/>
                <w:szCs w:val="24"/>
              </w:rPr>
            </w:pPr>
          </w:p>
          <w:p w14:paraId="361CA5DB" w14:textId="77777777" w:rsidR="00EE7097" w:rsidRPr="001C60B5" w:rsidRDefault="00EE7097" w:rsidP="00EE7097">
            <w:pPr>
              <w:rPr>
                <w:szCs w:val="24"/>
              </w:rPr>
            </w:pPr>
            <w:r w:rsidRPr="001C60B5">
              <w:rPr>
                <w:szCs w:val="24"/>
              </w:rPr>
              <w:t>This report contributes to the following:</w:t>
            </w:r>
          </w:p>
        </w:tc>
      </w:tr>
      <w:tr w:rsidR="00EE7097" w:rsidRPr="001C60B5" w14:paraId="361CA5DF" w14:textId="77777777" w:rsidTr="007B4060">
        <w:tc>
          <w:tcPr>
            <w:tcW w:w="3192" w:type="dxa"/>
            <w:gridSpan w:val="3"/>
            <w:shd w:val="clear" w:color="auto" w:fill="auto"/>
          </w:tcPr>
          <w:p w14:paraId="361CA5DD" w14:textId="77777777"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gridSpan w:val="6"/>
            <w:shd w:val="clear" w:color="auto" w:fill="auto"/>
          </w:tcPr>
          <w:p w14:paraId="361CA5DE" w14:textId="60CBC389" w:rsidR="00EE7097" w:rsidRPr="0013075E" w:rsidRDefault="00E33B6A"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8E5907">
                  <w:rPr>
                    <w:rStyle w:val="Dropdown"/>
                  </w:rPr>
                  <w:t>All Strategic Priorities/Well-being Objectives</w:t>
                </w:r>
              </w:sdtContent>
            </w:sdt>
          </w:p>
        </w:tc>
      </w:tr>
      <w:tr w:rsidR="00EE7097" w:rsidRPr="001C60B5" w14:paraId="361CA5E7" w14:textId="77777777" w:rsidTr="007B4060">
        <w:tc>
          <w:tcPr>
            <w:tcW w:w="9026" w:type="dxa"/>
            <w:gridSpan w:val="9"/>
            <w:tcBorders>
              <w:left w:val="nil"/>
              <w:right w:val="nil"/>
            </w:tcBorders>
            <w:shd w:val="clear" w:color="auto" w:fill="auto"/>
          </w:tcPr>
          <w:p w14:paraId="361CA5E6" w14:textId="77777777" w:rsidR="00EE7097" w:rsidRPr="005B4E75" w:rsidRDefault="00EE7097" w:rsidP="00211B9D">
            <w:pPr>
              <w:rPr>
                <w:b/>
                <w:sz w:val="12"/>
                <w:szCs w:val="12"/>
              </w:rPr>
            </w:pPr>
          </w:p>
        </w:tc>
      </w:tr>
      <w:tr w:rsidR="00EE7097" w:rsidRPr="001C60B5" w14:paraId="361CA5EA" w14:textId="77777777" w:rsidTr="007B4060">
        <w:tc>
          <w:tcPr>
            <w:tcW w:w="9026" w:type="dxa"/>
            <w:gridSpan w:val="9"/>
            <w:shd w:val="clear" w:color="auto" w:fill="F2F2F2" w:themeFill="background1" w:themeFillShade="F2"/>
          </w:tcPr>
          <w:p w14:paraId="361CA5E9" w14:textId="4C7F6C08" w:rsidR="00EE7097" w:rsidRPr="00897F8D" w:rsidRDefault="00EE7097" w:rsidP="00CA5841">
            <w:pPr>
              <w:rPr>
                <w:i/>
                <w:color w:val="FF0000"/>
                <w:szCs w:val="24"/>
              </w:rPr>
            </w:pPr>
            <w:r w:rsidRPr="001C60B5">
              <w:rPr>
                <w:b/>
                <w:szCs w:val="24"/>
              </w:rPr>
              <w:t xml:space="preserve">Summary impact analysis </w:t>
            </w:r>
            <w:r w:rsidRPr="001C60B5">
              <w:rPr>
                <w:i/>
                <w:color w:val="FF0000"/>
                <w:szCs w:val="24"/>
              </w:rPr>
              <w:t xml:space="preserve"> </w:t>
            </w:r>
          </w:p>
        </w:tc>
      </w:tr>
      <w:tr w:rsidR="00EE7097" w:rsidRPr="001C60B5" w14:paraId="361CA5F1" w14:textId="77777777" w:rsidTr="007B4060">
        <w:trPr>
          <w:trHeight w:val="692"/>
        </w:trPr>
        <w:tc>
          <w:tcPr>
            <w:tcW w:w="3192" w:type="dxa"/>
            <w:gridSpan w:val="3"/>
          </w:tcPr>
          <w:p w14:paraId="361CA5EB" w14:textId="77777777" w:rsidR="00EE7097" w:rsidRPr="001C60B5" w:rsidRDefault="00EE7097" w:rsidP="00097ACD">
            <w:pPr>
              <w:rPr>
                <w:b/>
                <w:szCs w:val="24"/>
              </w:rPr>
            </w:pPr>
            <w:r w:rsidRPr="001C60B5">
              <w:rPr>
                <w:b/>
                <w:szCs w:val="24"/>
              </w:rPr>
              <w:lastRenderedPageBreak/>
              <w:t>Equality and Health Impact Assessment</w:t>
            </w:r>
          </w:p>
        </w:tc>
        <w:tc>
          <w:tcPr>
            <w:tcW w:w="5834" w:type="dxa"/>
            <w:gridSpan w:val="6"/>
          </w:tcPr>
          <w:p w14:paraId="361CA5F0" w14:textId="01625B4D" w:rsidR="00EE7097" w:rsidRPr="001913AB" w:rsidRDefault="00EF2460" w:rsidP="008E5907">
            <w:pPr>
              <w:rPr>
                <w:color w:val="FF0000"/>
                <w:szCs w:val="24"/>
              </w:rPr>
            </w:pPr>
            <w:r w:rsidRPr="001913AB">
              <w:rPr>
                <w:szCs w:val="24"/>
              </w:rPr>
              <w:t xml:space="preserve">Not required </w:t>
            </w:r>
          </w:p>
        </w:tc>
      </w:tr>
      <w:tr w:rsidR="003A3414" w:rsidRPr="001C60B5" w14:paraId="361CA5F4" w14:textId="77777777" w:rsidTr="007B4060">
        <w:tc>
          <w:tcPr>
            <w:tcW w:w="3192" w:type="dxa"/>
            <w:gridSpan w:val="3"/>
          </w:tcPr>
          <w:p w14:paraId="361CA5F2" w14:textId="77777777" w:rsidR="003A3414" w:rsidRPr="00593A31" w:rsidRDefault="003A3414">
            <w:pPr>
              <w:rPr>
                <w:b/>
                <w:szCs w:val="24"/>
              </w:rPr>
            </w:pPr>
            <w:r w:rsidRPr="00593A31">
              <w:rPr>
                <w:b/>
                <w:szCs w:val="24"/>
              </w:rPr>
              <w:t>Risk and Assurance</w:t>
            </w:r>
          </w:p>
        </w:tc>
        <w:tc>
          <w:tcPr>
            <w:tcW w:w="5834" w:type="dxa"/>
            <w:gridSpan w:val="6"/>
            <w:tcBorders>
              <w:bottom w:val="single" w:sz="4" w:space="0" w:color="auto"/>
            </w:tcBorders>
          </w:tcPr>
          <w:p w14:paraId="361CA5F3" w14:textId="41925725" w:rsidR="003A3414" w:rsidRPr="00593A31" w:rsidRDefault="00593A31" w:rsidP="003A3414">
            <w:pPr>
              <w:rPr>
                <w:szCs w:val="24"/>
              </w:rPr>
            </w:pPr>
            <w:r>
              <w:rPr>
                <w:szCs w:val="24"/>
              </w:rPr>
              <w:t>The</w:t>
            </w:r>
            <w:r w:rsidRPr="00593A31">
              <w:rPr>
                <w:szCs w:val="24"/>
              </w:rPr>
              <w:t xml:space="preserve"> organisation will not be compliant with its Standing orders if an annual review of terms of reference is not undertaken.</w:t>
            </w:r>
          </w:p>
        </w:tc>
      </w:tr>
      <w:tr w:rsidR="00EE7097" w:rsidRPr="001C60B5" w14:paraId="361CA5F7" w14:textId="77777777" w:rsidTr="007B4060">
        <w:trPr>
          <w:trHeight w:val="1030"/>
        </w:trPr>
        <w:tc>
          <w:tcPr>
            <w:tcW w:w="3192" w:type="dxa"/>
            <w:gridSpan w:val="3"/>
            <w:vMerge w:val="restart"/>
          </w:tcPr>
          <w:p w14:paraId="361CA5F5" w14:textId="77777777" w:rsidR="00EE7097" w:rsidRPr="001C60B5" w:rsidRDefault="00EE7097">
            <w:pPr>
              <w:rPr>
                <w:b/>
                <w:szCs w:val="24"/>
              </w:rPr>
            </w:pPr>
            <w:r w:rsidRPr="001C60B5">
              <w:rPr>
                <w:b/>
                <w:szCs w:val="24"/>
              </w:rPr>
              <w:t>Health and Care Standards</w:t>
            </w:r>
          </w:p>
        </w:tc>
        <w:tc>
          <w:tcPr>
            <w:tcW w:w="5834" w:type="dxa"/>
            <w:gridSpan w:val="6"/>
            <w:tcBorders>
              <w:bottom w:val="nil"/>
            </w:tcBorders>
          </w:tcPr>
          <w:p w14:paraId="361CA5F6" w14:textId="77777777" w:rsidR="00EE7097" w:rsidRPr="001C60B5" w:rsidRDefault="00EE7097" w:rsidP="00126327">
            <w:pPr>
              <w:rPr>
                <w:szCs w:val="24"/>
              </w:rPr>
            </w:pPr>
            <w:r w:rsidRPr="001C60B5">
              <w:rPr>
                <w:szCs w:val="24"/>
              </w:rPr>
              <w:t xml:space="preserve">This report supports and/or takes into account the </w:t>
            </w:r>
            <w:hyperlink r:id="rId14"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361CA5FA" w14:textId="77777777" w:rsidTr="007B4060">
        <w:trPr>
          <w:trHeight w:val="281"/>
        </w:trPr>
        <w:tc>
          <w:tcPr>
            <w:tcW w:w="3192" w:type="dxa"/>
            <w:gridSpan w:val="3"/>
            <w:vMerge/>
          </w:tcPr>
          <w:p w14:paraId="361CA5F8" w14:textId="77777777" w:rsidR="00E263D4" w:rsidRPr="001C60B5" w:rsidRDefault="00E263D4" w:rsidP="00E263D4">
            <w:pPr>
              <w:rPr>
                <w:b/>
                <w:szCs w:val="24"/>
              </w:rPr>
            </w:pPr>
          </w:p>
        </w:tc>
        <w:tc>
          <w:tcPr>
            <w:tcW w:w="5834" w:type="dxa"/>
            <w:gridSpan w:val="6"/>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361CA5F9" w14:textId="4264D01F" w:rsidR="00E263D4" w:rsidRPr="001C60B5" w:rsidRDefault="008E5907" w:rsidP="00E263D4">
                <w:pPr>
                  <w:ind w:left="436"/>
                  <w:rPr>
                    <w:szCs w:val="24"/>
                  </w:rPr>
                </w:pPr>
                <w:r>
                  <w:rPr>
                    <w:rStyle w:val="Dropdown"/>
                  </w:rPr>
                  <w:t>Governance, Leadership and Accountability</w:t>
                </w:r>
              </w:p>
            </w:sdtContent>
          </w:sdt>
        </w:tc>
      </w:tr>
      <w:tr w:rsidR="00EE7097" w:rsidRPr="001C60B5" w14:paraId="361CA603" w14:textId="77777777" w:rsidTr="007B4060">
        <w:tc>
          <w:tcPr>
            <w:tcW w:w="3192" w:type="dxa"/>
            <w:gridSpan w:val="3"/>
          </w:tcPr>
          <w:p w14:paraId="361CA601" w14:textId="77777777" w:rsidR="00EE7097" w:rsidRPr="001C60B5" w:rsidRDefault="00EE7097">
            <w:pPr>
              <w:rPr>
                <w:b/>
                <w:szCs w:val="24"/>
              </w:rPr>
            </w:pPr>
            <w:r w:rsidRPr="001C60B5">
              <w:rPr>
                <w:b/>
                <w:szCs w:val="24"/>
              </w:rPr>
              <w:t>Financial implications</w:t>
            </w:r>
          </w:p>
        </w:tc>
        <w:tc>
          <w:tcPr>
            <w:tcW w:w="5834" w:type="dxa"/>
            <w:gridSpan w:val="6"/>
          </w:tcPr>
          <w:p w14:paraId="361CA602" w14:textId="4B49FDB5" w:rsidR="00EE7097" w:rsidRPr="00126327" w:rsidRDefault="008E5907" w:rsidP="007D03B8">
            <w:pPr>
              <w:rPr>
                <w:szCs w:val="24"/>
              </w:rPr>
            </w:pPr>
            <w:r>
              <w:rPr>
                <w:szCs w:val="24"/>
              </w:rPr>
              <w:t>N/A</w:t>
            </w:r>
          </w:p>
        </w:tc>
      </w:tr>
      <w:tr w:rsidR="00EE7097" w:rsidRPr="001C60B5" w14:paraId="361CA606" w14:textId="77777777" w:rsidTr="007B4060">
        <w:tc>
          <w:tcPr>
            <w:tcW w:w="3192" w:type="dxa"/>
            <w:gridSpan w:val="3"/>
          </w:tcPr>
          <w:p w14:paraId="361CA604" w14:textId="77777777" w:rsidR="00EE7097" w:rsidRPr="001C60B5" w:rsidRDefault="00EE7097">
            <w:pPr>
              <w:rPr>
                <w:b/>
                <w:szCs w:val="24"/>
              </w:rPr>
            </w:pPr>
            <w:r w:rsidRPr="001C60B5">
              <w:rPr>
                <w:b/>
                <w:szCs w:val="24"/>
              </w:rPr>
              <w:t xml:space="preserve">People implications </w:t>
            </w:r>
          </w:p>
        </w:tc>
        <w:tc>
          <w:tcPr>
            <w:tcW w:w="5834" w:type="dxa"/>
            <w:gridSpan w:val="6"/>
            <w:tcBorders>
              <w:bottom w:val="single" w:sz="4" w:space="0" w:color="auto"/>
            </w:tcBorders>
          </w:tcPr>
          <w:p w14:paraId="361CA605" w14:textId="3F9CF1CA" w:rsidR="00EE7097" w:rsidRPr="00126327" w:rsidRDefault="008E5907" w:rsidP="007D03B8">
            <w:pPr>
              <w:rPr>
                <w:color w:val="FF0000"/>
                <w:szCs w:val="24"/>
              </w:rPr>
            </w:pPr>
            <w:r w:rsidRPr="008E5907">
              <w:rPr>
                <w:szCs w:val="24"/>
              </w:rPr>
              <w:t>N/A</w:t>
            </w:r>
          </w:p>
        </w:tc>
      </w:tr>
    </w:tbl>
    <w:p w14:paraId="361CA607" w14:textId="77777777" w:rsidR="007D03B8" w:rsidRPr="001C60B5" w:rsidRDefault="007D03B8" w:rsidP="006F654D">
      <w:pPr>
        <w:pStyle w:val="ListBullet"/>
        <w:rPr>
          <w:b/>
          <w:color w:val="FF0000"/>
          <w:szCs w:val="24"/>
        </w:rPr>
        <w:sectPr w:rsidR="007D03B8" w:rsidRPr="001C60B5" w:rsidSect="008902AA">
          <w:footerReference w:type="default" r:id="rId15"/>
          <w:pgSz w:w="11906" w:h="16838"/>
          <w:pgMar w:top="1440" w:right="1440" w:bottom="1440" w:left="1440" w:header="708" w:footer="708" w:gutter="0"/>
          <w:cols w:space="708"/>
          <w:docGrid w:linePitch="360"/>
        </w:sectPr>
      </w:pPr>
    </w:p>
    <w:p w14:paraId="7F101337" w14:textId="5660552E" w:rsidR="00D54EFC" w:rsidRDefault="0087331D" w:rsidP="00BF21DF">
      <w:pPr>
        <w:pStyle w:val="Heading1"/>
        <w:numPr>
          <w:ilvl w:val="0"/>
          <w:numId w:val="1"/>
        </w:numPr>
        <w:tabs>
          <w:tab w:val="left" w:pos="567"/>
        </w:tabs>
        <w:ind w:left="567" w:hanging="708"/>
        <w:jc w:val="both"/>
        <w:rPr>
          <w:szCs w:val="24"/>
        </w:rPr>
      </w:pPr>
      <w:r w:rsidRPr="001C60B5">
        <w:rPr>
          <w:szCs w:val="24"/>
        </w:rPr>
        <w:t>Purpose</w:t>
      </w:r>
      <w:r w:rsidR="00051E74" w:rsidRPr="001C60B5">
        <w:rPr>
          <w:szCs w:val="24"/>
        </w:rPr>
        <w:t xml:space="preserve"> / situation</w:t>
      </w:r>
    </w:p>
    <w:p w14:paraId="0B81D986" w14:textId="77777777" w:rsidR="00BF21DF" w:rsidRDefault="00BF21DF" w:rsidP="008E6140">
      <w:pPr>
        <w:jc w:val="both"/>
      </w:pPr>
    </w:p>
    <w:p w14:paraId="5BC14BC9" w14:textId="1E4D8F98" w:rsidR="000D3DE1" w:rsidRPr="008E6140" w:rsidRDefault="000D3DE1" w:rsidP="00DB4770">
      <w:pPr>
        <w:jc w:val="both"/>
        <w:rPr>
          <w:szCs w:val="24"/>
        </w:rPr>
      </w:pPr>
      <w:r w:rsidRPr="008E6140">
        <w:rPr>
          <w:szCs w:val="24"/>
        </w:rPr>
        <w:t>Th</w:t>
      </w:r>
      <w:r w:rsidR="0068529F" w:rsidRPr="008E6140">
        <w:rPr>
          <w:szCs w:val="24"/>
        </w:rPr>
        <w:t xml:space="preserve">e purpose of this report is </w:t>
      </w:r>
      <w:r w:rsidR="00DB4770">
        <w:rPr>
          <w:szCs w:val="24"/>
        </w:rPr>
        <w:t xml:space="preserve">to present proposed revisions to the Committees terms of reference </w:t>
      </w:r>
      <w:r w:rsidR="00A31294">
        <w:rPr>
          <w:szCs w:val="24"/>
        </w:rPr>
        <w:t xml:space="preserve">for </w:t>
      </w:r>
      <w:r w:rsidR="00DB4770">
        <w:rPr>
          <w:szCs w:val="24"/>
        </w:rPr>
        <w:t>consideration, and to recommend</w:t>
      </w:r>
      <w:r w:rsidR="00A31294">
        <w:rPr>
          <w:szCs w:val="24"/>
        </w:rPr>
        <w:t xml:space="preserve"> to the Board for approval.  </w:t>
      </w:r>
    </w:p>
    <w:p w14:paraId="361CA60B" w14:textId="7863B2C2" w:rsidR="0087331D" w:rsidRPr="001C60B5" w:rsidRDefault="00022C5B" w:rsidP="008E6140">
      <w:pPr>
        <w:pStyle w:val="Heading1"/>
        <w:numPr>
          <w:ilvl w:val="0"/>
          <w:numId w:val="1"/>
        </w:numPr>
        <w:tabs>
          <w:tab w:val="left" w:pos="567"/>
        </w:tabs>
        <w:ind w:left="426" w:hanging="568"/>
        <w:jc w:val="both"/>
        <w:rPr>
          <w:szCs w:val="24"/>
        </w:rPr>
      </w:pPr>
      <w:r>
        <w:rPr>
          <w:szCs w:val="24"/>
        </w:rPr>
        <w:tab/>
      </w:r>
      <w:r w:rsidR="0087331D" w:rsidRPr="001C60B5">
        <w:rPr>
          <w:szCs w:val="24"/>
        </w:rPr>
        <w:t>Background</w:t>
      </w:r>
    </w:p>
    <w:p w14:paraId="361CA60C" w14:textId="77777777" w:rsidR="0087331D" w:rsidRPr="001C60B5" w:rsidRDefault="0087331D" w:rsidP="008E6140">
      <w:pPr>
        <w:pStyle w:val="ListParagraph"/>
        <w:jc w:val="both"/>
        <w:rPr>
          <w:szCs w:val="24"/>
        </w:rPr>
      </w:pPr>
    </w:p>
    <w:p w14:paraId="430CC25C" w14:textId="6CE379BB" w:rsidR="00A31294" w:rsidRDefault="00A31294" w:rsidP="00A31294">
      <w:pPr>
        <w:spacing w:after="200"/>
        <w:jc w:val="both"/>
        <w:rPr>
          <w:szCs w:val="24"/>
        </w:rPr>
      </w:pPr>
      <w:r w:rsidRPr="008E6140">
        <w:rPr>
          <w:szCs w:val="24"/>
        </w:rPr>
        <w:t xml:space="preserve">The Committees Terms of Reference were last reviewed in </w:t>
      </w:r>
      <w:r>
        <w:rPr>
          <w:szCs w:val="24"/>
        </w:rPr>
        <w:t>May 2021.</w:t>
      </w:r>
    </w:p>
    <w:p w14:paraId="33ED42BE" w14:textId="508B0403" w:rsidR="00A31294" w:rsidRDefault="00A31294" w:rsidP="00A31294">
      <w:pPr>
        <w:spacing w:after="200"/>
        <w:jc w:val="both"/>
        <w:rPr>
          <w:szCs w:val="24"/>
        </w:rPr>
      </w:pPr>
      <w:r w:rsidRPr="008E6140">
        <w:rPr>
          <w:szCs w:val="24"/>
        </w:rPr>
        <w:t xml:space="preserve">The Terms of Reference of Committees should be reviewed </w:t>
      </w:r>
      <w:r>
        <w:rPr>
          <w:szCs w:val="24"/>
        </w:rPr>
        <w:t xml:space="preserve">at least </w:t>
      </w:r>
      <w:r w:rsidRPr="008E6140">
        <w:rPr>
          <w:szCs w:val="24"/>
        </w:rPr>
        <w:t>annually to ensure compliance with Standing O</w:t>
      </w:r>
      <w:r>
        <w:rPr>
          <w:szCs w:val="24"/>
        </w:rPr>
        <w:t>rders. A</w:t>
      </w:r>
      <w:r w:rsidRPr="008E6140">
        <w:rPr>
          <w:szCs w:val="24"/>
        </w:rPr>
        <w:t xml:space="preserve"> review of the Terms of Reference has taken place and suggested amendments are presented to </w:t>
      </w:r>
      <w:r w:rsidR="00DB4770">
        <w:rPr>
          <w:szCs w:val="24"/>
        </w:rPr>
        <w:t>Committee, to recommend to</w:t>
      </w:r>
      <w:r w:rsidR="00F54A14">
        <w:rPr>
          <w:szCs w:val="24"/>
        </w:rPr>
        <w:t xml:space="preserve"> </w:t>
      </w:r>
      <w:r w:rsidRPr="008E6140">
        <w:rPr>
          <w:szCs w:val="24"/>
        </w:rPr>
        <w:t xml:space="preserve">the Board for approval.  </w:t>
      </w:r>
    </w:p>
    <w:p w14:paraId="6D7EFCB9" w14:textId="77777777" w:rsidR="0016543F" w:rsidRDefault="0016543F" w:rsidP="008E6140">
      <w:pPr>
        <w:widowControl w:val="0"/>
        <w:autoSpaceDE w:val="0"/>
        <w:autoSpaceDN w:val="0"/>
        <w:adjustRightInd w:val="0"/>
        <w:jc w:val="both"/>
        <w:rPr>
          <w:rFonts w:cs="Arial"/>
        </w:rPr>
      </w:pPr>
    </w:p>
    <w:p w14:paraId="0C206078" w14:textId="3548C711" w:rsidR="00F12F90" w:rsidRPr="00937617" w:rsidRDefault="00F12F90" w:rsidP="008E6140">
      <w:pPr>
        <w:pStyle w:val="ListParagraph"/>
        <w:numPr>
          <w:ilvl w:val="0"/>
          <w:numId w:val="1"/>
        </w:numPr>
        <w:ind w:left="567" w:hanging="567"/>
        <w:jc w:val="both"/>
        <w:rPr>
          <w:b/>
        </w:rPr>
      </w:pPr>
      <w:r w:rsidRPr="00937617">
        <w:rPr>
          <w:b/>
        </w:rPr>
        <w:t xml:space="preserve">Summary of </w:t>
      </w:r>
      <w:r w:rsidR="009D501F" w:rsidRPr="00937617">
        <w:rPr>
          <w:b/>
        </w:rPr>
        <w:t xml:space="preserve">changes to Committee Terms of Reference </w:t>
      </w:r>
    </w:p>
    <w:p w14:paraId="4FF312E6" w14:textId="77777777" w:rsidR="008E334A" w:rsidRDefault="008E334A" w:rsidP="008E6140">
      <w:pPr>
        <w:widowControl w:val="0"/>
        <w:autoSpaceDE w:val="0"/>
        <w:autoSpaceDN w:val="0"/>
        <w:adjustRightInd w:val="0"/>
        <w:ind w:left="567" w:hanging="567"/>
        <w:jc w:val="both"/>
        <w:rPr>
          <w:rFonts w:cs="Arial"/>
        </w:rPr>
      </w:pPr>
    </w:p>
    <w:p w14:paraId="1E210CE5" w14:textId="77777777" w:rsidR="00DB4770" w:rsidRDefault="00A31294" w:rsidP="00DB4770">
      <w:pPr>
        <w:widowControl w:val="0"/>
        <w:autoSpaceDE w:val="0"/>
        <w:autoSpaceDN w:val="0"/>
        <w:adjustRightInd w:val="0"/>
        <w:jc w:val="both"/>
        <w:rPr>
          <w:rFonts w:cs="Arial"/>
        </w:rPr>
      </w:pPr>
      <w:r>
        <w:rPr>
          <w:rFonts w:cs="Arial"/>
        </w:rPr>
        <w:t>The proposed ch</w:t>
      </w:r>
      <w:r w:rsidR="00DB4770">
        <w:rPr>
          <w:rFonts w:cs="Arial"/>
        </w:rPr>
        <w:t xml:space="preserve">anges are detailed in the table below. </w:t>
      </w:r>
    </w:p>
    <w:p w14:paraId="483ACF0F" w14:textId="77777777" w:rsidR="00DB4770" w:rsidRDefault="00DB4770" w:rsidP="00DB4770">
      <w:pPr>
        <w:widowControl w:val="0"/>
        <w:autoSpaceDE w:val="0"/>
        <w:autoSpaceDN w:val="0"/>
        <w:adjustRightInd w:val="0"/>
        <w:jc w:val="both"/>
        <w:rPr>
          <w:rFonts w:cs="Arial"/>
        </w:rPr>
      </w:pPr>
    </w:p>
    <w:p w14:paraId="0C88F19A" w14:textId="001A94B8" w:rsidR="007B4060" w:rsidRDefault="00DB4770" w:rsidP="00DB4770">
      <w:pPr>
        <w:widowControl w:val="0"/>
        <w:autoSpaceDE w:val="0"/>
        <w:autoSpaceDN w:val="0"/>
        <w:adjustRightInd w:val="0"/>
        <w:jc w:val="both"/>
        <w:rPr>
          <w:rFonts w:cs="Arial"/>
        </w:rPr>
      </w:pPr>
      <w:r>
        <w:rPr>
          <w:rFonts w:cs="Arial"/>
        </w:rPr>
        <w:t xml:space="preserve">A full copy of the revised terms of reference are included at appendix </w:t>
      </w:r>
      <w:proofErr w:type="gramStart"/>
      <w:r>
        <w:rPr>
          <w:rFonts w:cs="Arial"/>
        </w:rPr>
        <w:t xml:space="preserve">1 </w:t>
      </w:r>
      <w:r w:rsidR="00A34C2B">
        <w:rPr>
          <w:rFonts w:cs="Arial"/>
        </w:rPr>
        <w:t>.</w:t>
      </w:r>
      <w:proofErr w:type="gramEnd"/>
    </w:p>
    <w:p w14:paraId="58F2DECD" w14:textId="49988086" w:rsidR="005F3477" w:rsidRDefault="005F3477" w:rsidP="00DB4770">
      <w:pPr>
        <w:widowControl w:val="0"/>
        <w:autoSpaceDE w:val="0"/>
        <w:autoSpaceDN w:val="0"/>
        <w:adjustRightInd w:val="0"/>
        <w:jc w:val="both"/>
        <w:rPr>
          <w:rFonts w:cs="Arial"/>
        </w:rPr>
      </w:pPr>
    </w:p>
    <w:p w14:paraId="1E3BB0C2" w14:textId="77777777" w:rsidR="005F3477" w:rsidRDefault="005F3477" w:rsidP="00DB4770">
      <w:pPr>
        <w:widowControl w:val="0"/>
        <w:autoSpaceDE w:val="0"/>
        <w:autoSpaceDN w:val="0"/>
        <w:adjustRightInd w:val="0"/>
        <w:jc w:val="both"/>
      </w:pPr>
      <w:r>
        <w:t xml:space="preserve">The proposed changes are intended to clarify the role and purpose of the Committee, and to fully articulate its remit. There is a further review of these terms of reference planned in year, to consider the impact review will be needed in light of the Quality as </w:t>
      </w:r>
      <w:proofErr w:type="spellStart"/>
      <w:proofErr w:type="gramStart"/>
      <w:r>
        <w:t>a</w:t>
      </w:r>
      <w:proofErr w:type="spellEnd"/>
      <w:proofErr w:type="gramEnd"/>
      <w:r>
        <w:t xml:space="preserve"> organisational strategy work, which is planned for July 2022 with the Committee Chair and Executive Leads to adapt the terms of reference as needed.</w:t>
      </w:r>
    </w:p>
    <w:p w14:paraId="19C89EEB" w14:textId="77777777" w:rsidR="005F3477" w:rsidRDefault="005F3477" w:rsidP="00DB4770">
      <w:pPr>
        <w:widowControl w:val="0"/>
        <w:autoSpaceDE w:val="0"/>
        <w:autoSpaceDN w:val="0"/>
        <w:adjustRightInd w:val="0"/>
        <w:jc w:val="both"/>
      </w:pPr>
    </w:p>
    <w:p w14:paraId="5FF86AA5" w14:textId="7C200A5F" w:rsidR="00720EC2" w:rsidRDefault="00627AD2" w:rsidP="00627AD2">
      <w:pPr>
        <w:widowControl w:val="0"/>
        <w:autoSpaceDE w:val="0"/>
        <w:autoSpaceDN w:val="0"/>
        <w:adjustRightInd w:val="0"/>
        <w:jc w:val="both"/>
        <w:rPr>
          <w:rFonts w:cs="Arial"/>
        </w:rPr>
      </w:pPr>
      <w:r>
        <w:t xml:space="preserve">In the meantime, the annual </w:t>
      </w:r>
      <w:r w:rsidR="005F3477">
        <w:t xml:space="preserve">review has taken place </w:t>
      </w:r>
      <w:r>
        <w:t xml:space="preserve">and </w:t>
      </w:r>
      <w:proofErr w:type="gramStart"/>
      <w:r w:rsidR="00720EC2">
        <w:rPr>
          <w:rFonts w:cs="Arial"/>
        </w:rPr>
        <w:t>The</w:t>
      </w:r>
      <w:proofErr w:type="gramEnd"/>
      <w:r w:rsidR="00720EC2">
        <w:rPr>
          <w:rFonts w:cs="Arial"/>
        </w:rPr>
        <w:t xml:space="preserve"> following changes are proposed for this Committee’s terms of Reference:</w:t>
      </w:r>
    </w:p>
    <w:tbl>
      <w:tblPr>
        <w:tblStyle w:val="TableGrid"/>
        <w:tblW w:w="9582" w:type="dxa"/>
        <w:tblInd w:w="-431" w:type="dxa"/>
        <w:tblLook w:val="04A0" w:firstRow="1" w:lastRow="0" w:firstColumn="1" w:lastColumn="0" w:noHBand="0" w:noVBand="1"/>
      </w:tblPr>
      <w:tblGrid>
        <w:gridCol w:w="2563"/>
        <w:gridCol w:w="7019"/>
      </w:tblGrid>
      <w:tr w:rsidR="00A31294" w:rsidRPr="00C0078B" w14:paraId="4B1A3A13" w14:textId="77777777" w:rsidTr="00DB4770">
        <w:trPr>
          <w:trHeight w:val="546"/>
          <w:tblHeader/>
        </w:trPr>
        <w:tc>
          <w:tcPr>
            <w:tcW w:w="2563" w:type="dxa"/>
            <w:shd w:val="clear" w:color="auto" w:fill="DBE5F1" w:themeFill="accent1" w:themeFillTint="33"/>
          </w:tcPr>
          <w:p w14:paraId="3DB8AE0F" w14:textId="77777777" w:rsidR="00A31294" w:rsidRPr="00C0078B" w:rsidRDefault="00A31294" w:rsidP="00FC4A24">
            <w:pPr>
              <w:widowControl w:val="0"/>
              <w:autoSpaceDE w:val="0"/>
              <w:autoSpaceDN w:val="0"/>
              <w:adjustRightInd w:val="0"/>
              <w:rPr>
                <w:rFonts w:cs="Arial"/>
                <w:b/>
              </w:rPr>
            </w:pPr>
            <w:r w:rsidRPr="00C0078B">
              <w:rPr>
                <w:rFonts w:cs="Arial"/>
                <w:b/>
              </w:rPr>
              <w:t>Section</w:t>
            </w:r>
          </w:p>
        </w:tc>
        <w:tc>
          <w:tcPr>
            <w:tcW w:w="7019" w:type="dxa"/>
            <w:shd w:val="clear" w:color="auto" w:fill="DBE5F1" w:themeFill="accent1" w:themeFillTint="33"/>
          </w:tcPr>
          <w:p w14:paraId="70FA3D9A" w14:textId="77777777" w:rsidR="00A31294" w:rsidRPr="00C0078B" w:rsidRDefault="00A31294" w:rsidP="00FC4A24">
            <w:pPr>
              <w:widowControl w:val="0"/>
              <w:autoSpaceDE w:val="0"/>
              <w:autoSpaceDN w:val="0"/>
              <w:adjustRightInd w:val="0"/>
              <w:rPr>
                <w:rFonts w:cs="Arial"/>
                <w:b/>
              </w:rPr>
            </w:pPr>
            <w:r w:rsidRPr="00C0078B">
              <w:rPr>
                <w:rFonts w:cs="Arial"/>
                <w:b/>
              </w:rPr>
              <w:t>Proposed Amendment</w:t>
            </w:r>
          </w:p>
        </w:tc>
      </w:tr>
      <w:tr w:rsidR="00A31294" w:rsidRPr="00C0078B" w14:paraId="511C18CF" w14:textId="77777777" w:rsidTr="00DB4770">
        <w:trPr>
          <w:trHeight w:val="282"/>
          <w:tblHeader/>
        </w:trPr>
        <w:tc>
          <w:tcPr>
            <w:tcW w:w="2411" w:type="dxa"/>
            <w:shd w:val="clear" w:color="auto" w:fill="auto"/>
          </w:tcPr>
          <w:p w14:paraId="4832D1EE" w14:textId="77777777" w:rsidR="00A31294" w:rsidRPr="00515937" w:rsidRDefault="00A31294" w:rsidP="00FC4A24">
            <w:pPr>
              <w:widowControl w:val="0"/>
              <w:autoSpaceDE w:val="0"/>
              <w:autoSpaceDN w:val="0"/>
              <w:adjustRightInd w:val="0"/>
              <w:rPr>
                <w:b/>
              </w:rPr>
            </w:pPr>
            <w:r w:rsidRPr="00515937">
              <w:rPr>
                <w:b/>
              </w:rPr>
              <w:t xml:space="preserve">Throughout </w:t>
            </w:r>
          </w:p>
        </w:tc>
        <w:tc>
          <w:tcPr>
            <w:tcW w:w="7171" w:type="dxa"/>
            <w:shd w:val="clear" w:color="auto" w:fill="auto"/>
          </w:tcPr>
          <w:p w14:paraId="60AC67EF" w14:textId="411E3889" w:rsidR="001451D5" w:rsidRDefault="00A31294" w:rsidP="00FC4A24">
            <w:pPr>
              <w:widowControl w:val="0"/>
              <w:autoSpaceDE w:val="0"/>
              <w:autoSpaceDN w:val="0"/>
              <w:adjustRightInd w:val="0"/>
              <w:jc w:val="both"/>
            </w:pPr>
            <w:r>
              <w:t xml:space="preserve">Redrafting of the document to reduce duplication and group references together where appropriate. Amendments to language for </w:t>
            </w:r>
            <w:r w:rsidR="00DB4770">
              <w:t>consistency.</w:t>
            </w:r>
            <w:r w:rsidR="001451D5">
              <w:t xml:space="preserve"> </w:t>
            </w:r>
          </w:p>
        </w:tc>
      </w:tr>
      <w:tr w:rsidR="00A31294" w:rsidRPr="00C0078B" w14:paraId="3A49A070" w14:textId="77777777" w:rsidTr="00DB4770">
        <w:trPr>
          <w:trHeight w:val="282"/>
          <w:tblHeader/>
        </w:trPr>
        <w:tc>
          <w:tcPr>
            <w:tcW w:w="2411" w:type="dxa"/>
            <w:shd w:val="clear" w:color="auto" w:fill="auto"/>
          </w:tcPr>
          <w:p w14:paraId="3DF0A700" w14:textId="77777777" w:rsidR="00A31294" w:rsidRPr="00515937" w:rsidRDefault="00A31294" w:rsidP="00FC4A24">
            <w:pPr>
              <w:pStyle w:val="CoverSheet"/>
              <w:jc w:val="both"/>
              <w:rPr>
                <w:rFonts w:ascii="Verdana" w:hAnsi="Verdana"/>
                <w:b/>
              </w:rPr>
            </w:pPr>
            <w:r>
              <w:rPr>
                <w:rFonts w:ascii="Verdana" w:hAnsi="Verdana"/>
                <w:b/>
              </w:rPr>
              <w:t>Introduction</w:t>
            </w:r>
          </w:p>
        </w:tc>
        <w:tc>
          <w:tcPr>
            <w:tcW w:w="7171" w:type="dxa"/>
            <w:shd w:val="clear" w:color="auto" w:fill="auto"/>
          </w:tcPr>
          <w:p w14:paraId="544370C2" w14:textId="77777777" w:rsidR="00A31294" w:rsidRDefault="00A31294" w:rsidP="00FC4A24">
            <w:pPr>
              <w:widowControl w:val="0"/>
              <w:autoSpaceDE w:val="0"/>
              <w:autoSpaceDN w:val="0"/>
              <w:adjustRightInd w:val="0"/>
            </w:pPr>
            <w:r>
              <w:t>No changes</w:t>
            </w:r>
          </w:p>
        </w:tc>
      </w:tr>
      <w:tr w:rsidR="00A31294" w:rsidRPr="00C0078B" w14:paraId="53E4CC55" w14:textId="77777777" w:rsidTr="00DB4770">
        <w:trPr>
          <w:trHeight w:val="282"/>
          <w:tblHeader/>
        </w:trPr>
        <w:tc>
          <w:tcPr>
            <w:tcW w:w="2411" w:type="dxa"/>
            <w:shd w:val="clear" w:color="auto" w:fill="auto"/>
          </w:tcPr>
          <w:p w14:paraId="359CB9FC" w14:textId="77777777" w:rsidR="00A31294" w:rsidRDefault="00A31294" w:rsidP="00FC4A24">
            <w:pPr>
              <w:pStyle w:val="CoverSheet"/>
              <w:jc w:val="both"/>
              <w:rPr>
                <w:rFonts w:ascii="Verdana" w:hAnsi="Verdana"/>
                <w:b/>
              </w:rPr>
            </w:pPr>
            <w:r>
              <w:rPr>
                <w:rFonts w:ascii="Verdana" w:hAnsi="Verdana"/>
                <w:b/>
              </w:rPr>
              <w:t>Purpose</w:t>
            </w:r>
          </w:p>
        </w:tc>
        <w:tc>
          <w:tcPr>
            <w:tcW w:w="7171" w:type="dxa"/>
            <w:shd w:val="clear" w:color="auto" w:fill="auto"/>
          </w:tcPr>
          <w:p w14:paraId="5897D575" w14:textId="77777777" w:rsidR="00A31294" w:rsidRDefault="00A31294" w:rsidP="00FC4A24">
            <w:pPr>
              <w:widowControl w:val="0"/>
              <w:autoSpaceDE w:val="0"/>
              <w:autoSpaceDN w:val="0"/>
              <w:adjustRightInd w:val="0"/>
            </w:pPr>
            <w:r>
              <w:t>No changes</w:t>
            </w:r>
          </w:p>
        </w:tc>
      </w:tr>
      <w:tr w:rsidR="00A31294" w:rsidRPr="00C0078B" w14:paraId="5F8F64A6" w14:textId="77777777" w:rsidTr="00DB4770">
        <w:trPr>
          <w:trHeight w:val="273"/>
          <w:tblHeader/>
        </w:trPr>
        <w:tc>
          <w:tcPr>
            <w:tcW w:w="2411" w:type="dxa"/>
            <w:shd w:val="clear" w:color="auto" w:fill="auto"/>
          </w:tcPr>
          <w:p w14:paraId="0B7FC920" w14:textId="77777777" w:rsidR="00A31294" w:rsidRPr="00C0078B" w:rsidRDefault="00A31294" w:rsidP="00FC4A24">
            <w:pPr>
              <w:widowControl w:val="0"/>
              <w:autoSpaceDE w:val="0"/>
              <w:autoSpaceDN w:val="0"/>
              <w:adjustRightInd w:val="0"/>
              <w:rPr>
                <w:rFonts w:cs="Arial"/>
                <w:b/>
              </w:rPr>
            </w:pPr>
            <w:r>
              <w:rPr>
                <w:rFonts w:cs="Arial"/>
                <w:b/>
              </w:rPr>
              <w:t>Remit</w:t>
            </w:r>
          </w:p>
        </w:tc>
        <w:tc>
          <w:tcPr>
            <w:tcW w:w="7171" w:type="dxa"/>
            <w:shd w:val="clear" w:color="auto" w:fill="auto"/>
          </w:tcPr>
          <w:p w14:paraId="444227BB" w14:textId="77777777" w:rsidR="00A31294" w:rsidRDefault="00A31294" w:rsidP="00FC4A24">
            <w:pPr>
              <w:widowControl w:val="0"/>
              <w:autoSpaceDE w:val="0"/>
              <w:autoSpaceDN w:val="0"/>
              <w:adjustRightInd w:val="0"/>
              <w:rPr>
                <w:rFonts w:cs="Arial"/>
              </w:rPr>
            </w:pPr>
            <w:r>
              <w:rPr>
                <w:rFonts w:cs="Arial"/>
              </w:rPr>
              <w:t>N</w:t>
            </w:r>
            <w:r w:rsidRPr="006668C6">
              <w:rPr>
                <w:rFonts w:cs="Arial"/>
              </w:rPr>
              <w:t xml:space="preserve">ew </w:t>
            </w:r>
            <w:r>
              <w:rPr>
                <w:rFonts w:cs="Arial"/>
              </w:rPr>
              <w:t>heading and summary list</w:t>
            </w:r>
            <w:r w:rsidRPr="006668C6">
              <w:rPr>
                <w:rFonts w:cs="Arial"/>
              </w:rPr>
              <w:t xml:space="preserve"> added for clarity of the overall remit of the Committee. </w:t>
            </w:r>
          </w:p>
          <w:p w14:paraId="095CEB51" w14:textId="77777777" w:rsidR="001451D5" w:rsidRDefault="001451D5" w:rsidP="00FC4A24">
            <w:pPr>
              <w:widowControl w:val="0"/>
              <w:autoSpaceDE w:val="0"/>
              <w:autoSpaceDN w:val="0"/>
              <w:adjustRightInd w:val="0"/>
              <w:rPr>
                <w:rFonts w:cs="Arial"/>
              </w:rPr>
            </w:pPr>
          </w:p>
          <w:p w14:paraId="6279499D" w14:textId="4B21A650" w:rsidR="001451D5" w:rsidRPr="00F30098" w:rsidRDefault="001451D5" w:rsidP="001451D5">
            <w:pPr>
              <w:jc w:val="both"/>
              <w:rPr>
                <w:rFonts w:cs="Lucida Sans Unicode"/>
              </w:rPr>
            </w:pPr>
            <w:r>
              <w:rPr>
                <w:rFonts w:cs="Arial"/>
              </w:rPr>
              <w:t>‘</w:t>
            </w:r>
            <w:r w:rsidRPr="001451D5">
              <w:rPr>
                <w:rFonts w:cs="Lucida Sans Unicode"/>
                <w:i/>
              </w:rPr>
              <w:t>The Committee’s role is to provide assurance to the Board, that there are the appropriate and effective systems in place for areas within its remit, including ensuring that there are appropriate development and quality improvements.’</w:t>
            </w:r>
          </w:p>
          <w:p w14:paraId="405387D9" w14:textId="6E558918" w:rsidR="001451D5" w:rsidRPr="006668C6" w:rsidRDefault="001451D5" w:rsidP="00FC4A24">
            <w:pPr>
              <w:widowControl w:val="0"/>
              <w:autoSpaceDE w:val="0"/>
              <w:autoSpaceDN w:val="0"/>
              <w:adjustRightInd w:val="0"/>
              <w:rPr>
                <w:rFonts w:cs="Arial"/>
              </w:rPr>
            </w:pPr>
          </w:p>
        </w:tc>
      </w:tr>
      <w:tr w:rsidR="00CE38BE" w:rsidRPr="00C0078B" w14:paraId="0A53AE61" w14:textId="77777777" w:rsidTr="00DB4770">
        <w:trPr>
          <w:trHeight w:val="273"/>
          <w:tblHeader/>
        </w:trPr>
        <w:tc>
          <w:tcPr>
            <w:tcW w:w="2411" w:type="dxa"/>
            <w:vMerge w:val="restart"/>
            <w:shd w:val="clear" w:color="auto" w:fill="auto"/>
          </w:tcPr>
          <w:p w14:paraId="1B1525D3" w14:textId="77777777" w:rsidR="00CE38BE" w:rsidRDefault="00CE38BE" w:rsidP="00FC4A24">
            <w:pPr>
              <w:widowControl w:val="0"/>
              <w:autoSpaceDE w:val="0"/>
              <w:autoSpaceDN w:val="0"/>
              <w:adjustRightInd w:val="0"/>
              <w:rPr>
                <w:rFonts w:cs="Arial"/>
                <w:b/>
              </w:rPr>
            </w:pPr>
            <w:r>
              <w:rPr>
                <w:rFonts w:cs="Arial"/>
                <w:b/>
              </w:rPr>
              <w:t>Assurance</w:t>
            </w:r>
          </w:p>
        </w:tc>
        <w:tc>
          <w:tcPr>
            <w:tcW w:w="7171" w:type="dxa"/>
            <w:shd w:val="clear" w:color="auto" w:fill="auto"/>
          </w:tcPr>
          <w:p w14:paraId="1558CA40" w14:textId="77777777" w:rsidR="00CE38BE" w:rsidRPr="006668C6" w:rsidRDefault="00CE38BE" w:rsidP="00FC4A24">
            <w:pPr>
              <w:widowControl w:val="0"/>
              <w:autoSpaceDE w:val="0"/>
              <w:autoSpaceDN w:val="0"/>
              <w:adjustRightInd w:val="0"/>
              <w:rPr>
                <w:rFonts w:cs="Arial"/>
              </w:rPr>
            </w:pPr>
            <w:r>
              <w:rPr>
                <w:rFonts w:cs="Arial"/>
              </w:rPr>
              <w:t>N</w:t>
            </w:r>
            <w:r w:rsidRPr="006668C6">
              <w:rPr>
                <w:rFonts w:cs="Arial"/>
              </w:rPr>
              <w:t xml:space="preserve">ew </w:t>
            </w:r>
            <w:r>
              <w:rPr>
                <w:rFonts w:cs="Arial"/>
              </w:rPr>
              <w:t>heading and summary of the Committees assurance role</w:t>
            </w:r>
            <w:r w:rsidRPr="006668C6">
              <w:rPr>
                <w:rFonts w:cs="Arial"/>
              </w:rPr>
              <w:t xml:space="preserve"> added for clarity</w:t>
            </w:r>
            <w:r>
              <w:rPr>
                <w:rFonts w:cs="Arial"/>
              </w:rPr>
              <w:t>.</w:t>
            </w:r>
            <w:r w:rsidRPr="006668C6">
              <w:rPr>
                <w:rFonts w:cs="Arial"/>
              </w:rPr>
              <w:t xml:space="preserve"> </w:t>
            </w:r>
          </w:p>
        </w:tc>
      </w:tr>
      <w:tr w:rsidR="00CE38BE" w:rsidRPr="00C0078B" w14:paraId="38E13524" w14:textId="77777777" w:rsidTr="00DB4770">
        <w:trPr>
          <w:trHeight w:val="273"/>
          <w:tblHeader/>
        </w:trPr>
        <w:tc>
          <w:tcPr>
            <w:tcW w:w="2563" w:type="dxa"/>
            <w:vMerge/>
            <w:shd w:val="clear" w:color="auto" w:fill="auto"/>
          </w:tcPr>
          <w:p w14:paraId="47556A66" w14:textId="402619D8" w:rsidR="00CE38BE" w:rsidRDefault="00CE38BE" w:rsidP="00FC4A24">
            <w:pPr>
              <w:widowControl w:val="0"/>
              <w:autoSpaceDE w:val="0"/>
              <w:autoSpaceDN w:val="0"/>
              <w:adjustRightInd w:val="0"/>
              <w:rPr>
                <w:rFonts w:cs="Arial"/>
                <w:b/>
              </w:rPr>
            </w:pPr>
          </w:p>
        </w:tc>
        <w:tc>
          <w:tcPr>
            <w:tcW w:w="7019" w:type="dxa"/>
            <w:shd w:val="clear" w:color="auto" w:fill="auto"/>
          </w:tcPr>
          <w:p w14:paraId="2F35AAAB" w14:textId="28C50305" w:rsidR="00CE38BE" w:rsidRPr="006668C6" w:rsidRDefault="00CE38BE" w:rsidP="00A97191">
            <w:pPr>
              <w:widowControl w:val="0"/>
              <w:autoSpaceDE w:val="0"/>
              <w:autoSpaceDN w:val="0"/>
              <w:adjustRightInd w:val="0"/>
              <w:rPr>
                <w:rFonts w:cs="Arial"/>
              </w:rPr>
            </w:pPr>
            <w:r>
              <w:rPr>
                <w:rFonts w:cs="Lucida Sans Unicode"/>
              </w:rPr>
              <w:t>Included reference to the Duty of Candour and the Duty of Quality.</w:t>
            </w:r>
          </w:p>
        </w:tc>
      </w:tr>
      <w:tr w:rsidR="00CE38BE" w:rsidRPr="00C0078B" w14:paraId="68C35742" w14:textId="77777777" w:rsidTr="00DB4770">
        <w:trPr>
          <w:trHeight w:val="273"/>
          <w:tblHeader/>
        </w:trPr>
        <w:tc>
          <w:tcPr>
            <w:tcW w:w="2563" w:type="dxa"/>
            <w:vMerge/>
            <w:shd w:val="clear" w:color="auto" w:fill="auto"/>
          </w:tcPr>
          <w:p w14:paraId="32C089CF" w14:textId="77777777" w:rsidR="00CE38BE" w:rsidRDefault="00CE38BE" w:rsidP="00FC4A24">
            <w:pPr>
              <w:widowControl w:val="0"/>
              <w:autoSpaceDE w:val="0"/>
              <w:autoSpaceDN w:val="0"/>
              <w:adjustRightInd w:val="0"/>
              <w:rPr>
                <w:rFonts w:cs="Arial"/>
                <w:b/>
              </w:rPr>
            </w:pPr>
          </w:p>
        </w:tc>
        <w:tc>
          <w:tcPr>
            <w:tcW w:w="7019" w:type="dxa"/>
            <w:shd w:val="clear" w:color="auto" w:fill="auto"/>
          </w:tcPr>
          <w:p w14:paraId="61A89DAA" w14:textId="77777777" w:rsidR="00CE38BE" w:rsidRDefault="00CE38BE" w:rsidP="001451D5">
            <w:pPr>
              <w:tabs>
                <w:tab w:val="left" w:pos="-1440"/>
              </w:tabs>
              <w:jc w:val="both"/>
              <w:rPr>
                <w:rFonts w:cs="Arial"/>
              </w:rPr>
            </w:pPr>
            <w:r>
              <w:rPr>
                <w:rFonts w:cs="Arial"/>
              </w:rPr>
              <w:t xml:space="preserve">Amendment to the wording of 1.7.2 to reflect the Audit Protocol and the role of QSIC in considering audit reports. </w:t>
            </w:r>
          </w:p>
          <w:p w14:paraId="46FC22BA" w14:textId="77777777" w:rsidR="00CE38BE" w:rsidRDefault="00CE38BE" w:rsidP="001451D5">
            <w:pPr>
              <w:tabs>
                <w:tab w:val="left" w:pos="-1440"/>
              </w:tabs>
              <w:jc w:val="both"/>
              <w:rPr>
                <w:rFonts w:cs="Arial"/>
              </w:rPr>
            </w:pPr>
          </w:p>
          <w:p w14:paraId="25E4FC52" w14:textId="55721F88" w:rsidR="00CE38BE" w:rsidRPr="005F3477" w:rsidRDefault="00CE38BE" w:rsidP="005F3477">
            <w:pPr>
              <w:jc w:val="both"/>
              <w:rPr>
                <w:rFonts w:cs="Lucida Sans Unicode"/>
              </w:rPr>
            </w:pPr>
            <w:r>
              <w:rPr>
                <w:rFonts w:cs="Lucida Sans Unicode"/>
                <w:color w:val="000000"/>
              </w:rPr>
              <w:t>‘</w:t>
            </w:r>
            <w:r w:rsidRPr="005F3477">
              <w:rPr>
                <w:rFonts w:cs="Lucida Sans Unicode"/>
                <w:i/>
                <w:color w:val="000000"/>
              </w:rPr>
              <w:t>Recommendations made by internal and external reviewers are considered</w:t>
            </w:r>
            <w:r w:rsidRPr="005F3477">
              <w:rPr>
                <w:i/>
              </w:rPr>
              <w:t xml:space="preserve"> in the context of its work plan, and the areas of focus within its remit. ‘</w:t>
            </w:r>
          </w:p>
          <w:p w14:paraId="5DE9ADF4" w14:textId="2D378BD5" w:rsidR="00CE38BE" w:rsidRPr="006668C6" w:rsidRDefault="00CE38BE" w:rsidP="001451D5">
            <w:pPr>
              <w:tabs>
                <w:tab w:val="left" w:pos="-1440"/>
              </w:tabs>
              <w:jc w:val="both"/>
              <w:rPr>
                <w:rFonts w:cs="Arial"/>
              </w:rPr>
            </w:pPr>
          </w:p>
        </w:tc>
      </w:tr>
      <w:tr w:rsidR="00CE38BE" w:rsidRPr="00C0078B" w14:paraId="0C71FF33" w14:textId="77777777" w:rsidTr="00DB4770">
        <w:trPr>
          <w:trHeight w:val="273"/>
          <w:tblHeader/>
        </w:trPr>
        <w:tc>
          <w:tcPr>
            <w:tcW w:w="2563" w:type="dxa"/>
            <w:vMerge/>
            <w:shd w:val="clear" w:color="auto" w:fill="auto"/>
          </w:tcPr>
          <w:p w14:paraId="28F77537" w14:textId="77777777" w:rsidR="00CE38BE" w:rsidRDefault="00CE38BE" w:rsidP="00FC4A24">
            <w:pPr>
              <w:pStyle w:val="CoverSheet"/>
              <w:spacing w:before="0"/>
              <w:jc w:val="both"/>
              <w:rPr>
                <w:rFonts w:ascii="Verdana" w:hAnsi="Verdana"/>
                <w:b/>
              </w:rPr>
            </w:pPr>
          </w:p>
        </w:tc>
        <w:tc>
          <w:tcPr>
            <w:tcW w:w="7019" w:type="dxa"/>
            <w:shd w:val="clear" w:color="auto" w:fill="auto"/>
          </w:tcPr>
          <w:p w14:paraId="212DF728" w14:textId="11658D1C" w:rsidR="00CE38BE" w:rsidRDefault="00CE38BE" w:rsidP="00DB4770">
            <w:pPr>
              <w:jc w:val="both"/>
              <w:rPr>
                <w:rFonts w:cs="Lucida Sans Unicode"/>
                <w:color w:val="000000"/>
              </w:rPr>
            </w:pPr>
            <w:r>
              <w:rPr>
                <w:rFonts w:cs="Lucida Sans Unicode"/>
                <w:color w:val="000000"/>
              </w:rPr>
              <w:t>Expanded the areas of statutory responsibility to reflect Putting Things Right and Civil contingencies:</w:t>
            </w:r>
          </w:p>
          <w:p w14:paraId="210C870F" w14:textId="77777777" w:rsidR="00CE38BE" w:rsidRDefault="00CE38BE" w:rsidP="00DB4770">
            <w:pPr>
              <w:jc w:val="both"/>
              <w:rPr>
                <w:rFonts w:cs="Lucida Sans Unicode"/>
                <w:color w:val="000000"/>
              </w:rPr>
            </w:pPr>
          </w:p>
          <w:p w14:paraId="0E05B80A" w14:textId="61FCEC2C" w:rsidR="00CE38BE" w:rsidRPr="00DB4770" w:rsidRDefault="00CE38BE" w:rsidP="00DB4770">
            <w:pPr>
              <w:jc w:val="both"/>
            </w:pPr>
            <w:r>
              <w:rPr>
                <w:rFonts w:cs="Lucida Sans Unicode"/>
                <w:color w:val="000000"/>
              </w:rPr>
              <w:t>‘</w:t>
            </w:r>
            <w:r w:rsidRPr="005F3477">
              <w:rPr>
                <w:rFonts w:cs="Lucida Sans Unicode"/>
                <w:i/>
                <w:color w:val="000000"/>
              </w:rPr>
              <w:t>That there are effective arrangements in place for areas of statutory responsibility, including Putting Things Right, Infection Prevention and Control, Safeguarding, and Category 1 responder / civil contingencies act and Service User Experience’</w:t>
            </w:r>
          </w:p>
        </w:tc>
      </w:tr>
      <w:tr w:rsidR="00CE38BE" w:rsidRPr="00C0078B" w14:paraId="3DC301C4" w14:textId="77777777" w:rsidTr="00DB4770">
        <w:trPr>
          <w:trHeight w:val="273"/>
          <w:tblHeader/>
        </w:trPr>
        <w:tc>
          <w:tcPr>
            <w:tcW w:w="2563" w:type="dxa"/>
            <w:vMerge/>
            <w:shd w:val="clear" w:color="auto" w:fill="auto"/>
          </w:tcPr>
          <w:p w14:paraId="53BB1BD9" w14:textId="77777777" w:rsidR="00CE38BE" w:rsidRDefault="00CE38BE" w:rsidP="00FC4A24">
            <w:pPr>
              <w:pStyle w:val="CoverSheet"/>
              <w:spacing w:before="0"/>
              <w:jc w:val="both"/>
              <w:rPr>
                <w:rFonts w:ascii="Verdana" w:hAnsi="Verdana"/>
                <w:b/>
              </w:rPr>
            </w:pPr>
          </w:p>
        </w:tc>
        <w:tc>
          <w:tcPr>
            <w:tcW w:w="7019" w:type="dxa"/>
            <w:shd w:val="clear" w:color="auto" w:fill="auto"/>
          </w:tcPr>
          <w:p w14:paraId="4C283696" w14:textId="6BF956D4" w:rsidR="00CE38BE" w:rsidRDefault="00CE38BE" w:rsidP="00FC4A24">
            <w:pPr>
              <w:widowControl w:val="0"/>
              <w:autoSpaceDE w:val="0"/>
              <w:autoSpaceDN w:val="0"/>
              <w:adjustRightInd w:val="0"/>
              <w:rPr>
                <w:rFonts w:cs="Lucida Sans Unicode"/>
              </w:rPr>
            </w:pPr>
            <w:r>
              <w:rPr>
                <w:rFonts w:cs="Lucida Sans Unicode"/>
              </w:rPr>
              <w:t>Removed reference to raising concerns policy, which will be transferred to PODC</w:t>
            </w:r>
          </w:p>
        </w:tc>
      </w:tr>
      <w:tr w:rsidR="00A31294" w:rsidRPr="00C0078B" w14:paraId="14060F24" w14:textId="77777777" w:rsidTr="00DB4770">
        <w:trPr>
          <w:trHeight w:val="273"/>
          <w:tblHeader/>
        </w:trPr>
        <w:tc>
          <w:tcPr>
            <w:tcW w:w="2563" w:type="dxa"/>
            <w:shd w:val="clear" w:color="auto" w:fill="auto"/>
          </w:tcPr>
          <w:p w14:paraId="292DA58B" w14:textId="4DB10A3F" w:rsidR="00A31294" w:rsidRDefault="00A31294" w:rsidP="00FC4A24">
            <w:pPr>
              <w:pStyle w:val="CoverSheet"/>
              <w:spacing w:before="0"/>
              <w:jc w:val="both"/>
              <w:rPr>
                <w:rFonts w:ascii="Verdana" w:hAnsi="Verdana"/>
                <w:b/>
              </w:rPr>
            </w:pPr>
            <w:r>
              <w:rPr>
                <w:rFonts w:ascii="Verdana" w:hAnsi="Verdana"/>
                <w:b/>
              </w:rPr>
              <w:t>Comment / Recommendation to Board</w:t>
            </w:r>
          </w:p>
        </w:tc>
        <w:tc>
          <w:tcPr>
            <w:tcW w:w="7019" w:type="dxa"/>
            <w:shd w:val="clear" w:color="auto" w:fill="auto"/>
          </w:tcPr>
          <w:p w14:paraId="57347F57" w14:textId="77777777" w:rsidR="00A31294" w:rsidRDefault="00A31294" w:rsidP="00FC4A24">
            <w:pPr>
              <w:widowControl w:val="0"/>
              <w:autoSpaceDE w:val="0"/>
              <w:autoSpaceDN w:val="0"/>
              <w:adjustRightInd w:val="0"/>
              <w:rPr>
                <w:rFonts w:cs="Lucida Sans Unicode"/>
              </w:rPr>
            </w:pPr>
            <w:r>
              <w:rPr>
                <w:rFonts w:cs="Lucida Sans Unicode"/>
              </w:rPr>
              <w:t xml:space="preserve">New heading added to draw out specifically the elements where the Committee provides comment/ recommendation to Board. </w:t>
            </w:r>
          </w:p>
        </w:tc>
      </w:tr>
      <w:tr w:rsidR="00A31294" w:rsidRPr="00C0078B" w14:paraId="1DF90694" w14:textId="77777777" w:rsidTr="00DB4770">
        <w:trPr>
          <w:trHeight w:val="273"/>
          <w:tblHeader/>
        </w:trPr>
        <w:tc>
          <w:tcPr>
            <w:tcW w:w="2563" w:type="dxa"/>
            <w:shd w:val="clear" w:color="auto" w:fill="auto"/>
          </w:tcPr>
          <w:p w14:paraId="0247C1B4" w14:textId="0AEFF07B" w:rsidR="00A31294" w:rsidRPr="00DB4770" w:rsidRDefault="00A31294" w:rsidP="00DB4770">
            <w:pPr>
              <w:pStyle w:val="CoverSheet"/>
              <w:spacing w:before="0"/>
              <w:jc w:val="both"/>
              <w:rPr>
                <w:rFonts w:ascii="Verdana" w:hAnsi="Verdana"/>
                <w:b/>
              </w:rPr>
            </w:pPr>
            <w:r>
              <w:rPr>
                <w:rFonts w:ascii="Verdana" w:hAnsi="Verdana"/>
                <w:b/>
              </w:rPr>
              <w:t>Delegated Decisions</w:t>
            </w:r>
          </w:p>
        </w:tc>
        <w:tc>
          <w:tcPr>
            <w:tcW w:w="7019" w:type="dxa"/>
            <w:shd w:val="clear" w:color="auto" w:fill="auto"/>
          </w:tcPr>
          <w:p w14:paraId="15DEC35A" w14:textId="77777777" w:rsidR="00A31294" w:rsidRDefault="00A31294" w:rsidP="00FC4A24">
            <w:pPr>
              <w:widowControl w:val="0"/>
              <w:autoSpaceDE w:val="0"/>
              <w:autoSpaceDN w:val="0"/>
              <w:adjustRightInd w:val="0"/>
              <w:rPr>
                <w:rFonts w:cs="Lucida Sans Unicode"/>
              </w:rPr>
            </w:pPr>
            <w:r>
              <w:rPr>
                <w:rFonts w:cs="Lucida Sans Unicode"/>
              </w:rPr>
              <w:t xml:space="preserve">Included a full list of the policies within the remit of the committee for approval, to ensure consistency with standing orders and the Policy for Policies, procedures and other written control documents. </w:t>
            </w:r>
          </w:p>
        </w:tc>
      </w:tr>
      <w:tr w:rsidR="001451D5" w:rsidRPr="00C0078B" w14:paraId="702E0086" w14:textId="77777777" w:rsidTr="00DB4770">
        <w:trPr>
          <w:trHeight w:val="273"/>
          <w:tblHeader/>
        </w:trPr>
        <w:tc>
          <w:tcPr>
            <w:tcW w:w="2563" w:type="dxa"/>
            <w:shd w:val="clear" w:color="auto" w:fill="auto"/>
          </w:tcPr>
          <w:p w14:paraId="62F7E091" w14:textId="1E8C1156" w:rsidR="001451D5" w:rsidRDefault="001451D5" w:rsidP="00FC4A24">
            <w:pPr>
              <w:pStyle w:val="CoverSheet"/>
              <w:spacing w:before="0"/>
              <w:jc w:val="both"/>
              <w:rPr>
                <w:rFonts w:ascii="Verdana" w:hAnsi="Verdana"/>
                <w:b/>
              </w:rPr>
            </w:pPr>
            <w:r>
              <w:rPr>
                <w:rFonts w:ascii="Verdana" w:hAnsi="Verdana"/>
                <w:b/>
              </w:rPr>
              <w:t>Sub-Committee / Groups</w:t>
            </w:r>
          </w:p>
        </w:tc>
        <w:tc>
          <w:tcPr>
            <w:tcW w:w="7019" w:type="dxa"/>
            <w:shd w:val="clear" w:color="auto" w:fill="auto"/>
          </w:tcPr>
          <w:p w14:paraId="0920FE5C" w14:textId="77777777" w:rsidR="001451D5" w:rsidRDefault="001451D5" w:rsidP="00FC4A24">
            <w:pPr>
              <w:widowControl w:val="0"/>
              <w:autoSpaceDE w:val="0"/>
              <w:autoSpaceDN w:val="0"/>
              <w:adjustRightInd w:val="0"/>
              <w:rPr>
                <w:rFonts w:cs="Lucida Sans Unicode"/>
              </w:rPr>
            </w:pPr>
            <w:r>
              <w:rPr>
                <w:rFonts w:cs="Lucida Sans Unicode"/>
              </w:rPr>
              <w:t>Added clarity as to the groups that provide assurance to QSIC.</w:t>
            </w:r>
          </w:p>
          <w:p w14:paraId="7148EC49" w14:textId="77777777" w:rsidR="001451D5" w:rsidRDefault="001451D5" w:rsidP="00FC4A24">
            <w:pPr>
              <w:widowControl w:val="0"/>
              <w:autoSpaceDE w:val="0"/>
              <w:autoSpaceDN w:val="0"/>
              <w:adjustRightInd w:val="0"/>
              <w:rPr>
                <w:rFonts w:cs="Lucida Sans Unicode"/>
              </w:rPr>
            </w:pPr>
          </w:p>
          <w:p w14:paraId="66458E01" w14:textId="2ABF4549" w:rsidR="001451D5" w:rsidRDefault="001451D5" w:rsidP="001451D5">
            <w:pPr>
              <w:pStyle w:val="CoverSheet"/>
              <w:jc w:val="both"/>
              <w:rPr>
                <w:rFonts w:ascii="Verdana" w:hAnsi="Verdana"/>
              </w:rPr>
            </w:pPr>
            <w:r>
              <w:rPr>
                <w:rFonts w:ascii="Verdana" w:hAnsi="Verdana"/>
              </w:rPr>
              <w:t>‘</w:t>
            </w:r>
            <w:r w:rsidRPr="001451D5">
              <w:rPr>
                <w:rFonts w:ascii="Verdana" w:hAnsi="Verdana"/>
                <w:i/>
              </w:rPr>
              <w:t>The Safeguarding Group and the Infection Prevention and Control Group report to the Business Executive Team, and provide assurance to the Quality Safety and Improvement Committee</w:t>
            </w:r>
            <w:proofErr w:type="gramStart"/>
            <w:r w:rsidRPr="001451D5">
              <w:rPr>
                <w:rFonts w:ascii="Verdana" w:hAnsi="Verdana"/>
                <w:i/>
              </w:rPr>
              <w:t>.</w:t>
            </w:r>
            <w:r>
              <w:rPr>
                <w:rFonts w:ascii="Verdana" w:hAnsi="Verdana"/>
              </w:rPr>
              <w:t xml:space="preserve">  </w:t>
            </w:r>
            <w:proofErr w:type="gramEnd"/>
            <w:r>
              <w:rPr>
                <w:rFonts w:ascii="Verdana" w:hAnsi="Verdana"/>
              </w:rPr>
              <w:t>‘</w:t>
            </w:r>
          </w:p>
          <w:p w14:paraId="5A6F055F" w14:textId="571C3C7A" w:rsidR="001451D5" w:rsidRDefault="001451D5" w:rsidP="00FC4A24">
            <w:pPr>
              <w:widowControl w:val="0"/>
              <w:autoSpaceDE w:val="0"/>
              <w:autoSpaceDN w:val="0"/>
              <w:adjustRightInd w:val="0"/>
              <w:rPr>
                <w:rFonts w:cs="Lucida Sans Unicode"/>
              </w:rPr>
            </w:pPr>
          </w:p>
        </w:tc>
      </w:tr>
      <w:tr w:rsidR="00A31294" w:rsidRPr="00C0078B" w14:paraId="16F73A46" w14:textId="77777777" w:rsidTr="00DB4770">
        <w:trPr>
          <w:trHeight w:val="273"/>
          <w:tblHeader/>
        </w:trPr>
        <w:tc>
          <w:tcPr>
            <w:tcW w:w="2563" w:type="dxa"/>
            <w:shd w:val="clear" w:color="auto" w:fill="auto"/>
          </w:tcPr>
          <w:p w14:paraId="757E0CB1" w14:textId="77777777" w:rsidR="00A31294" w:rsidRDefault="00A31294" w:rsidP="00FC4A24">
            <w:pPr>
              <w:pStyle w:val="CoverSheet"/>
              <w:spacing w:before="0"/>
              <w:jc w:val="both"/>
              <w:rPr>
                <w:rFonts w:ascii="Verdana" w:hAnsi="Verdana"/>
                <w:b/>
              </w:rPr>
            </w:pPr>
            <w:r>
              <w:rPr>
                <w:rFonts w:ascii="Verdana" w:hAnsi="Verdana"/>
                <w:b/>
              </w:rPr>
              <w:t>Membership</w:t>
            </w:r>
          </w:p>
        </w:tc>
        <w:tc>
          <w:tcPr>
            <w:tcW w:w="7019" w:type="dxa"/>
            <w:shd w:val="clear" w:color="auto" w:fill="auto"/>
          </w:tcPr>
          <w:p w14:paraId="7FB9D397" w14:textId="77777777" w:rsidR="00A31294" w:rsidRDefault="00A31294" w:rsidP="00FC4A24">
            <w:pPr>
              <w:widowControl w:val="0"/>
              <w:autoSpaceDE w:val="0"/>
              <w:autoSpaceDN w:val="0"/>
              <w:adjustRightInd w:val="0"/>
              <w:rPr>
                <w:rFonts w:cs="Lucida Sans Unicode"/>
              </w:rPr>
            </w:pPr>
            <w:r>
              <w:rPr>
                <w:rFonts w:cs="Lucida Sans Unicode"/>
              </w:rPr>
              <w:t xml:space="preserve">Removed the requirement for a members of ACGC to also be a member of QSIC. </w:t>
            </w:r>
          </w:p>
        </w:tc>
      </w:tr>
      <w:tr w:rsidR="00A31294" w:rsidRPr="00C0078B" w14:paraId="2117207A" w14:textId="77777777" w:rsidTr="00DB4770">
        <w:trPr>
          <w:trHeight w:val="273"/>
          <w:tblHeader/>
        </w:trPr>
        <w:tc>
          <w:tcPr>
            <w:tcW w:w="2563" w:type="dxa"/>
            <w:shd w:val="clear" w:color="auto" w:fill="auto"/>
          </w:tcPr>
          <w:p w14:paraId="258350FE" w14:textId="77777777" w:rsidR="00A31294" w:rsidRDefault="00A31294" w:rsidP="00FC4A24">
            <w:pPr>
              <w:pStyle w:val="CoverSheet"/>
              <w:spacing w:before="0"/>
              <w:jc w:val="both"/>
              <w:rPr>
                <w:rFonts w:ascii="Verdana" w:hAnsi="Verdana"/>
                <w:b/>
              </w:rPr>
            </w:pPr>
            <w:r>
              <w:rPr>
                <w:rFonts w:ascii="Verdana" w:hAnsi="Verdana"/>
                <w:b/>
              </w:rPr>
              <w:t xml:space="preserve">Frequency of Meetings </w:t>
            </w:r>
          </w:p>
        </w:tc>
        <w:tc>
          <w:tcPr>
            <w:tcW w:w="7019" w:type="dxa"/>
            <w:shd w:val="clear" w:color="auto" w:fill="auto"/>
          </w:tcPr>
          <w:p w14:paraId="39C6F7A4" w14:textId="77777777" w:rsidR="00A31294" w:rsidRDefault="00A31294" w:rsidP="00FC4A24">
            <w:pPr>
              <w:widowControl w:val="0"/>
              <w:autoSpaceDE w:val="0"/>
              <w:autoSpaceDN w:val="0"/>
              <w:adjustRightInd w:val="0"/>
              <w:rPr>
                <w:rFonts w:cs="Lucida Sans Unicode"/>
              </w:rPr>
            </w:pPr>
            <w:r>
              <w:rPr>
                <w:rFonts w:cs="Lucida Sans Unicode"/>
              </w:rPr>
              <w:t xml:space="preserve">Changed the focus to number of meetings, rather than reporting periods. </w:t>
            </w:r>
          </w:p>
        </w:tc>
      </w:tr>
      <w:tr w:rsidR="00A97191" w:rsidRPr="00C0078B" w14:paraId="7A61B289" w14:textId="77777777" w:rsidTr="00DB4770">
        <w:trPr>
          <w:trHeight w:val="273"/>
          <w:tblHeader/>
        </w:trPr>
        <w:tc>
          <w:tcPr>
            <w:tcW w:w="2563" w:type="dxa"/>
            <w:shd w:val="clear" w:color="auto" w:fill="auto"/>
          </w:tcPr>
          <w:p w14:paraId="28889889" w14:textId="2DD35835" w:rsidR="00A97191" w:rsidRDefault="00A97191" w:rsidP="00FC4A24">
            <w:pPr>
              <w:pStyle w:val="CoverSheet"/>
              <w:spacing w:before="0"/>
              <w:jc w:val="both"/>
              <w:rPr>
                <w:rFonts w:ascii="Verdana" w:hAnsi="Verdana"/>
                <w:b/>
              </w:rPr>
            </w:pPr>
            <w:r>
              <w:rPr>
                <w:rFonts w:ascii="Verdana" w:hAnsi="Verdana"/>
                <w:b/>
              </w:rPr>
              <w:t xml:space="preserve">Reporting and Assurance Arrangements </w:t>
            </w:r>
          </w:p>
        </w:tc>
        <w:tc>
          <w:tcPr>
            <w:tcW w:w="7019" w:type="dxa"/>
            <w:shd w:val="clear" w:color="auto" w:fill="auto"/>
          </w:tcPr>
          <w:p w14:paraId="1B508096" w14:textId="41F56610" w:rsidR="00A97191" w:rsidRDefault="00A97191" w:rsidP="00FC4A24">
            <w:pPr>
              <w:widowControl w:val="0"/>
              <w:autoSpaceDE w:val="0"/>
              <w:autoSpaceDN w:val="0"/>
              <w:adjustRightInd w:val="0"/>
              <w:rPr>
                <w:rFonts w:cs="Lucida Sans Unicode"/>
              </w:rPr>
            </w:pPr>
            <w:r>
              <w:rPr>
                <w:rFonts w:cs="Lucida Sans Unicode"/>
              </w:rPr>
              <w:t xml:space="preserve">Section added to make consistent with the other Committee terms of reference, and to reflect the sources of assurance provided to the Board. </w:t>
            </w:r>
          </w:p>
        </w:tc>
      </w:tr>
    </w:tbl>
    <w:p w14:paraId="361CA632" w14:textId="565FAF51" w:rsidR="00E07F66" w:rsidRPr="001C60B5" w:rsidRDefault="008E6140" w:rsidP="00937617">
      <w:pPr>
        <w:pStyle w:val="Heading1"/>
        <w:rPr>
          <w:szCs w:val="24"/>
        </w:rPr>
      </w:pPr>
      <w:r>
        <w:rPr>
          <w:szCs w:val="24"/>
        </w:rPr>
        <w:t>4.</w:t>
      </w:r>
      <w:r>
        <w:rPr>
          <w:szCs w:val="24"/>
        </w:rPr>
        <w:tab/>
      </w:r>
      <w:r w:rsidR="00E07F66" w:rsidRPr="001C60B5">
        <w:rPr>
          <w:szCs w:val="24"/>
        </w:rPr>
        <w:t>Recommendation</w:t>
      </w:r>
    </w:p>
    <w:p w14:paraId="59F73668" w14:textId="2B6E3978" w:rsidR="00131826" w:rsidRDefault="00131826" w:rsidP="00E07F66">
      <w:pPr>
        <w:rPr>
          <w:szCs w:val="24"/>
        </w:rPr>
      </w:pPr>
    </w:p>
    <w:p w14:paraId="3C32C5E3" w14:textId="77777777" w:rsidR="00A31294" w:rsidRDefault="00A31294" w:rsidP="00A31294">
      <w:pPr>
        <w:rPr>
          <w:szCs w:val="24"/>
        </w:rPr>
      </w:pPr>
      <w:r>
        <w:rPr>
          <w:szCs w:val="24"/>
        </w:rPr>
        <w:t xml:space="preserve">The Committee </w:t>
      </w:r>
      <w:r w:rsidRPr="00851721">
        <w:rPr>
          <w:szCs w:val="24"/>
        </w:rPr>
        <w:t xml:space="preserve">is </w:t>
      </w:r>
      <w:r w:rsidRPr="001C60B5">
        <w:rPr>
          <w:szCs w:val="24"/>
        </w:rPr>
        <w:t xml:space="preserve">asked to: </w:t>
      </w:r>
    </w:p>
    <w:p w14:paraId="02DE5ADA" w14:textId="77777777" w:rsidR="00A31294" w:rsidRDefault="00A31294" w:rsidP="00A31294">
      <w:pPr>
        <w:rPr>
          <w:szCs w:val="24"/>
        </w:rPr>
      </w:pPr>
    </w:p>
    <w:p w14:paraId="27501851" w14:textId="77777777" w:rsidR="00A31294" w:rsidRDefault="00A31294" w:rsidP="00A31294">
      <w:pPr>
        <w:widowControl w:val="0"/>
        <w:numPr>
          <w:ilvl w:val="0"/>
          <w:numId w:val="2"/>
        </w:numPr>
        <w:autoSpaceDE w:val="0"/>
        <w:autoSpaceDN w:val="0"/>
        <w:adjustRightInd w:val="0"/>
        <w:ind w:left="596" w:hanging="425"/>
        <w:jc w:val="both"/>
        <w:rPr>
          <w:rFonts w:cs="Arial"/>
        </w:rPr>
      </w:pPr>
      <w:r w:rsidRPr="00A31294">
        <w:rPr>
          <w:rFonts w:cs="Arial"/>
          <w:b/>
        </w:rPr>
        <w:t>Consider</w:t>
      </w:r>
      <w:r>
        <w:rPr>
          <w:rFonts w:cs="Arial"/>
        </w:rPr>
        <w:t xml:space="preserve"> the proposed changes to the Committees terms of reference;</w:t>
      </w:r>
    </w:p>
    <w:p w14:paraId="3E9F6A5D" w14:textId="1DAB20F8" w:rsidR="00A31294" w:rsidRDefault="00A31294" w:rsidP="00DB4770">
      <w:pPr>
        <w:widowControl w:val="0"/>
        <w:numPr>
          <w:ilvl w:val="0"/>
          <w:numId w:val="2"/>
        </w:numPr>
        <w:autoSpaceDE w:val="0"/>
        <w:autoSpaceDN w:val="0"/>
        <w:adjustRightInd w:val="0"/>
        <w:ind w:left="596" w:hanging="425"/>
        <w:jc w:val="both"/>
        <w:rPr>
          <w:szCs w:val="24"/>
        </w:rPr>
      </w:pPr>
      <w:r w:rsidRPr="00A31294">
        <w:rPr>
          <w:rFonts w:cs="Arial"/>
          <w:b/>
        </w:rPr>
        <w:t>Recommend</w:t>
      </w:r>
      <w:r>
        <w:rPr>
          <w:rFonts w:cs="Arial"/>
        </w:rPr>
        <w:t xml:space="preserve"> the revised terms of reference to the Board for approval</w:t>
      </w:r>
      <w:r w:rsidR="00DB4770">
        <w:rPr>
          <w:rFonts w:cs="Arial"/>
        </w:rPr>
        <w:t>.</w:t>
      </w:r>
    </w:p>
    <w:sectPr w:rsidR="00A31294"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5BC3F" w14:textId="77777777" w:rsidR="009725B2" w:rsidRDefault="009725B2" w:rsidP="00497F39">
      <w:r>
        <w:separator/>
      </w:r>
    </w:p>
  </w:endnote>
  <w:endnote w:type="continuationSeparator" w:id="0">
    <w:p w14:paraId="1E48E9DF" w14:textId="77777777" w:rsidR="009725B2" w:rsidRDefault="009725B2"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7623DA" w:rsidRPr="00511AFF" w14:paraId="361CA64F" w14:textId="77777777" w:rsidTr="003B7361">
      <w:tc>
        <w:tcPr>
          <w:tcW w:w="3100" w:type="dxa"/>
        </w:tcPr>
        <w:p w14:paraId="361CA64C" w14:textId="1D3DDFEA" w:rsidR="007623DA" w:rsidRPr="00131826" w:rsidRDefault="007623DA" w:rsidP="00A97191">
          <w:pPr>
            <w:pStyle w:val="Footer"/>
            <w:tabs>
              <w:tab w:val="right" w:pos="9090"/>
            </w:tabs>
            <w:jc w:val="center"/>
            <w:rPr>
              <w:b/>
              <w:sz w:val="20"/>
            </w:rPr>
          </w:pPr>
          <w:r w:rsidRPr="00131826">
            <w:rPr>
              <w:b/>
              <w:sz w:val="20"/>
            </w:rPr>
            <w:t xml:space="preserve">Date: </w:t>
          </w:r>
          <w:r w:rsidRPr="00131826">
            <w:rPr>
              <w:sz w:val="20"/>
            </w:rPr>
            <w:t xml:space="preserve"> </w:t>
          </w:r>
          <w:r w:rsidR="00A97191">
            <w:rPr>
              <w:sz w:val="20"/>
            </w:rPr>
            <w:t xml:space="preserve"> 12 May</w:t>
          </w:r>
          <w:r w:rsidR="00A31294">
            <w:rPr>
              <w:sz w:val="20"/>
            </w:rPr>
            <w:t xml:space="preserve"> 2022</w:t>
          </w:r>
        </w:p>
      </w:tc>
      <w:tc>
        <w:tcPr>
          <w:tcW w:w="3100" w:type="dxa"/>
        </w:tcPr>
        <w:p w14:paraId="361CA64D" w14:textId="6B3F31B7" w:rsidR="007623DA" w:rsidRPr="00131826" w:rsidRDefault="007623DA" w:rsidP="00F12F90">
          <w:pPr>
            <w:pStyle w:val="Footer"/>
            <w:tabs>
              <w:tab w:val="center" w:pos="1433"/>
              <w:tab w:val="right" w:pos="2866"/>
              <w:tab w:val="right" w:pos="9090"/>
            </w:tabs>
            <w:jc w:val="center"/>
            <w:rPr>
              <w:b/>
              <w:sz w:val="20"/>
            </w:rPr>
          </w:pPr>
          <w:r w:rsidRPr="00131826">
            <w:rPr>
              <w:b/>
              <w:sz w:val="20"/>
            </w:rPr>
            <w:t>Version:</w:t>
          </w:r>
          <w:r w:rsidRPr="00131826">
            <w:rPr>
              <w:sz w:val="20"/>
            </w:rPr>
            <w:t xml:space="preserve"> </w:t>
          </w:r>
          <w:r w:rsidR="00F12F90" w:rsidRPr="00131826">
            <w:rPr>
              <w:sz w:val="20"/>
            </w:rPr>
            <w:t>V0.1</w:t>
          </w:r>
        </w:p>
      </w:tc>
      <w:tc>
        <w:tcPr>
          <w:tcW w:w="3101" w:type="dxa"/>
        </w:tcPr>
        <w:p w14:paraId="361CA64E" w14:textId="1CD53B62"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E33B6A">
            <w:rPr>
              <w:rStyle w:val="PageNumber"/>
              <w:noProof/>
              <w:sz w:val="20"/>
            </w:rPr>
            <w:t>1</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E33B6A">
            <w:rPr>
              <w:rStyle w:val="PageNumber"/>
              <w:noProof/>
              <w:sz w:val="20"/>
            </w:rPr>
            <w:t>5</w:t>
          </w:r>
          <w:r w:rsidRPr="00511AFF">
            <w:rPr>
              <w:rStyle w:val="PageNumber"/>
              <w:sz w:val="20"/>
            </w:rPr>
            <w:fldChar w:fldCharType="end"/>
          </w:r>
        </w:p>
      </w:tc>
    </w:tr>
  </w:tbl>
  <w:p w14:paraId="361CA650"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53513" w14:textId="77777777" w:rsidR="009725B2" w:rsidRDefault="009725B2" w:rsidP="00497F39">
      <w:r>
        <w:separator/>
      </w:r>
    </w:p>
  </w:footnote>
  <w:footnote w:type="continuationSeparator" w:id="0">
    <w:p w14:paraId="78906008" w14:textId="77777777" w:rsidR="009725B2" w:rsidRDefault="009725B2"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5E1"/>
    <w:multiLevelType w:val="hybridMultilevel"/>
    <w:tmpl w:val="22B2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85B6C"/>
    <w:multiLevelType w:val="hybridMultilevel"/>
    <w:tmpl w:val="84D0B1E2"/>
    <w:lvl w:ilvl="0" w:tplc="7E3E733E">
      <w:numFmt w:val="bullet"/>
      <w:lvlText w:val="-"/>
      <w:lvlJc w:val="left"/>
      <w:pPr>
        <w:ind w:left="440" w:hanging="360"/>
      </w:pPr>
      <w:rPr>
        <w:rFonts w:ascii="Verdana" w:eastAsiaTheme="minorHAnsi" w:hAnsi="Verdana" w:cs="Aria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 w15:restartNumberingAfterBreak="0">
    <w:nsid w:val="19772213"/>
    <w:multiLevelType w:val="multilevel"/>
    <w:tmpl w:val="BE78996A"/>
    <w:lvl w:ilvl="0">
      <w:start w:val="1"/>
      <w:numFmt w:val="bullet"/>
      <w:lvlText w:val=""/>
      <w:lvlJc w:val="left"/>
      <w:pPr>
        <w:ind w:left="720" w:hanging="360"/>
      </w:pPr>
      <w:rPr>
        <w:rFonts w:ascii="Symbol" w:hAnsi="Symbol" w:hint="default"/>
        <w:b/>
      </w:rPr>
    </w:lvl>
    <w:lvl w:ilvl="1">
      <w:start w:val="4"/>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2183612A"/>
    <w:multiLevelType w:val="hybridMultilevel"/>
    <w:tmpl w:val="A9444A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3971261"/>
    <w:multiLevelType w:val="hybridMultilevel"/>
    <w:tmpl w:val="C158E1A2"/>
    <w:lvl w:ilvl="0" w:tplc="4144302E">
      <w:start w:val="1"/>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051A1"/>
    <w:multiLevelType w:val="hybridMultilevel"/>
    <w:tmpl w:val="D87E154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D817B9"/>
    <w:multiLevelType w:val="multilevel"/>
    <w:tmpl w:val="92D22412"/>
    <w:lvl w:ilvl="0">
      <w:start w:val="1"/>
      <w:numFmt w:val="decimal"/>
      <w:lvlText w:val="%1."/>
      <w:lvlJc w:val="left"/>
      <w:pPr>
        <w:ind w:left="756" w:hanging="360"/>
      </w:pPr>
      <w:rPr>
        <w:rFonts w:hint="default"/>
      </w:rPr>
    </w:lvl>
    <w:lvl w:ilvl="1">
      <w:start w:val="7"/>
      <w:numFmt w:val="decimal"/>
      <w:isLgl/>
      <w:lvlText w:val="%1.%2"/>
      <w:lvlJc w:val="left"/>
      <w:pPr>
        <w:ind w:left="1146" w:hanging="750"/>
      </w:pPr>
      <w:rPr>
        <w:rFonts w:hint="default"/>
      </w:rPr>
    </w:lvl>
    <w:lvl w:ilvl="2">
      <w:start w:val="1"/>
      <w:numFmt w:val="decimal"/>
      <w:isLgl/>
      <w:lvlText w:val="%1.%2.%3"/>
      <w:lvlJc w:val="left"/>
      <w:pPr>
        <w:ind w:left="1476" w:hanging="1080"/>
      </w:pPr>
      <w:rPr>
        <w:rFonts w:hint="default"/>
      </w:rPr>
    </w:lvl>
    <w:lvl w:ilvl="3">
      <w:start w:val="1"/>
      <w:numFmt w:val="decimal"/>
      <w:isLgl/>
      <w:lvlText w:val="%1.%2.%3.%4"/>
      <w:lvlJc w:val="left"/>
      <w:pPr>
        <w:ind w:left="1476" w:hanging="1080"/>
      </w:pPr>
      <w:rPr>
        <w:rFonts w:hint="default"/>
      </w:rPr>
    </w:lvl>
    <w:lvl w:ilvl="4">
      <w:start w:val="1"/>
      <w:numFmt w:val="decimal"/>
      <w:isLgl/>
      <w:lvlText w:val="%1.%2.%3.%4.%5"/>
      <w:lvlJc w:val="left"/>
      <w:pPr>
        <w:ind w:left="1836" w:hanging="1440"/>
      </w:pPr>
      <w:rPr>
        <w:rFonts w:hint="default"/>
      </w:rPr>
    </w:lvl>
    <w:lvl w:ilvl="5">
      <w:start w:val="1"/>
      <w:numFmt w:val="decimal"/>
      <w:isLgl/>
      <w:lvlText w:val="%1.%2.%3.%4.%5.%6"/>
      <w:lvlJc w:val="left"/>
      <w:pPr>
        <w:ind w:left="2196" w:hanging="1800"/>
      </w:pPr>
      <w:rPr>
        <w:rFonts w:hint="default"/>
      </w:rPr>
    </w:lvl>
    <w:lvl w:ilvl="6">
      <w:start w:val="1"/>
      <w:numFmt w:val="decimal"/>
      <w:isLgl/>
      <w:lvlText w:val="%1.%2.%3.%4.%5.%6.%7"/>
      <w:lvlJc w:val="left"/>
      <w:pPr>
        <w:ind w:left="2556" w:hanging="2160"/>
      </w:pPr>
      <w:rPr>
        <w:rFonts w:hint="default"/>
      </w:rPr>
    </w:lvl>
    <w:lvl w:ilvl="7">
      <w:start w:val="1"/>
      <w:numFmt w:val="decimal"/>
      <w:isLgl/>
      <w:lvlText w:val="%1.%2.%3.%4.%5.%6.%7.%8"/>
      <w:lvlJc w:val="left"/>
      <w:pPr>
        <w:ind w:left="2916" w:hanging="2520"/>
      </w:pPr>
      <w:rPr>
        <w:rFonts w:hint="default"/>
      </w:rPr>
    </w:lvl>
    <w:lvl w:ilvl="8">
      <w:start w:val="1"/>
      <w:numFmt w:val="decimal"/>
      <w:isLgl/>
      <w:lvlText w:val="%1.%2.%3.%4.%5.%6.%7.%8.%9"/>
      <w:lvlJc w:val="left"/>
      <w:pPr>
        <w:ind w:left="2916" w:hanging="2520"/>
      </w:pPr>
      <w:rPr>
        <w:rFonts w:hint="default"/>
      </w:rPr>
    </w:lvl>
  </w:abstractNum>
  <w:abstractNum w:abstractNumId="8" w15:restartNumberingAfterBreak="0">
    <w:nsid w:val="3B9A4E46"/>
    <w:multiLevelType w:val="hybridMultilevel"/>
    <w:tmpl w:val="26A866E6"/>
    <w:lvl w:ilvl="0" w:tplc="613801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812DC"/>
    <w:multiLevelType w:val="hybridMultilevel"/>
    <w:tmpl w:val="5398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22CDA"/>
    <w:multiLevelType w:val="hybridMultilevel"/>
    <w:tmpl w:val="DBD63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01A132D"/>
    <w:multiLevelType w:val="hybridMultilevel"/>
    <w:tmpl w:val="F282E6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45214B"/>
    <w:multiLevelType w:val="multilevel"/>
    <w:tmpl w:val="4CD016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6F7F3D10"/>
    <w:multiLevelType w:val="hybridMultilevel"/>
    <w:tmpl w:val="2F424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2673AAD"/>
    <w:multiLevelType w:val="hybridMultilevel"/>
    <w:tmpl w:val="8D74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E252E9"/>
    <w:multiLevelType w:val="hybridMultilevel"/>
    <w:tmpl w:val="FE8614F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F15BDC"/>
    <w:multiLevelType w:val="hybridMultilevel"/>
    <w:tmpl w:val="923A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5"/>
  </w:num>
  <w:num w:numId="4">
    <w:abstractNumId w:val="11"/>
  </w:num>
  <w:num w:numId="5">
    <w:abstractNumId w:val="10"/>
  </w:num>
  <w:num w:numId="6">
    <w:abstractNumId w:val="16"/>
  </w:num>
  <w:num w:numId="7">
    <w:abstractNumId w:val="14"/>
  </w:num>
  <w:num w:numId="8">
    <w:abstractNumId w:val="8"/>
  </w:num>
  <w:num w:numId="9">
    <w:abstractNumId w:val="4"/>
  </w:num>
  <w:num w:numId="10">
    <w:abstractNumId w:val="17"/>
  </w:num>
  <w:num w:numId="11">
    <w:abstractNumId w:val="7"/>
  </w:num>
  <w:num w:numId="12">
    <w:abstractNumId w:val="9"/>
  </w:num>
  <w:num w:numId="13">
    <w:abstractNumId w:val="3"/>
  </w:num>
  <w:num w:numId="14">
    <w:abstractNumId w:val="0"/>
  </w:num>
  <w:num w:numId="15">
    <w:abstractNumId w:val="1"/>
  </w:num>
  <w:num w:numId="16">
    <w:abstractNumId w:val="2"/>
  </w:num>
  <w:num w:numId="17">
    <w:abstractNumId w:val="15"/>
  </w:num>
  <w:num w:numId="1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22C5B"/>
    <w:rsid w:val="00033F78"/>
    <w:rsid w:val="00051CDC"/>
    <w:rsid w:val="00051E74"/>
    <w:rsid w:val="0005502D"/>
    <w:rsid w:val="00056DC2"/>
    <w:rsid w:val="00057CFB"/>
    <w:rsid w:val="00080FDF"/>
    <w:rsid w:val="00095710"/>
    <w:rsid w:val="0009647F"/>
    <w:rsid w:val="00097ACD"/>
    <w:rsid w:val="000B1D28"/>
    <w:rsid w:val="000B306B"/>
    <w:rsid w:val="000D3DE1"/>
    <w:rsid w:val="000F24D2"/>
    <w:rsid w:val="000F46F4"/>
    <w:rsid w:val="000F5A72"/>
    <w:rsid w:val="001107EE"/>
    <w:rsid w:val="00121679"/>
    <w:rsid w:val="00123FD2"/>
    <w:rsid w:val="00126327"/>
    <w:rsid w:val="001272F6"/>
    <w:rsid w:val="0013075E"/>
    <w:rsid w:val="00131826"/>
    <w:rsid w:val="00133373"/>
    <w:rsid w:val="00141FC5"/>
    <w:rsid w:val="001451D5"/>
    <w:rsid w:val="0016543F"/>
    <w:rsid w:val="00170372"/>
    <w:rsid w:val="00177EC6"/>
    <w:rsid w:val="0018657C"/>
    <w:rsid w:val="001913AB"/>
    <w:rsid w:val="001B2A97"/>
    <w:rsid w:val="001B3428"/>
    <w:rsid w:val="001B6245"/>
    <w:rsid w:val="001C02C6"/>
    <w:rsid w:val="001C305C"/>
    <w:rsid w:val="001C60B5"/>
    <w:rsid w:val="001E5B78"/>
    <w:rsid w:val="00202AB8"/>
    <w:rsid w:val="00211B9D"/>
    <w:rsid w:val="00214BA4"/>
    <w:rsid w:val="0022713F"/>
    <w:rsid w:val="002272E4"/>
    <w:rsid w:val="00250088"/>
    <w:rsid w:val="0025109C"/>
    <w:rsid w:val="00257CD2"/>
    <w:rsid w:val="00262C9F"/>
    <w:rsid w:val="00272C29"/>
    <w:rsid w:val="00273D26"/>
    <w:rsid w:val="0028571A"/>
    <w:rsid w:val="0029024F"/>
    <w:rsid w:val="002B0BC9"/>
    <w:rsid w:val="002B712E"/>
    <w:rsid w:val="002C0A83"/>
    <w:rsid w:val="002C170B"/>
    <w:rsid w:val="002D11B1"/>
    <w:rsid w:val="002E6258"/>
    <w:rsid w:val="002F22A2"/>
    <w:rsid w:val="003018F5"/>
    <w:rsid w:val="00303D21"/>
    <w:rsid w:val="00303F2C"/>
    <w:rsid w:val="00304FD0"/>
    <w:rsid w:val="00305721"/>
    <w:rsid w:val="00322D2E"/>
    <w:rsid w:val="00326EC6"/>
    <w:rsid w:val="00337864"/>
    <w:rsid w:val="00345CAF"/>
    <w:rsid w:val="003461AF"/>
    <w:rsid w:val="00364F55"/>
    <w:rsid w:val="00371966"/>
    <w:rsid w:val="003865B6"/>
    <w:rsid w:val="003A3414"/>
    <w:rsid w:val="003B40BB"/>
    <w:rsid w:val="003B4F18"/>
    <w:rsid w:val="003B7361"/>
    <w:rsid w:val="003B7B09"/>
    <w:rsid w:val="003C6952"/>
    <w:rsid w:val="003D3671"/>
    <w:rsid w:val="003F3D59"/>
    <w:rsid w:val="003F3E7F"/>
    <w:rsid w:val="0040037A"/>
    <w:rsid w:val="00407604"/>
    <w:rsid w:val="004100D7"/>
    <w:rsid w:val="00411269"/>
    <w:rsid w:val="0042637D"/>
    <w:rsid w:val="00427779"/>
    <w:rsid w:val="004375CA"/>
    <w:rsid w:val="00455E24"/>
    <w:rsid w:val="0046169C"/>
    <w:rsid w:val="00480353"/>
    <w:rsid w:val="00493078"/>
    <w:rsid w:val="004939C2"/>
    <w:rsid w:val="00496B4F"/>
    <w:rsid w:val="00497F39"/>
    <w:rsid w:val="004A1249"/>
    <w:rsid w:val="004A4626"/>
    <w:rsid w:val="004A6253"/>
    <w:rsid w:val="004B31A5"/>
    <w:rsid w:val="004D632B"/>
    <w:rsid w:val="004E38CC"/>
    <w:rsid w:val="004F24A1"/>
    <w:rsid w:val="00504A87"/>
    <w:rsid w:val="00506C55"/>
    <w:rsid w:val="0052328C"/>
    <w:rsid w:val="00536FA4"/>
    <w:rsid w:val="00544C9E"/>
    <w:rsid w:val="00554429"/>
    <w:rsid w:val="0055720E"/>
    <w:rsid w:val="00561F54"/>
    <w:rsid w:val="00563B5C"/>
    <w:rsid w:val="00564789"/>
    <w:rsid w:val="005767ED"/>
    <w:rsid w:val="00577744"/>
    <w:rsid w:val="00590736"/>
    <w:rsid w:val="005926AB"/>
    <w:rsid w:val="005932A7"/>
    <w:rsid w:val="00593A31"/>
    <w:rsid w:val="005B4E75"/>
    <w:rsid w:val="005C7D40"/>
    <w:rsid w:val="005D5FC4"/>
    <w:rsid w:val="005E33CB"/>
    <w:rsid w:val="005F3477"/>
    <w:rsid w:val="00600BE6"/>
    <w:rsid w:val="00607476"/>
    <w:rsid w:val="00610D30"/>
    <w:rsid w:val="00611958"/>
    <w:rsid w:val="00627AD2"/>
    <w:rsid w:val="006310BB"/>
    <w:rsid w:val="00657B25"/>
    <w:rsid w:val="00660772"/>
    <w:rsid w:val="00672175"/>
    <w:rsid w:val="00674776"/>
    <w:rsid w:val="00680248"/>
    <w:rsid w:val="00680CAE"/>
    <w:rsid w:val="006826C6"/>
    <w:rsid w:val="0068275A"/>
    <w:rsid w:val="0068334E"/>
    <w:rsid w:val="0068529F"/>
    <w:rsid w:val="006C4A51"/>
    <w:rsid w:val="006D0542"/>
    <w:rsid w:val="006E5611"/>
    <w:rsid w:val="006F14C6"/>
    <w:rsid w:val="006F654D"/>
    <w:rsid w:val="006F77A4"/>
    <w:rsid w:val="0071099D"/>
    <w:rsid w:val="00720EC2"/>
    <w:rsid w:val="00737008"/>
    <w:rsid w:val="007501DA"/>
    <w:rsid w:val="00754449"/>
    <w:rsid w:val="00756049"/>
    <w:rsid w:val="00761739"/>
    <w:rsid w:val="007623DA"/>
    <w:rsid w:val="00765DF2"/>
    <w:rsid w:val="007764AF"/>
    <w:rsid w:val="007774C7"/>
    <w:rsid w:val="00793C02"/>
    <w:rsid w:val="007A43DB"/>
    <w:rsid w:val="007A47F5"/>
    <w:rsid w:val="007B4060"/>
    <w:rsid w:val="007C45CC"/>
    <w:rsid w:val="007D01C9"/>
    <w:rsid w:val="007D03B8"/>
    <w:rsid w:val="007D04C7"/>
    <w:rsid w:val="007D79E4"/>
    <w:rsid w:val="007E45DA"/>
    <w:rsid w:val="007F7158"/>
    <w:rsid w:val="007F7EA7"/>
    <w:rsid w:val="008036D5"/>
    <w:rsid w:val="00805FAF"/>
    <w:rsid w:val="008123E5"/>
    <w:rsid w:val="00824D05"/>
    <w:rsid w:val="00833AA5"/>
    <w:rsid w:val="00851721"/>
    <w:rsid w:val="008524C0"/>
    <w:rsid w:val="00857182"/>
    <w:rsid w:val="008653E0"/>
    <w:rsid w:val="00872DD5"/>
    <w:rsid w:val="0087331D"/>
    <w:rsid w:val="00880111"/>
    <w:rsid w:val="008902AA"/>
    <w:rsid w:val="00890A9D"/>
    <w:rsid w:val="00893619"/>
    <w:rsid w:val="00897F8D"/>
    <w:rsid w:val="008A2D5F"/>
    <w:rsid w:val="008C12E0"/>
    <w:rsid w:val="008C745A"/>
    <w:rsid w:val="008D4CCD"/>
    <w:rsid w:val="008E334A"/>
    <w:rsid w:val="008E5907"/>
    <w:rsid w:val="008E6140"/>
    <w:rsid w:val="008F1F7E"/>
    <w:rsid w:val="008F5F50"/>
    <w:rsid w:val="00911572"/>
    <w:rsid w:val="00912C7B"/>
    <w:rsid w:val="00916053"/>
    <w:rsid w:val="00921F72"/>
    <w:rsid w:val="009220C8"/>
    <w:rsid w:val="009233B4"/>
    <w:rsid w:val="00923A14"/>
    <w:rsid w:val="009328E2"/>
    <w:rsid w:val="00937617"/>
    <w:rsid w:val="00941424"/>
    <w:rsid w:val="009539A0"/>
    <w:rsid w:val="00961E2C"/>
    <w:rsid w:val="009725B2"/>
    <w:rsid w:val="00980587"/>
    <w:rsid w:val="00980F99"/>
    <w:rsid w:val="00981592"/>
    <w:rsid w:val="0098365C"/>
    <w:rsid w:val="00985A3A"/>
    <w:rsid w:val="009878C1"/>
    <w:rsid w:val="00987E54"/>
    <w:rsid w:val="009B0176"/>
    <w:rsid w:val="009B2519"/>
    <w:rsid w:val="009C0B0C"/>
    <w:rsid w:val="009D501F"/>
    <w:rsid w:val="009F7F6B"/>
    <w:rsid w:val="00A06B87"/>
    <w:rsid w:val="00A10A29"/>
    <w:rsid w:val="00A13215"/>
    <w:rsid w:val="00A250EA"/>
    <w:rsid w:val="00A258A8"/>
    <w:rsid w:val="00A25B36"/>
    <w:rsid w:val="00A279F5"/>
    <w:rsid w:val="00A31294"/>
    <w:rsid w:val="00A34009"/>
    <w:rsid w:val="00A34C2B"/>
    <w:rsid w:val="00A41559"/>
    <w:rsid w:val="00A435F1"/>
    <w:rsid w:val="00A53AC9"/>
    <w:rsid w:val="00A56D26"/>
    <w:rsid w:val="00A60C7E"/>
    <w:rsid w:val="00A60D6C"/>
    <w:rsid w:val="00A97191"/>
    <w:rsid w:val="00AB112A"/>
    <w:rsid w:val="00AC0FCB"/>
    <w:rsid w:val="00AC45EB"/>
    <w:rsid w:val="00AC5841"/>
    <w:rsid w:val="00AD5A9E"/>
    <w:rsid w:val="00AD7227"/>
    <w:rsid w:val="00AE3D01"/>
    <w:rsid w:val="00AF3146"/>
    <w:rsid w:val="00AF47A0"/>
    <w:rsid w:val="00B00419"/>
    <w:rsid w:val="00B40F2B"/>
    <w:rsid w:val="00B41B6B"/>
    <w:rsid w:val="00B47936"/>
    <w:rsid w:val="00B509E3"/>
    <w:rsid w:val="00B52B29"/>
    <w:rsid w:val="00B71698"/>
    <w:rsid w:val="00B80218"/>
    <w:rsid w:val="00B832D1"/>
    <w:rsid w:val="00B936DE"/>
    <w:rsid w:val="00B94BB0"/>
    <w:rsid w:val="00BA3E2A"/>
    <w:rsid w:val="00BA5A60"/>
    <w:rsid w:val="00BB3531"/>
    <w:rsid w:val="00BB45CB"/>
    <w:rsid w:val="00BB7C8C"/>
    <w:rsid w:val="00BC39AE"/>
    <w:rsid w:val="00BC5B9C"/>
    <w:rsid w:val="00BC5FF9"/>
    <w:rsid w:val="00BF21DF"/>
    <w:rsid w:val="00BF3E39"/>
    <w:rsid w:val="00BF6C74"/>
    <w:rsid w:val="00C0078B"/>
    <w:rsid w:val="00C05D9F"/>
    <w:rsid w:val="00C1444B"/>
    <w:rsid w:val="00C17DDB"/>
    <w:rsid w:val="00C45255"/>
    <w:rsid w:val="00C51451"/>
    <w:rsid w:val="00C81292"/>
    <w:rsid w:val="00C84EE5"/>
    <w:rsid w:val="00C87F23"/>
    <w:rsid w:val="00C90ED6"/>
    <w:rsid w:val="00C9163D"/>
    <w:rsid w:val="00C94A10"/>
    <w:rsid w:val="00C96458"/>
    <w:rsid w:val="00CA4D3A"/>
    <w:rsid w:val="00CA4DA9"/>
    <w:rsid w:val="00CA5841"/>
    <w:rsid w:val="00CA7E0D"/>
    <w:rsid w:val="00CB0E6B"/>
    <w:rsid w:val="00CC764D"/>
    <w:rsid w:val="00CD6990"/>
    <w:rsid w:val="00CE38BE"/>
    <w:rsid w:val="00CE6807"/>
    <w:rsid w:val="00CE6EB8"/>
    <w:rsid w:val="00CF7674"/>
    <w:rsid w:val="00D132DA"/>
    <w:rsid w:val="00D24595"/>
    <w:rsid w:val="00D258B8"/>
    <w:rsid w:val="00D25D84"/>
    <w:rsid w:val="00D26E48"/>
    <w:rsid w:val="00D34F08"/>
    <w:rsid w:val="00D41503"/>
    <w:rsid w:val="00D42345"/>
    <w:rsid w:val="00D45A01"/>
    <w:rsid w:val="00D54EFC"/>
    <w:rsid w:val="00D55785"/>
    <w:rsid w:val="00D572F6"/>
    <w:rsid w:val="00D60F40"/>
    <w:rsid w:val="00D64BA8"/>
    <w:rsid w:val="00D713DC"/>
    <w:rsid w:val="00D7168A"/>
    <w:rsid w:val="00D74461"/>
    <w:rsid w:val="00D87080"/>
    <w:rsid w:val="00DA2383"/>
    <w:rsid w:val="00DA7330"/>
    <w:rsid w:val="00DB4770"/>
    <w:rsid w:val="00DB6CBF"/>
    <w:rsid w:val="00DC499F"/>
    <w:rsid w:val="00DC594E"/>
    <w:rsid w:val="00DE2218"/>
    <w:rsid w:val="00DE7DF5"/>
    <w:rsid w:val="00E01426"/>
    <w:rsid w:val="00E02A10"/>
    <w:rsid w:val="00E07F66"/>
    <w:rsid w:val="00E11F44"/>
    <w:rsid w:val="00E20917"/>
    <w:rsid w:val="00E24001"/>
    <w:rsid w:val="00E263D4"/>
    <w:rsid w:val="00E333F3"/>
    <w:rsid w:val="00E33B6A"/>
    <w:rsid w:val="00E34127"/>
    <w:rsid w:val="00E343B1"/>
    <w:rsid w:val="00E34CEC"/>
    <w:rsid w:val="00E371EA"/>
    <w:rsid w:val="00E37B54"/>
    <w:rsid w:val="00E40307"/>
    <w:rsid w:val="00E42467"/>
    <w:rsid w:val="00E56DBB"/>
    <w:rsid w:val="00E57231"/>
    <w:rsid w:val="00E805CD"/>
    <w:rsid w:val="00E85420"/>
    <w:rsid w:val="00EA23FA"/>
    <w:rsid w:val="00EA4379"/>
    <w:rsid w:val="00EB0841"/>
    <w:rsid w:val="00EB383D"/>
    <w:rsid w:val="00EC6188"/>
    <w:rsid w:val="00EE1810"/>
    <w:rsid w:val="00EE565B"/>
    <w:rsid w:val="00EE7097"/>
    <w:rsid w:val="00EF229F"/>
    <w:rsid w:val="00EF2460"/>
    <w:rsid w:val="00F1076C"/>
    <w:rsid w:val="00F12F90"/>
    <w:rsid w:val="00F254D7"/>
    <w:rsid w:val="00F2582A"/>
    <w:rsid w:val="00F31C10"/>
    <w:rsid w:val="00F43ED8"/>
    <w:rsid w:val="00F47896"/>
    <w:rsid w:val="00F479A1"/>
    <w:rsid w:val="00F54A14"/>
    <w:rsid w:val="00F555A4"/>
    <w:rsid w:val="00F73280"/>
    <w:rsid w:val="00F95B15"/>
    <w:rsid w:val="00FA1E5C"/>
    <w:rsid w:val="00FA6227"/>
    <w:rsid w:val="00FA62CB"/>
    <w:rsid w:val="00FA7943"/>
    <w:rsid w:val="00FB67EB"/>
    <w:rsid w:val="00FC2859"/>
    <w:rsid w:val="00FC3291"/>
    <w:rsid w:val="00FC7FAE"/>
    <w:rsid w:val="00FD1D43"/>
    <w:rsid w:val="00FF1936"/>
    <w:rsid w:val="00FF1F6D"/>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61CA599"/>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CoverSheet">
    <w:name w:val="Cover Sheet"/>
    <w:basedOn w:val="Normal"/>
    <w:rsid w:val="00851721"/>
    <w:pPr>
      <w:spacing w:before="120"/>
    </w:pPr>
    <w:rPr>
      <w:rFonts w:ascii="Arial" w:eastAsia="Times New Roman" w:hAnsi="Arial" w:cs="Arial"/>
      <w:szCs w:val="20"/>
    </w:rPr>
  </w:style>
  <w:style w:type="paragraph" w:customStyle="1" w:styleId="StyleOutlinenumberedArialOutlinenumberedArial11Outli">
    <w:name w:val="Style Outline numbered Arial + Outline numbered Arial 1...1 + Outli..."/>
    <w:basedOn w:val="Normal"/>
    <w:rsid w:val="00DB6CBF"/>
    <w:pPr>
      <w:widowControl w:val="0"/>
      <w:autoSpaceDE w:val="0"/>
      <w:autoSpaceDN w:val="0"/>
      <w:adjustRightInd w:val="0"/>
    </w:pPr>
    <w:rPr>
      <w:rFonts w:ascii="Arial" w:eastAsia="Times New Roman" w:hAnsi="Arial" w:cs="Arial"/>
      <w:b/>
      <w:bCs/>
      <w:szCs w:val="24"/>
    </w:rPr>
  </w:style>
  <w:style w:type="numbering" w:customStyle="1" w:styleId="OutlinenumberedArialOutlinenumberedArial11">
    <w:name w:val="Outline numbered Arial + Outline numbered Arial 1...1"/>
    <w:basedOn w:val="NoList"/>
    <w:rsid w:val="00E20917"/>
    <w:pPr>
      <w:numPr>
        <w:numId w:val="4"/>
      </w:numPr>
    </w:pPr>
  </w:style>
  <w:style w:type="paragraph" w:styleId="BodyText">
    <w:name w:val="Body Text"/>
    <w:basedOn w:val="Normal"/>
    <w:link w:val="BodyTextChar"/>
    <w:uiPriority w:val="1"/>
    <w:qFormat/>
    <w:rsid w:val="00170372"/>
    <w:pPr>
      <w:widowControl w:val="0"/>
      <w:autoSpaceDE w:val="0"/>
      <w:autoSpaceDN w:val="0"/>
    </w:pPr>
    <w:rPr>
      <w:rFonts w:eastAsia="Verdana" w:cs="Verdana"/>
      <w:szCs w:val="24"/>
      <w:lang w:eastAsia="en-GB" w:bidi="en-GB"/>
    </w:rPr>
  </w:style>
  <w:style w:type="character" w:customStyle="1" w:styleId="BodyTextChar">
    <w:name w:val="Body Text Char"/>
    <w:basedOn w:val="DefaultParagraphFont"/>
    <w:link w:val="BodyText"/>
    <w:uiPriority w:val="1"/>
    <w:rsid w:val="00170372"/>
    <w:rPr>
      <w:rFonts w:ascii="Verdana" w:eastAsia="Verdana" w:hAnsi="Verdana" w:cs="Verdana"/>
      <w:sz w:val="24"/>
      <w:szCs w:val="24"/>
      <w:lang w:eastAsia="en-GB" w:bidi="en-GB"/>
    </w:rPr>
  </w:style>
  <w:style w:type="paragraph" w:customStyle="1" w:styleId="TableParagraph">
    <w:name w:val="Table Paragraph"/>
    <w:basedOn w:val="Normal"/>
    <w:uiPriority w:val="1"/>
    <w:qFormat/>
    <w:rsid w:val="00170372"/>
    <w:pPr>
      <w:widowControl w:val="0"/>
      <w:autoSpaceDE w:val="0"/>
      <w:autoSpaceDN w:val="0"/>
    </w:pPr>
    <w:rPr>
      <w:rFonts w:eastAsia="Verdana" w:cs="Verdana"/>
      <w:sz w:val="22"/>
      <w:lang w:eastAsia="en-GB" w:bidi="en-GB"/>
    </w:rPr>
  </w:style>
  <w:style w:type="character" w:customStyle="1" w:styleId="ListParagraphChar">
    <w:name w:val="List Paragraph Char"/>
    <w:basedOn w:val="DefaultParagraphFont"/>
    <w:link w:val="ListParagraph"/>
    <w:uiPriority w:val="34"/>
    <w:locked/>
    <w:rsid w:val="00170372"/>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3064">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630016453">
      <w:bodyDiv w:val="1"/>
      <w:marLeft w:val="0"/>
      <w:marRight w:val="0"/>
      <w:marTop w:val="0"/>
      <w:marBottom w:val="0"/>
      <w:divBdr>
        <w:top w:val="none" w:sz="0" w:space="0" w:color="auto"/>
        <w:left w:val="none" w:sz="0" w:space="0" w:color="auto"/>
        <w:bottom w:val="none" w:sz="0" w:space="0" w:color="auto"/>
        <w:right w:val="none" w:sz="0" w:space="0" w:color="auto"/>
      </w:divBdr>
    </w:div>
    <w:div w:id="18554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owis.wales.nhs.uk/sitesplus/888/page/645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les.nhs.uk/governance-emanual/how-the-health-and-care-standards-a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3D3909"/>
    <w:rsid w:val="003F4544"/>
    <w:rsid w:val="0045397F"/>
    <w:rsid w:val="004838BF"/>
    <w:rsid w:val="005A164A"/>
    <w:rsid w:val="005A5737"/>
    <w:rsid w:val="00760EAF"/>
    <w:rsid w:val="00884126"/>
    <w:rsid w:val="00895D61"/>
    <w:rsid w:val="008A7CA3"/>
    <w:rsid w:val="00942F3C"/>
    <w:rsid w:val="0095505F"/>
    <w:rsid w:val="0098440F"/>
    <w:rsid w:val="00A12BED"/>
    <w:rsid w:val="00AA293F"/>
    <w:rsid w:val="00B518DF"/>
    <w:rsid w:val="00B661DB"/>
    <w:rsid w:val="00CF449E"/>
    <w:rsid w:val="00E861E6"/>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05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 w:type="paragraph" w:customStyle="1" w:styleId="D15E54ABA34E4E0F99D5B908B10F2AB7">
    <w:name w:val="D15E54ABA34E4E0F99D5B908B10F2AB7"/>
    <w:rsid w:val="0095505F"/>
    <w:pPr>
      <w:spacing w:after="160" w:line="259" w:lineRule="auto"/>
    </w:pPr>
  </w:style>
  <w:style w:type="paragraph" w:customStyle="1" w:styleId="B26E0693171846A09B7692244F099471">
    <w:name w:val="B26E0693171846A09B7692244F099471"/>
    <w:rsid w:val="0095505F"/>
    <w:pPr>
      <w:spacing w:after="160" w:line="259" w:lineRule="auto"/>
    </w:pPr>
  </w:style>
  <w:style w:type="paragraph" w:customStyle="1" w:styleId="CECF04A7E62240329DDF885426118D7C">
    <w:name w:val="CECF04A7E62240329DDF885426118D7C"/>
    <w:rsid w:val="0095505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5055D04C02241AF4759873DF8334B" ma:contentTypeVersion="29" ma:contentTypeDescription="Document with Enterprise Keyword column." ma:contentTypeScope="" ma:versionID="157275ac0c35055e6a3a4cb3467c48e6">
  <xsd:schema xmlns:xsd="http://www.w3.org/2001/XMLSchema" xmlns:xs="http://www.w3.org/2001/XMLSchema" xmlns:p="http://schemas.microsoft.com/office/2006/metadata/properties" xmlns:ns1="http://schemas.microsoft.com/sharepoint/v3" xmlns:ns2="fd053438-771b-42ba-9d81-01aaf027653a" xmlns:ns3="573deb0b-1af8-4c22-839e-5226f9086661" xmlns:ns4="http://schemas.microsoft.com/sharepoint/v4" targetNamespace="http://schemas.microsoft.com/office/2006/metadata/properties" ma:root="true" ma:fieldsID="887349ad8097a8f58d1bb95b9d8028a8" ns1:_="" ns2:_="" ns3:_="" ns4:_="">
    <xsd:import namespace="http://schemas.microsoft.com/sharepoint/v3"/>
    <xsd:import namespace="fd053438-771b-42ba-9d81-01aaf027653a"/>
    <xsd:import namespace="573deb0b-1af8-4c22-839e-5226f908666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3:Archived"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description="" ma:hidden="true" ma:internalName="EmailSender" ma:readOnly="false">
      <xsd:simpleType>
        <xsd:restriction base="dms:Note">
          <xsd:maxLength value="255"/>
        </xsd:restriction>
      </xsd:simpleType>
    </xsd:element>
    <xsd:element name="EmailTo" ma:index="12" nillable="true" ma:displayName="E-Mail To" ma:description="" ma:hidden="true" ma:internalName="EmailTo" ma:readOnly="false">
      <xsd:simpleType>
        <xsd:restriction base="dms:Note">
          <xsd:maxLength value="255"/>
        </xsd:restriction>
      </xsd:simpleType>
    </xsd:element>
    <xsd:element name="EmailCc" ma:index="13" nillable="true" ma:displayName="E-Mail Cc" ma:description="" ma:hidden="true" ma:internalName="EmailCc" ma:readOnly="false">
      <xsd:simpleType>
        <xsd:restriction base="dms:Note">
          <xsd:maxLength value="255"/>
        </xsd:restriction>
      </xsd:simpleType>
    </xsd:element>
    <xsd:element name="EmailFrom" ma:index="14" nillable="true" ma:displayName="E-Mail From" ma:description="" ma:hidden="true" ma:internalName="EmailFrom" ma:readOnly="false">
      <xsd:simpleType>
        <xsd:restriction base="dms:Text"/>
      </xsd:simpleType>
    </xsd:element>
    <xsd:element name="EmailSubject" ma:index="15"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53438-771b-42ba-9d81-01aaf027653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deb0b-1af8-4c22-839e-5226f9086661"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Enterprise Keywords" ma:readOnly="false" ma:fieldId="{23f27201-bee3-471e-b2e7-b64fd8b7ca38}" ma:taxonomyMulti="true" ma:sspId="64f761c4-cb64-4933-b1ae-cbeaa3c9865a"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3c2ea0b-a94f-4569-805f-1911d84595fa}" ma:internalName="TaxCatchAll" ma:showField="CatchAllData" ma:web="fd053438-771b-42ba-9d81-01aaf027653a">
      <xsd:complexType>
        <xsd:complexContent>
          <xsd:extension base="dms:MultiChoiceLookup">
            <xsd:sequence>
              <xsd:element name="Value" type="dms:Lookup" maxOccurs="unbounded" minOccurs="0" nillable="true"/>
            </xsd:sequence>
          </xsd:extension>
        </xsd:complexContent>
      </xsd:complexType>
    </xsd:element>
    <xsd:element name="Archived" ma:index="10" nillable="true" ma:displayName="Archived" ma:default="0" ma:internalName="Archiv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description="" ma:hidden="true" ma:internalName="EmailHead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TaxCatchAll xmlns="573deb0b-1af8-4c22-839e-5226f9086661">
      <Value>12</Value>
    </TaxCatchAll>
    <Archived xmlns="573deb0b-1af8-4c22-839e-5226f9086661">false</Archived>
    <EmailSubject xmlns="http://schemas.microsoft.com/sharepoint/v3" xsi:nil="true"/>
    <TaxKeywordTaxHTField xmlns="573deb0b-1af8-4c22-839e-5226f9086661">
      <Terms xmlns="http://schemas.microsoft.com/office/infopath/2007/PartnerControls">
        <TermInfo xmlns="http://schemas.microsoft.com/office/infopath/2007/PartnerControls">
          <TermName xmlns="http://schemas.microsoft.com/office/infopath/2007/PartnerControls">board committee</TermName>
          <TermId xmlns="http://schemas.microsoft.com/office/infopath/2007/PartnerControls">4c59d375-e8fe-4895-99f7-de1ea7bd2bf6</TermId>
        </TermInfo>
      </Terms>
    </TaxKeywordTaxHTField>
    <EmailCc xmlns="http://schemas.microsoft.com/sharepoint/v3" xsi:nil="true"/>
    <_dlc_DocId xmlns="fd053438-771b-42ba-9d81-01aaf027653a">KN3KN54Q7VUQ-4-10</_dlc_DocId>
    <_dlc_DocIdUrl xmlns="fd053438-771b-42ba-9d81-01aaf027653a">
      <Url>https://phwsharepoint.cymru.nhs.uk/corporate/governance/_layouts/15/DocIdRedir.aspx?ID=KN3KN54Q7VUQ-4-10</Url>
      <Description>KN3KN54Q7VUQ-4-10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5339A-CF00-4DA8-8650-353C7053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53438-771b-42ba-9d81-01aaf027653a"/>
    <ds:schemaRef ds:uri="573deb0b-1af8-4c22-839e-5226f90866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E4FD6-408B-48BD-A088-9C453C496D1C}">
  <ds:schemaRefs>
    <ds:schemaRef ds:uri="http://schemas.microsoft.com/office/infopath/2007/PartnerControls"/>
    <ds:schemaRef ds:uri="http://purl.org/dc/elements/1.1/"/>
    <ds:schemaRef ds:uri="http://schemas.microsoft.com/office/2006/metadata/properties"/>
    <ds:schemaRef ds:uri="573deb0b-1af8-4c22-839e-5226f9086661"/>
    <ds:schemaRef ds:uri="http://schemas.microsoft.com/sharepoint/v3"/>
    <ds:schemaRef ds:uri="http://schemas.microsoft.com/sharepoint/v4"/>
    <ds:schemaRef ds:uri="http://purl.org/dc/terms/"/>
    <ds:schemaRef ds:uri="http://schemas.openxmlformats.org/package/2006/metadata/core-properties"/>
    <ds:schemaRef ds:uri="fd053438-771b-42ba-9d81-01aaf027653a"/>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4.xml><?xml version="1.0" encoding="utf-8"?>
<ds:datastoreItem xmlns:ds="http://schemas.openxmlformats.org/officeDocument/2006/customXml" ds:itemID="{9752606F-CDE7-4DEF-90F7-815D06D30DF2}">
  <ds:schemaRefs>
    <ds:schemaRef ds:uri="http://schemas.microsoft.com/sharepoint/events"/>
  </ds:schemaRefs>
</ds:datastoreItem>
</file>

<file path=customXml/itemProps5.xml><?xml version="1.0" encoding="utf-8"?>
<ds:datastoreItem xmlns:ds="http://schemas.openxmlformats.org/officeDocument/2006/customXml" ds:itemID="{4F51E792-C1C0-40BA-80E8-9A2C6791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Liz Blayney (Public Health Wales - No. 2 Capital Quarter)</cp:lastModifiedBy>
  <cp:revision>6</cp:revision>
  <cp:lastPrinted>2017-10-16T08:46:00Z</cp:lastPrinted>
  <dcterms:created xsi:type="dcterms:W3CDTF">2022-05-12T12:03:00Z</dcterms:created>
  <dcterms:modified xsi:type="dcterms:W3CDTF">2022-05-16T14:41:00Z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0x0101002085055D04C02241AF4759873DF8334B</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