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7265F" w14:textId="4698850E" w:rsidR="00F554CE" w:rsidRDefault="00034EA4" w:rsidP="00BE0E8D">
      <w:pPr>
        <w:jc w:val="both"/>
        <w:rPr>
          <w:rFonts w:cstheme="minorHAnsi"/>
          <w:b/>
          <w:szCs w:val="24"/>
          <w:u w:val="single"/>
        </w:rPr>
      </w:pPr>
      <w:r>
        <w:rPr>
          <w:rFonts w:cstheme="minorHAnsi"/>
          <w:b/>
          <w:szCs w:val="24"/>
          <w:u w:val="single"/>
        </w:rPr>
        <w:t xml:space="preserve">Appendix </w:t>
      </w:r>
      <w:r w:rsidR="00853CF8">
        <w:rPr>
          <w:rFonts w:cstheme="minorHAnsi"/>
          <w:b/>
          <w:szCs w:val="24"/>
          <w:u w:val="single"/>
        </w:rPr>
        <w:t>1</w:t>
      </w:r>
      <w:r w:rsidR="00F554CE" w:rsidRPr="00F554CE">
        <w:rPr>
          <w:rFonts w:cstheme="minorHAnsi"/>
          <w:b/>
          <w:szCs w:val="24"/>
          <w:u w:val="single"/>
        </w:rPr>
        <w:t xml:space="preserve">: </w:t>
      </w:r>
      <w:r w:rsidR="00F554CE">
        <w:rPr>
          <w:rFonts w:cstheme="minorHAnsi"/>
          <w:b/>
          <w:szCs w:val="24"/>
          <w:u w:val="single"/>
        </w:rPr>
        <w:t>Strategic Capital</w:t>
      </w:r>
    </w:p>
    <w:p w14:paraId="49E7C7F4" w14:textId="77777777" w:rsidR="00BE0E8D" w:rsidRPr="00BE0E8D" w:rsidRDefault="00BE0E8D" w:rsidP="00BE0E8D">
      <w:pPr>
        <w:jc w:val="both"/>
        <w:rPr>
          <w:rFonts w:cstheme="minorHAnsi"/>
          <w:b/>
          <w:szCs w:val="24"/>
          <w:u w:val="single"/>
        </w:rPr>
      </w:pPr>
    </w:p>
    <w:p w14:paraId="5BEEB361" w14:textId="77777777" w:rsidR="00F554CE" w:rsidRPr="006B6F8A" w:rsidRDefault="00F554CE" w:rsidP="00F554CE">
      <w:pPr>
        <w:pStyle w:val="Quote"/>
        <w:tabs>
          <w:tab w:val="clear" w:pos="1361"/>
        </w:tabs>
        <w:spacing w:before="120" w:after="120"/>
        <w:rPr>
          <w:rFonts w:ascii="Calibri Light" w:hAnsi="Calibri Light"/>
          <w:b w:val="0"/>
          <w:color w:val="325083"/>
          <w:spacing w:val="0"/>
          <w:sz w:val="32"/>
        </w:rPr>
      </w:pPr>
      <w:r w:rsidRPr="006B6F8A">
        <w:rPr>
          <w:rFonts w:ascii="Calibri Light" w:hAnsi="Calibri Light"/>
          <w:b w:val="0"/>
          <w:color w:val="325083"/>
          <w:spacing w:val="0"/>
          <w:sz w:val="32"/>
        </w:rPr>
        <w:t>Replacement of Digital Mammography</w:t>
      </w:r>
    </w:p>
    <w:p w14:paraId="6F6484F9" w14:textId="77777777" w:rsidR="00F554CE" w:rsidRPr="00F037CD" w:rsidRDefault="00F554CE" w:rsidP="00F554CE">
      <w:pPr>
        <w:pStyle w:val="NormalText"/>
        <w:rPr>
          <w:rFonts w:ascii="Verdana" w:hAnsi="Verdana"/>
        </w:rPr>
      </w:pPr>
      <w:r w:rsidRPr="00F037CD">
        <w:rPr>
          <w:rFonts w:ascii="Verdana" w:hAnsi="Verdana"/>
        </w:rPr>
        <w:t xml:space="preserve">Between 2011 and 2014, the Trust received approximately £10m in strategic capital funding to enable the Breast Test Wales programme to move into digital mammography.  The funding provided new mammography equipment, necessary enabling works, conversion of mobile units to include Disability Discrimination Act compliance and a Picture Archive Communication System to enable reading, reporting and transfer of images.  </w:t>
      </w:r>
    </w:p>
    <w:p w14:paraId="7E4E4482" w14:textId="77777777" w:rsidR="00F554CE" w:rsidRPr="00E43B42" w:rsidRDefault="00F87504" w:rsidP="00F554CE">
      <w:pPr>
        <w:pStyle w:val="NormalText"/>
      </w:pPr>
      <w:r>
        <w:rPr>
          <w:rFonts w:ascii="Verdana" w:hAnsi="Verdana"/>
        </w:rPr>
        <w:t>T</w:t>
      </w:r>
      <w:r w:rsidR="00F554CE" w:rsidRPr="00F037CD">
        <w:rPr>
          <w:rFonts w:ascii="Verdana" w:hAnsi="Verdana"/>
        </w:rPr>
        <w:t xml:space="preserve">he Trust received strategic capital funding </w:t>
      </w:r>
      <w:r>
        <w:rPr>
          <w:rFonts w:ascii="Verdana" w:hAnsi="Verdana"/>
        </w:rPr>
        <w:t xml:space="preserve">of £4.770m in </w:t>
      </w:r>
      <w:r w:rsidR="00F0492F">
        <w:rPr>
          <w:rFonts w:ascii="Verdana" w:hAnsi="Verdana"/>
        </w:rPr>
        <w:t>20</w:t>
      </w:r>
      <w:r>
        <w:rPr>
          <w:rFonts w:ascii="Verdana" w:hAnsi="Verdana"/>
        </w:rPr>
        <w:t xml:space="preserve">21/22 to start the replacement programme with a further £3.07m of approved Strategic capital in </w:t>
      </w:r>
      <w:r w:rsidR="00F0492F">
        <w:rPr>
          <w:rFonts w:ascii="Verdana" w:hAnsi="Verdana"/>
        </w:rPr>
        <w:t>20</w:t>
      </w:r>
      <w:r>
        <w:rPr>
          <w:rFonts w:ascii="Verdana" w:hAnsi="Verdana"/>
        </w:rPr>
        <w:t>22/23 to fully replace the equipment with a total value of £7.845m.</w:t>
      </w:r>
    </w:p>
    <w:p w14:paraId="1BA71967" w14:textId="77777777" w:rsidR="00F554CE" w:rsidRPr="00F0492F" w:rsidRDefault="00F554CE" w:rsidP="00F554CE">
      <w:pPr>
        <w:pStyle w:val="Quote"/>
        <w:tabs>
          <w:tab w:val="clear" w:pos="1361"/>
        </w:tabs>
        <w:spacing w:before="120" w:after="120"/>
        <w:ind w:left="0" w:firstLine="0"/>
        <w:rPr>
          <w:rFonts w:ascii="Calibri Light" w:hAnsi="Calibri Light"/>
          <w:b w:val="0"/>
          <w:color w:val="325083"/>
          <w:spacing w:val="0"/>
          <w:sz w:val="32"/>
        </w:rPr>
      </w:pPr>
      <w:r w:rsidRPr="00F0492F">
        <w:rPr>
          <w:rFonts w:ascii="Calibri Light" w:hAnsi="Calibri Light"/>
          <w:b w:val="0"/>
          <w:color w:val="325083"/>
          <w:spacing w:val="0"/>
          <w:sz w:val="32"/>
        </w:rPr>
        <w:t>Colposcopy &amp; Colonoscopy Imaging</w:t>
      </w:r>
    </w:p>
    <w:p w14:paraId="748646BA" w14:textId="77777777" w:rsidR="00F554CE" w:rsidRPr="00F0492F" w:rsidRDefault="00F554CE" w:rsidP="00F554CE">
      <w:pPr>
        <w:pStyle w:val="NormalText"/>
        <w:rPr>
          <w:rFonts w:ascii="Verdana" w:hAnsi="Verdana"/>
        </w:rPr>
      </w:pPr>
      <w:r w:rsidRPr="00F0492F">
        <w:rPr>
          <w:rFonts w:ascii="Verdana" w:hAnsi="Verdana"/>
        </w:rPr>
        <w:t xml:space="preserve">Cervical cancer is the second most common cancer in women under the age of 40 and the Cervical Screening Wales programme reports that regular screening can cut the risk of getting cancer by 75%.  In 2014/15 Public Heath Wales funded the installation of Colposcopy and Colonoscopy Imaging facilities within Heath Boards to support the viewing of samples to detect abnormal cells more easily and quickly. </w:t>
      </w:r>
    </w:p>
    <w:p w14:paraId="5E544441" w14:textId="77777777" w:rsidR="001770D1" w:rsidRPr="00F0492F" w:rsidRDefault="00F554CE" w:rsidP="00F554CE">
      <w:pPr>
        <w:pStyle w:val="NormalText"/>
        <w:rPr>
          <w:rFonts w:ascii="Verdana" w:hAnsi="Verdana"/>
        </w:rPr>
      </w:pPr>
      <w:r w:rsidRPr="00F0492F">
        <w:rPr>
          <w:rFonts w:ascii="Verdana" w:hAnsi="Verdana"/>
        </w:rPr>
        <w:t>These Imaging facilities are due for replacement in 2022/23</w:t>
      </w:r>
      <w:r w:rsidR="00F0492F">
        <w:rPr>
          <w:rFonts w:ascii="Verdana" w:hAnsi="Verdana"/>
        </w:rPr>
        <w:t xml:space="preserve"> &amp; 2023/24</w:t>
      </w:r>
      <w:r w:rsidRPr="00F0492F">
        <w:rPr>
          <w:rFonts w:ascii="Verdana" w:hAnsi="Verdana"/>
        </w:rPr>
        <w:t>.</w:t>
      </w:r>
    </w:p>
    <w:p w14:paraId="61CB6706" w14:textId="77777777" w:rsidR="002A3B20" w:rsidRPr="001770D1" w:rsidRDefault="00FC1A72" w:rsidP="00F554CE">
      <w:pPr>
        <w:pStyle w:val="NormalText"/>
        <w:rPr>
          <w:rFonts w:ascii="Calibri Light" w:eastAsiaTheme="minorEastAsia" w:hAnsi="Calibri Light"/>
          <w:iCs/>
          <w:color w:val="325083"/>
          <w:kern w:val="28"/>
          <w:sz w:val="32"/>
          <w:szCs w:val="24"/>
          <w:lang w:val="en-US" w:bidi="en-US"/>
        </w:rPr>
      </w:pPr>
      <w:r w:rsidRPr="001770D1">
        <w:rPr>
          <w:rFonts w:ascii="Calibri Light" w:eastAsiaTheme="minorEastAsia" w:hAnsi="Calibri Light"/>
          <w:iCs/>
          <w:color w:val="325083"/>
          <w:kern w:val="28"/>
          <w:sz w:val="32"/>
          <w:szCs w:val="24"/>
          <w:lang w:val="en-US" w:bidi="en-US"/>
        </w:rPr>
        <w:t>DESW Camera</w:t>
      </w:r>
      <w:r w:rsidR="001770D1" w:rsidRPr="001770D1">
        <w:rPr>
          <w:rFonts w:ascii="Calibri Light" w:eastAsiaTheme="minorEastAsia" w:hAnsi="Calibri Light"/>
          <w:iCs/>
          <w:color w:val="325083"/>
          <w:kern w:val="28"/>
          <w:sz w:val="32"/>
          <w:szCs w:val="24"/>
          <w:lang w:val="en-US" w:bidi="en-US"/>
        </w:rPr>
        <w:t xml:space="preserve"> &amp; Van</w:t>
      </w:r>
      <w:r w:rsidRPr="001770D1">
        <w:rPr>
          <w:rFonts w:ascii="Calibri Light" w:eastAsiaTheme="minorEastAsia" w:hAnsi="Calibri Light"/>
          <w:iCs/>
          <w:color w:val="325083"/>
          <w:kern w:val="28"/>
          <w:sz w:val="32"/>
          <w:szCs w:val="24"/>
          <w:lang w:val="en-US" w:bidi="en-US"/>
        </w:rPr>
        <w:t xml:space="preserve"> Replac</w:t>
      </w:r>
      <w:r w:rsidR="001770D1" w:rsidRPr="001770D1">
        <w:rPr>
          <w:rFonts w:ascii="Calibri Light" w:eastAsiaTheme="minorEastAsia" w:hAnsi="Calibri Light"/>
          <w:iCs/>
          <w:color w:val="325083"/>
          <w:kern w:val="28"/>
          <w:sz w:val="32"/>
          <w:szCs w:val="24"/>
          <w:lang w:val="en-US" w:bidi="en-US"/>
        </w:rPr>
        <w:t>e</w:t>
      </w:r>
      <w:r w:rsidRPr="001770D1">
        <w:rPr>
          <w:rFonts w:ascii="Calibri Light" w:eastAsiaTheme="minorEastAsia" w:hAnsi="Calibri Light"/>
          <w:iCs/>
          <w:color w:val="325083"/>
          <w:kern w:val="28"/>
          <w:sz w:val="32"/>
          <w:szCs w:val="24"/>
          <w:lang w:val="en-US" w:bidi="en-US"/>
        </w:rPr>
        <w:t>ment</w:t>
      </w:r>
    </w:p>
    <w:p w14:paraId="533C4338" w14:textId="77777777" w:rsidR="001770D1" w:rsidRPr="001770D1" w:rsidRDefault="001770D1" w:rsidP="001770D1">
      <w:pPr>
        <w:jc w:val="both"/>
        <w:rPr>
          <w:color w:val="404040" w:themeColor="text1" w:themeTint="BF"/>
        </w:rPr>
      </w:pPr>
      <w:r w:rsidRPr="001770D1">
        <w:rPr>
          <w:color w:val="404040" w:themeColor="text1" w:themeTint="BF"/>
        </w:rPr>
        <w:t xml:space="preserve">Utilisation of fundus camera equipment and the van fleet are both vital to service delivery and continuity of the DESW programme.  The potential impact of clinic cancellation/capacity reduction due to lack of equipment would </w:t>
      </w:r>
      <w:r>
        <w:rPr>
          <w:color w:val="404040" w:themeColor="text1" w:themeTint="BF"/>
        </w:rPr>
        <w:t xml:space="preserve">lead to </w:t>
      </w:r>
      <w:r w:rsidRPr="001770D1">
        <w:rPr>
          <w:color w:val="404040" w:themeColor="text1" w:themeTint="BF"/>
        </w:rPr>
        <w:t xml:space="preserve">a further extension of waiting times for participants between screening appointments, possibly leading to harm (sight loss).  This is of particular concern </w:t>
      </w:r>
      <w:proofErr w:type="gramStart"/>
      <w:r w:rsidRPr="001770D1">
        <w:rPr>
          <w:color w:val="404040" w:themeColor="text1" w:themeTint="BF"/>
        </w:rPr>
        <w:t>as a result of</w:t>
      </w:r>
      <w:proofErr w:type="gramEnd"/>
      <w:r w:rsidRPr="001770D1">
        <w:rPr>
          <w:color w:val="404040" w:themeColor="text1" w:themeTint="BF"/>
        </w:rPr>
        <w:t xml:space="preserve"> already extend</w:t>
      </w:r>
      <w:r>
        <w:rPr>
          <w:color w:val="404040" w:themeColor="text1" w:themeTint="BF"/>
        </w:rPr>
        <w:t>ed recall intervals due to</w:t>
      </w:r>
      <w:r w:rsidRPr="001770D1">
        <w:rPr>
          <w:color w:val="404040" w:themeColor="text1" w:themeTint="BF"/>
        </w:rPr>
        <w:t xml:space="preserve"> the Covid pandemic.  </w:t>
      </w:r>
    </w:p>
    <w:p w14:paraId="49EBA6B7" w14:textId="77777777" w:rsidR="001770D1" w:rsidRPr="001770D1" w:rsidRDefault="001770D1" w:rsidP="001770D1">
      <w:pPr>
        <w:spacing w:after="60"/>
        <w:jc w:val="both"/>
        <w:rPr>
          <w:color w:val="404040" w:themeColor="text1" w:themeTint="BF"/>
        </w:rPr>
      </w:pPr>
    </w:p>
    <w:p w14:paraId="70679F7B" w14:textId="77777777" w:rsidR="001770D1" w:rsidRPr="001770D1" w:rsidRDefault="001770D1" w:rsidP="001770D1">
      <w:pPr>
        <w:spacing w:after="60"/>
        <w:jc w:val="both"/>
        <w:rPr>
          <w:color w:val="404040" w:themeColor="text1" w:themeTint="BF"/>
        </w:rPr>
      </w:pPr>
      <w:r w:rsidRPr="001770D1">
        <w:rPr>
          <w:color w:val="404040" w:themeColor="text1" w:themeTint="BF"/>
        </w:rPr>
        <w:t xml:space="preserve">Due to the current age of our existing cameras (5+ years), DESW will need to embark on a life extension / replacement programme of the current equipment to ensure that the service is able to continue to deliver the service, assuring clinical and quality standards and avoid the need to cancel clinics in the event of any camera </w:t>
      </w:r>
      <w:r w:rsidRPr="001770D1">
        <w:rPr>
          <w:color w:val="404040" w:themeColor="text1" w:themeTint="BF"/>
        </w:rPr>
        <w:lastRenderedPageBreak/>
        <w:t xml:space="preserve">failure.  Deployment of new cameras and spare camera backs would be implemented in all 3 regions to minimise down-time by reducing the travel period for camera investigation and swap in the event of equipment failure.  The availability of up to date and spare equipment further reduces lost clinic time by enabling a robust schedule of annual service and cleaning, supporting the delivery of a technical failure rate below NSC guidelines and minimising the need for participant recall due to insufficient quality images.  </w:t>
      </w:r>
    </w:p>
    <w:p w14:paraId="525E2C31" w14:textId="77777777" w:rsidR="001770D1" w:rsidRPr="001770D1" w:rsidRDefault="001770D1" w:rsidP="001770D1">
      <w:pPr>
        <w:spacing w:after="60"/>
        <w:jc w:val="both"/>
        <w:rPr>
          <w:color w:val="404040" w:themeColor="text1" w:themeTint="BF"/>
        </w:rPr>
      </w:pPr>
    </w:p>
    <w:p w14:paraId="01D22D0B" w14:textId="77777777" w:rsidR="001770D1" w:rsidRPr="001770D1" w:rsidRDefault="001770D1" w:rsidP="001770D1">
      <w:pPr>
        <w:jc w:val="both"/>
        <w:rPr>
          <w:color w:val="404040" w:themeColor="text1" w:themeTint="BF"/>
        </w:rPr>
      </w:pPr>
      <w:r w:rsidRPr="001770D1">
        <w:rPr>
          <w:color w:val="404040" w:themeColor="text1" w:themeTint="BF"/>
        </w:rPr>
        <w:t>The DESW van fleet further supports the provision of the screening programme across all regions of Wales, enabling an equitable service delivery.  Again, due to the age of our existing fleet (</w:t>
      </w:r>
      <w:proofErr w:type="gramStart"/>
      <w:r w:rsidRPr="001770D1">
        <w:rPr>
          <w:color w:val="404040" w:themeColor="text1" w:themeTint="BF"/>
        </w:rPr>
        <w:t>a number of</w:t>
      </w:r>
      <w:proofErr w:type="gramEnd"/>
      <w:r w:rsidRPr="001770D1">
        <w:rPr>
          <w:color w:val="404040" w:themeColor="text1" w:themeTint="BF"/>
        </w:rPr>
        <w:t xml:space="preserve"> vans are 8+ years), vehicle replacement enables DESW to meet our legislative requirement for the health and safety of our workforce.  The current cost for the vehicles to remain on the road is beginning to increase and a need for the programme to comply with future emission levels all mean that future fleet replacement will need to be a consideration within the next five years. </w:t>
      </w:r>
    </w:p>
    <w:p w14:paraId="7716BF48" w14:textId="77777777" w:rsidR="00FC1A72" w:rsidRPr="001770D1" w:rsidRDefault="00FC1A72" w:rsidP="00F554CE">
      <w:pPr>
        <w:pStyle w:val="NormalText"/>
        <w:rPr>
          <w:rFonts w:ascii="Verdana" w:hAnsi="Verdana"/>
        </w:rPr>
      </w:pPr>
    </w:p>
    <w:p w14:paraId="3EB52784" w14:textId="77777777" w:rsidR="00FC1A72" w:rsidRDefault="00D2596A" w:rsidP="00F554CE">
      <w:pPr>
        <w:pStyle w:val="NormalText"/>
        <w:rPr>
          <w:rFonts w:ascii="Calibri Light" w:hAnsi="Calibri Light"/>
          <w:color w:val="325083"/>
          <w:sz w:val="32"/>
        </w:rPr>
      </w:pPr>
      <w:r>
        <w:rPr>
          <w:rFonts w:ascii="Calibri Light" w:hAnsi="Calibri Light"/>
          <w:color w:val="325083"/>
          <w:sz w:val="32"/>
        </w:rPr>
        <w:t>Equipment Replacement</w:t>
      </w:r>
    </w:p>
    <w:p w14:paraId="46B9D52F" w14:textId="77777777" w:rsidR="00D2596A" w:rsidRPr="002A1AE3" w:rsidRDefault="002A1AE3" w:rsidP="00F554CE">
      <w:pPr>
        <w:pStyle w:val="NormalText"/>
        <w:rPr>
          <w:rFonts w:ascii="Verdana" w:hAnsi="Verdana"/>
        </w:rPr>
      </w:pPr>
      <w:r>
        <w:rPr>
          <w:rFonts w:ascii="Verdana" w:hAnsi="Verdana"/>
        </w:rPr>
        <w:t>Various Screening and Microbiology equipment that falls due for replacement based on a review of our asset register.</w:t>
      </w:r>
    </w:p>
    <w:p w14:paraId="62344AEF" w14:textId="77777777" w:rsidR="00D2596A" w:rsidRDefault="00D2596A" w:rsidP="00F554CE">
      <w:pPr>
        <w:pStyle w:val="NormalText"/>
        <w:rPr>
          <w:rFonts w:ascii="Calibri Light" w:hAnsi="Calibri Light"/>
          <w:color w:val="325083"/>
          <w:sz w:val="32"/>
        </w:rPr>
      </w:pPr>
    </w:p>
    <w:p w14:paraId="0B2B8B05" w14:textId="77777777" w:rsidR="00D2596A" w:rsidRDefault="00D2596A" w:rsidP="00F554CE">
      <w:pPr>
        <w:pStyle w:val="NormalText"/>
        <w:rPr>
          <w:rFonts w:ascii="Verdana" w:hAnsi="Verdana"/>
          <w:highlight w:val="magenta"/>
        </w:rPr>
      </w:pPr>
      <w:r>
        <w:rPr>
          <w:rFonts w:ascii="Calibri Light" w:hAnsi="Calibri Light"/>
          <w:color w:val="325083"/>
          <w:sz w:val="32"/>
        </w:rPr>
        <w:t>10-year Infrastructure Plan – Estates &amp; Digital</w:t>
      </w:r>
    </w:p>
    <w:p w14:paraId="2080EA47" w14:textId="77777777" w:rsidR="00FC1A72" w:rsidRDefault="00FC1A72" w:rsidP="00F554CE">
      <w:pPr>
        <w:pStyle w:val="NormalText"/>
        <w:rPr>
          <w:rFonts w:ascii="Verdana" w:hAnsi="Verdana"/>
          <w:highlight w:val="magenta"/>
        </w:rPr>
      </w:pPr>
    </w:p>
    <w:p w14:paraId="0CA866C2" w14:textId="77777777" w:rsidR="00792743" w:rsidRDefault="00792743"/>
    <w:p w14:paraId="337AE676" w14:textId="77777777" w:rsidR="00DC5D7E" w:rsidRDefault="00DC5D7E"/>
    <w:p w14:paraId="0CE8095F" w14:textId="77777777" w:rsidR="00DC5D7E" w:rsidRDefault="00DC5D7E"/>
    <w:p w14:paraId="3CBC4672" w14:textId="77777777" w:rsidR="00DC5D7E" w:rsidRDefault="00DC5D7E"/>
    <w:p w14:paraId="1DE76174" w14:textId="77777777" w:rsidR="00DC5D7E" w:rsidRDefault="00DC5D7E"/>
    <w:p w14:paraId="5092510B" w14:textId="77777777" w:rsidR="00DC5D7E" w:rsidRDefault="00DC5D7E"/>
    <w:p w14:paraId="183BEBCA" w14:textId="77777777" w:rsidR="00DC5D7E" w:rsidRDefault="00DC5D7E"/>
    <w:p w14:paraId="4DD16139" w14:textId="77777777" w:rsidR="00DC5D7E" w:rsidRDefault="00DC5D7E"/>
    <w:p w14:paraId="748BB46D" w14:textId="77777777" w:rsidR="00DC5D7E" w:rsidRDefault="00DC5D7E">
      <w:r w:rsidRPr="00DC5D7E">
        <w:rPr>
          <w:noProof/>
        </w:rPr>
        <w:lastRenderedPageBreak/>
        <w:drawing>
          <wp:inline distT="0" distB="0" distL="0" distR="0" wp14:anchorId="71ADD071" wp14:editId="34226494">
            <wp:extent cx="8863330" cy="466546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63330" cy="4665468"/>
                    </a:xfrm>
                    <a:prstGeom prst="rect">
                      <a:avLst/>
                    </a:prstGeom>
                    <a:noFill/>
                    <a:ln>
                      <a:noFill/>
                    </a:ln>
                  </pic:spPr>
                </pic:pic>
              </a:graphicData>
            </a:graphic>
          </wp:inline>
        </w:drawing>
      </w:r>
    </w:p>
    <w:p w14:paraId="2E95A8F1" w14:textId="77777777" w:rsidR="00DC5D7E" w:rsidRDefault="00DC5D7E"/>
    <w:p w14:paraId="3E7EFC65" w14:textId="77777777" w:rsidR="00DC5D7E" w:rsidRDefault="00DC5D7E"/>
    <w:p w14:paraId="28A5762D" w14:textId="77777777" w:rsidR="00DC5D7E" w:rsidRDefault="00DC5D7E"/>
    <w:p w14:paraId="6EB35AC3" w14:textId="77777777" w:rsidR="00DC5D7E" w:rsidRDefault="00DC5D7E"/>
    <w:sectPr w:rsidR="00DC5D7E" w:rsidSect="00DC5D7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94CDB" w14:textId="77777777" w:rsidR="00DC5D7E" w:rsidRDefault="00DC5D7E" w:rsidP="00DC5D7E">
      <w:r>
        <w:separator/>
      </w:r>
    </w:p>
  </w:endnote>
  <w:endnote w:type="continuationSeparator" w:id="0">
    <w:p w14:paraId="68D4D423" w14:textId="77777777" w:rsidR="00DC5D7E" w:rsidRDefault="00DC5D7E" w:rsidP="00DC5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96067" w14:textId="77777777" w:rsidR="00DC5D7E" w:rsidRDefault="00DC5D7E" w:rsidP="00DC5D7E">
      <w:r>
        <w:separator/>
      </w:r>
    </w:p>
  </w:footnote>
  <w:footnote w:type="continuationSeparator" w:id="0">
    <w:p w14:paraId="14FE6194" w14:textId="77777777" w:rsidR="00DC5D7E" w:rsidRDefault="00DC5D7E" w:rsidP="00DC5D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4CE"/>
    <w:rsid w:val="00034EA4"/>
    <w:rsid w:val="00137F52"/>
    <w:rsid w:val="001770D1"/>
    <w:rsid w:val="002A1AE3"/>
    <w:rsid w:val="002A3B20"/>
    <w:rsid w:val="00792743"/>
    <w:rsid w:val="00853CF8"/>
    <w:rsid w:val="00A01A0E"/>
    <w:rsid w:val="00BE0E8D"/>
    <w:rsid w:val="00D2596A"/>
    <w:rsid w:val="00DC5D7E"/>
    <w:rsid w:val="00E12F6C"/>
    <w:rsid w:val="00F0492F"/>
    <w:rsid w:val="00F554CE"/>
    <w:rsid w:val="00F87504"/>
    <w:rsid w:val="00FC1A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281B6"/>
  <w15:chartTrackingRefBased/>
  <w15:docId w15:val="{E002DA55-80D2-41CD-91FB-19A25E34C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4CE"/>
    <w:pPr>
      <w:spacing w:after="0" w:line="240" w:lineRule="auto"/>
    </w:pPr>
    <w:rPr>
      <w:rFonts w:ascii="Verdana" w:hAnsi="Verdan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554CE"/>
    <w:pPr>
      <w:spacing w:before="120" w:after="120" w:line="259" w:lineRule="auto"/>
      <w:jc w:val="both"/>
    </w:pPr>
    <w:rPr>
      <w:rFonts w:asciiTheme="majorHAnsi" w:hAnsiTheme="majorHAnsi"/>
      <w:color w:val="404040" w:themeColor="text1" w:themeTint="BF"/>
    </w:rPr>
  </w:style>
  <w:style w:type="character" w:customStyle="1" w:styleId="NormalTextChar">
    <w:name w:val="Normal Text Char"/>
    <w:basedOn w:val="DefaultParagraphFont"/>
    <w:link w:val="NormalText"/>
    <w:rsid w:val="00F554CE"/>
    <w:rPr>
      <w:rFonts w:asciiTheme="majorHAnsi" w:hAnsiTheme="majorHAnsi"/>
      <w:color w:val="404040" w:themeColor="text1" w:themeTint="BF"/>
      <w:sz w:val="24"/>
    </w:rPr>
  </w:style>
  <w:style w:type="paragraph" w:styleId="Quote">
    <w:name w:val="Quote"/>
    <w:aliases w:val="IMTP  heading 3"/>
    <w:next w:val="Normal"/>
    <w:link w:val="QuoteChar"/>
    <w:uiPriority w:val="29"/>
    <w:qFormat/>
    <w:rsid w:val="00F554CE"/>
    <w:pPr>
      <w:tabs>
        <w:tab w:val="num" w:pos="1361"/>
      </w:tabs>
      <w:spacing w:before="240" w:after="240" w:line="276" w:lineRule="auto"/>
      <w:ind w:left="1418" w:hanging="1418"/>
    </w:pPr>
    <w:rPr>
      <w:rFonts w:ascii="Verdana" w:eastAsiaTheme="minorEastAsia" w:hAnsi="Verdana"/>
      <w:b/>
      <w:iCs/>
      <w:color w:val="002060"/>
      <w:spacing w:val="10"/>
      <w:kern w:val="28"/>
      <w:sz w:val="24"/>
      <w:szCs w:val="24"/>
      <w:lang w:val="en-US" w:bidi="en-US"/>
    </w:rPr>
  </w:style>
  <w:style w:type="character" w:customStyle="1" w:styleId="QuoteChar">
    <w:name w:val="Quote Char"/>
    <w:aliases w:val="IMTP  heading 3 Char"/>
    <w:basedOn w:val="DefaultParagraphFont"/>
    <w:link w:val="Quote"/>
    <w:uiPriority w:val="29"/>
    <w:rsid w:val="00F554CE"/>
    <w:rPr>
      <w:rFonts w:ascii="Verdana" w:eastAsiaTheme="minorEastAsia" w:hAnsi="Verdana"/>
      <w:b/>
      <w:iCs/>
      <w:color w:val="002060"/>
      <w:spacing w:val="10"/>
      <w:kern w:val="28"/>
      <w:sz w:val="24"/>
      <w:szCs w:val="24"/>
      <w:lang w:val="en-US" w:bidi="en-US"/>
    </w:rPr>
  </w:style>
  <w:style w:type="paragraph" w:styleId="Header">
    <w:name w:val="header"/>
    <w:basedOn w:val="Normal"/>
    <w:link w:val="HeaderChar"/>
    <w:uiPriority w:val="99"/>
    <w:unhideWhenUsed/>
    <w:rsid w:val="00DC5D7E"/>
    <w:pPr>
      <w:tabs>
        <w:tab w:val="center" w:pos="4513"/>
        <w:tab w:val="right" w:pos="9026"/>
      </w:tabs>
    </w:pPr>
  </w:style>
  <w:style w:type="character" w:customStyle="1" w:styleId="HeaderChar">
    <w:name w:val="Header Char"/>
    <w:basedOn w:val="DefaultParagraphFont"/>
    <w:link w:val="Header"/>
    <w:uiPriority w:val="99"/>
    <w:rsid w:val="00DC5D7E"/>
    <w:rPr>
      <w:rFonts w:ascii="Verdana" w:hAnsi="Verdana"/>
      <w:sz w:val="24"/>
    </w:rPr>
  </w:style>
  <w:style w:type="paragraph" w:styleId="Footer">
    <w:name w:val="footer"/>
    <w:basedOn w:val="Normal"/>
    <w:link w:val="FooterChar"/>
    <w:uiPriority w:val="99"/>
    <w:unhideWhenUsed/>
    <w:rsid w:val="00DC5D7E"/>
    <w:pPr>
      <w:tabs>
        <w:tab w:val="center" w:pos="4513"/>
        <w:tab w:val="right" w:pos="9026"/>
      </w:tabs>
    </w:pPr>
  </w:style>
  <w:style w:type="character" w:customStyle="1" w:styleId="FooterChar">
    <w:name w:val="Footer Char"/>
    <w:basedOn w:val="DefaultParagraphFont"/>
    <w:link w:val="Footer"/>
    <w:uiPriority w:val="99"/>
    <w:rsid w:val="00DC5D7E"/>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453632">
      <w:bodyDiv w:val="1"/>
      <w:marLeft w:val="0"/>
      <w:marRight w:val="0"/>
      <w:marTop w:val="0"/>
      <w:marBottom w:val="0"/>
      <w:divBdr>
        <w:top w:val="none" w:sz="0" w:space="0" w:color="auto"/>
        <w:left w:val="none" w:sz="0" w:space="0" w:color="auto"/>
        <w:bottom w:val="none" w:sz="0" w:space="0" w:color="auto"/>
        <w:right w:val="none" w:sz="0" w:space="0" w:color="auto"/>
      </w:divBdr>
    </w:div>
    <w:div w:id="1399012905">
      <w:bodyDiv w:val="1"/>
      <w:marLeft w:val="0"/>
      <w:marRight w:val="0"/>
      <w:marTop w:val="0"/>
      <w:marBottom w:val="0"/>
      <w:divBdr>
        <w:top w:val="none" w:sz="0" w:space="0" w:color="auto"/>
        <w:left w:val="none" w:sz="0" w:space="0" w:color="auto"/>
        <w:bottom w:val="none" w:sz="0" w:space="0" w:color="auto"/>
        <w:right w:val="none" w:sz="0" w:space="0" w:color="auto"/>
      </w:divBdr>
    </w:div>
    <w:div w:id="164268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Public Health Wales NHS Trust</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Maddern  (Public Health Wales - No. 2 Capital Quarter)</dc:creator>
  <cp:keywords/>
  <dc:description/>
  <cp:lastModifiedBy>Neil Stoodley (Public Health Wales - No. 2 Capital Quarter)</cp:lastModifiedBy>
  <cp:revision>5</cp:revision>
  <dcterms:created xsi:type="dcterms:W3CDTF">2022-03-25T09:09:00Z</dcterms:created>
  <dcterms:modified xsi:type="dcterms:W3CDTF">2022-03-25T10:59:00Z</dcterms:modified>
</cp:coreProperties>
</file>