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1FE47" w14:textId="77777777" w:rsidR="00075C7F" w:rsidRDefault="00075C7F" w:rsidP="00075C7F">
      <w:pPr>
        <w:rPr>
          <w:rFonts w:ascii="Verdana" w:hAnsi="Verdana"/>
          <w:b/>
        </w:rPr>
      </w:pPr>
    </w:p>
    <w:p w14:paraId="03B4DA44" w14:textId="77777777" w:rsidR="00932FBD" w:rsidRDefault="00932FBD" w:rsidP="00932FBD">
      <w:pPr>
        <w:pStyle w:val="Title"/>
      </w:pPr>
    </w:p>
    <w:p w14:paraId="4C260877" w14:textId="77777777" w:rsidR="00932FBD" w:rsidRDefault="00932FBD" w:rsidP="00932FBD">
      <w:pPr>
        <w:pStyle w:val="Title"/>
      </w:pPr>
      <w:r>
        <w:rPr>
          <w:rFonts w:ascii="Verdana" w:hAnsi="Verdana"/>
          <w:b w:val="0"/>
          <w:noProof/>
          <w:lang w:eastAsia="en-GB"/>
        </w:rPr>
        <w:drawing>
          <wp:inline distT="0" distB="0" distL="0" distR="0" wp14:anchorId="3865A709" wp14:editId="2EC5C3CF">
            <wp:extent cx="5731510" cy="1338300"/>
            <wp:effectExtent l="0" t="0" r="2540" b="0"/>
            <wp:docPr id="2" name="Picture 2" descr="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Wales logo"/>
                    <pic:cNvPicPr>
                      <a:picLocks noChangeAspect="1" noChangeArrowheads="1"/>
                    </pic:cNvPicPr>
                  </pic:nvPicPr>
                  <pic:blipFill>
                    <a:blip r:embed="rId7" cstate="print"/>
                    <a:srcRect/>
                    <a:stretch>
                      <a:fillRect/>
                    </a:stretch>
                  </pic:blipFill>
                  <pic:spPr bwMode="auto">
                    <a:xfrm>
                      <a:off x="0" y="0"/>
                      <a:ext cx="5731510" cy="1338300"/>
                    </a:xfrm>
                    <a:prstGeom prst="rect">
                      <a:avLst/>
                    </a:prstGeom>
                    <a:noFill/>
                    <a:ln w="9525">
                      <a:noFill/>
                      <a:miter lim="800000"/>
                      <a:headEnd/>
                      <a:tailEnd/>
                    </a:ln>
                  </pic:spPr>
                </pic:pic>
              </a:graphicData>
            </a:graphic>
          </wp:inline>
        </w:drawing>
      </w:r>
    </w:p>
    <w:p w14:paraId="6A1FAC0C" w14:textId="77777777" w:rsidR="00932FBD" w:rsidRDefault="00932FBD" w:rsidP="00932FBD">
      <w:pPr>
        <w:pStyle w:val="Title"/>
      </w:pPr>
    </w:p>
    <w:p w14:paraId="5C183B00" w14:textId="22731D1E" w:rsidR="00075C7F" w:rsidRPr="00681488" w:rsidRDefault="00932FBD" w:rsidP="00932FBD">
      <w:pPr>
        <w:jc w:val="center"/>
        <w:rPr>
          <w:rFonts w:ascii="Verdana" w:hAnsi="Verdana"/>
          <w:b/>
          <w:sz w:val="40"/>
          <w:szCs w:val="40"/>
        </w:rPr>
      </w:pPr>
      <w:r w:rsidRPr="00681488">
        <w:rPr>
          <w:rFonts w:ascii="Verdana" w:hAnsi="Verdana"/>
          <w:b/>
          <w:sz w:val="40"/>
          <w:szCs w:val="40"/>
        </w:rPr>
        <w:t xml:space="preserve">Protocol for the reporting and oversight of </w:t>
      </w:r>
      <w:r w:rsidR="007362DC">
        <w:rPr>
          <w:rFonts w:ascii="Verdana" w:hAnsi="Verdana"/>
          <w:b/>
          <w:sz w:val="40"/>
          <w:szCs w:val="40"/>
        </w:rPr>
        <w:t>Internal and External</w:t>
      </w:r>
      <w:r w:rsidRPr="00681488">
        <w:rPr>
          <w:rFonts w:ascii="Verdana" w:hAnsi="Verdana"/>
          <w:b/>
          <w:sz w:val="40"/>
          <w:szCs w:val="40"/>
        </w:rPr>
        <w:t xml:space="preserve"> Functions within Public Health Wales</w:t>
      </w:r>
    </w:p>
    <w:p w14:paraId="289C4565" w14:textId="77777777" w:rsidR="00932FBD" w:rsidRPr="00681488" w:rsidRDefault="00932FBD" w:rsidP="00932FBD">
      <w:pPr>
        <w:jc w:val="center"/>
        <w:rPr>
          <w:rFonts w:ascii="Verdana" w:hAnsi="Verdana"/>
          <w:b/>
          <w:sz w:val="40"/>
          <w:szCs w:val="40"/>
        </w:rPr>
      </w:pPr>
    </w:p>
    <w:p w14:paraId="0E1EF7BB" w14:textId="77777777" w:rsidR="00932FBD" w:rsidRPr="00681488" w:rsidRDefault="00932FBD" w:rsidP="00932FBD">
      <w:pPr>
        <w:jc w:val="center"/>
        <w:rPr>
          <w:rFonts w:ascii="Verdana" w:hAnsi="Verdana"/>
          <w:b/>
          <w:sz w:val="40"/>
          <w:szCs w:val="40"/>
        </w:rPr>
      </w:pPr>
      <w:r w:rsidRPr="00681488">
        <w:rPr>
          <w:rFonts w:ascii="Verdana" w:hAnsi="Verdana"/>
          <w:b/>
          <w:sz w:val="40"/>
          <w:szCs w:val="40"/>
        </w:rPr>
        <w:t>May 2022</w:t>
      </w:r>
    </w:p>
    <w:p w14:paraId="551271B6" w14:textId="0C20D7BB" w:rsidR="00681488" w:rsidRDefault="00932FBD" w:rsidP="00932FBD">
      <w:pPr>
        <w:jc w:val="center"/>
        <w:rPr>
          <w:rFonts w:ascii="Verdana" w:hAnsi="Verdana"/>
          <w:b/>
          <w:sz w:val="40"/>
          <w:szCs w:val="40"/>
        </w:rPr>
      </w:pPr>
      <w:r w:rsidRPr="00681488">
        <w:rPr>
          <w:rFonts w:ascii="Verdana" w:hAnsi="Verdana"/>
          <w:b/>
          <w:sz w:val="40"/>
          <w:szCs w:val="40"/>
        </w:rPr>
        <w:t xml:space="preserve">Version: </w:t>
      </w:r>
      <w:r w:rsidR="007362DC">
        <w:rPr>
          <w:rFonts w:ascii="Verdana" w:hAnsi="Verdana"/>
          <w:b/>
          <w:sz w:val="40"/>
          <w:szCs w:val="40"/>
        </w:rPr>
        <w:t>1 (</w:t>
      </w:r>
      <w:r w:rsidRPr="00681488">
        <w:rPr>
          <w:rFonts w:ascii="Verdana" w:hAnsi="Verdana"/>
          <w:b/>
          <w:sz w:val="40"/>
          <w:szCs w:val="40"/>
        </w:rPr>
        <w:t>Dra</w:t>
      </w:r>
      <w:bookmarkStart w:id="0" w:name="_GoBack"/>
      <w:bookmarkEnd w:id="0"/>
      <w:r w:rsidRPr="00681488">
        <w:rPr>
          <w:rFonts w:ascii="Verdana" w:hAnsi="Verdana"/>
          <w:b/>
          <w:sz w:val="40"/>
          <w:szCs w:val="40"/>
        </w:rPr>
        <w:t>ft</w:t>
      </w:r>
      <w:r w:rsidR="007362DC">
        <w:rPr>
          <w:rFonts w:ascii="Verdana" w:hAnsi="Verdana"/>
          <w:b/>
          <w:sz w:val="40"/>
          <w:szCs w:val="40"/>
        </w:rPr>
        <w:t>)</w:t>
      </w:r>
      <w:r w:rsidR="00681488">
        <w:rPr>
          <w:rFonts w:ascii="Verdana" w:hAnsi="Verdana"/>
          <w:b/>
          <w:sz w:val="40"/>
          <w:szCs w:val="40"/>
        </w:rPr>
        <w:br w:type="page"/>
      </w:r>
    </w:p>
    <w:p w14:paraId="3FA13679" w14:textId="77777777" w:rsidR="00932FBD" w:rsidRPr="00901C84" w:rsidRDefault="00932FBD" w:rsidP="00932FBD">
      <w:pPr>
        <w:jc w:val="center"/>
        <w:rPr>
          <w:rFonts w:ascii="Verdana" w:hAnsi="Verdana"/>
          <w:b/>
        </w:rPr>
      </w:pPr>
    </w:p>
    <w:p w14:paraId="26B39441" w14:textId="77777777" w:rsidR="00075C7F" w:rsidRPr="00901C84" w:rsidRDefault="00681488" w:rsidP="00A83719">
      <w:pPr>
        <w:shd w:val="clear" w:color="auto" w:fill="DEEAF6" w:themeFill="accent1" w:themeFillTint="33"/>
        <w:jc w:val="both"/>
        <w:rPr>
          <w:rFonts w:ascii="Verdana" w:hAnsi="Verdana"/>
          <w:b/>
        </w:rPr>
      </w:pPr>
      <w:r w:rsidRPr="00901C84">
        <w:rPr>
          <w:rFonts w:ascii="Verdana" w:hAnsi="Verdana"/>
          <w:b/>
        </w:rPr>
        <w:t xml:space="preserve">Introduction </w:t>
      </w:r>
    </w:p>
    <w:p w14:paraId="524B425A" w14:textId="77777777" w:rsidR="00681488" w:rsidRPr="00901C84" w:rsidRDefault="002A6E10" w:rsidP="00A83719">
      <w:pPr>
        <w:jc w:val="both"/>
        <w:rPr>
          <w:rFonts w:ascii="Verdana" w:hAnsi="Verdana"/>
        </w:rPr>
      </w:pPr>
      <w:r w:rsidRPr="00901C84">
        <w:rPr>
          <w:rFonts w:ascii="Verdana" w:hAnsi="Verdana"/>
        </w:rPr>
        <w:t>The purpose of this document is to outline the governance arrangements relating to the Internal and External Audit activity</w:t>
      </w:r>
      <w:r w:rsidR="00182EA7" w:rsidRPr="00901C84">
        <w:rPr>
          <w:rFonts w:ascii="Verdana" w:hAnsi="Verdana"/>
        </w:rPr>
        <w:t xml:space="preserve"> within Public Health Wales</w:t>
      </w:r>
      <w:r w:rsidRPr="00901C84">
        <w:rPr>
          <w:rFonts w:ascii="Verdana" w:hAnsi="Verdana"/>
        </w:rPr>
        <w:t xml:space="preserve">. </w:t>
      </w:r>
    </w:p>
    <w:p w14:paraId="2C3D4E23" w14:textId="77777777" w:rsidR="002A6E10" w:rsidRPr="00901C84" w:rsidRDefault="002A6E10" w:rsidP="00A83719">
      <w:pPr>
        <w:jc w:val="both"/>
        <w:rPr>
          <w:rFonts w:ascii="Verdana" w:hAnsi="Verdana"/>
        </w:rPr>
      </w:pPr>
      <w:r w:rsidRPr="00901C84">
        <w:rPr>
          <w:rFonts w:ascii="Verdana" w:hAnsi="Verdana"/>
        </w:rPr>
        <w:t>This will cover:</w:t>
      </w:r>
    </w:p>
    <w:p w14:paraId="46EB6D94" w14:textId="77777777" w:rsidR="002A6E10" w:rsidRPr="00901C84" w:rsidRDefault="002A6E10" w:rsidP="00A83719">
      <w:pPr>
        <w:pStyle w:val="ListParagraph"/>
        <w:numPr>
          <w:ilvl w:val="0"/>
          <w:numId w:val="4"/>
        </w:numPr>
        <w:jc w:val="both"/>
        <w:rPr>
          <w:rFonts w:ascii="Verdana" w:hAnsi="Verdana"/>
        </w:rPr>
      </w:pPr>
      <w:r w:rsidRPr="00901C84">
        <w:rPr>
          <w:rFonts w:ascii="Verdana" w:hAnsi="Verdana"/>
        </w:rPr>
        <w:t xml:space="preserve">Oversight of </w:t>
      </w:r>
      <w:r w:rsidR="00F03843" w:rsidRPr="00901C84">
        <w:rPr>
          <w:rFonts w:ascii="Verdana" w:hAnsi="Verdana"/>
        </w:rPr>
        <w:t xml:space="preserve">all programmed </w:t>
      </w:r>
      <w:r w:rsidRPr="00901C84">
        <w:rPr>
          <w:rFonts w:ascii="Verdana" w:hAnsi="Verdana"/>
        </w:rPr>
        <w:t>Audit activity</w:t>
      </w:r>
      <w:r w:rsidR="00182EA7" w:rsidRPr="00901C84">
        <w:rPr>
          <w:rFonts w:ascii="Verdana" w:hAnsi="Verdana"/>
        </w:rPr>
        <w:t>;</w:t>
      </w:r>
    </w:p>
    <w:p w14:paraId="50D7B0F0" w14:textId="77777777" w:rsidR="002A6E10" w:rsidRPr="00901C84" w:rsidRDefault="002A6E10" w:rsidP="00A83719">
      <w:pPr>
        <w:pStyle w:val="ListParagraph"/>
        <w:numPr>
          <w:ilvl w:val="0"/>
          <w:numId w:val="4"/>
        </w:numPr>
        <w:jc w:val="both"/>
        <w:rPr>
          <w:rFonts w:ascii="Verdana" w:hAnsi="Verdana"/>
        </w:rPr>
      </w:pPr>
      <w:r w:rsidRPr="00901C84">
        <w:rPr>
          <w:rFonts w:ascii="Verdana" w:hAnsi="Verdana"/>
        </w:rPr>
        <w:t>Receipt and consideration of final reports resulting from audit activity;</w:t>
      </w:r>
    </w:p>
    <w:p w14:paraId="7DABCFC9" w14:textId="77777777" w:rsidR="002A6E10" w:rsidRPr="00901C84" w:rsidRDefault="002A6E10" w:rsidP="00A83719">
      <w:pPr>
        <w:pStyle w:val="ListParagraph"/>
        <w:numPr>
          <w:ilvl w:val="0"/>
          <w:numId w:val="4"/>
        </w:numPr>
        <w:jc w:val="both"/>
        <w:rPr>
          <w:rFonts w:ascii="Verdana" w:hAnsi="Verdana"/>
        </w:rPr>
      </w:pPr>
      <w:r w:rsidRPr="00901C84">
        <w:rPr>
          <w:rFonts w:ascii="Verdana" w:hAnsi="Verdana"/>
        </w:rPr>
        <w:t xml:space="preserve">Monitoring and reviewing of the implementation of actions and findings from </w:t>
      </w:r>
      <w:r w:rsidR="00F03843" w:rsidRPr="00901C84">
        <w:rPr>
          <w:rFonts w:ascii="Verdana" w:hAnsi="Verdana"/>
        </w:rPr>
        <w:t>audit activity</w:t>
      </w:r>
      <w:r w:rsidRPr="00901C84">
        <w:rPr>
          <w:rFonts w:ascii="Verdana" w:hAnsi="Verdana"/>
        </w:rPr>
        <w:t xml:space="preserve">. </w:t>
      </w:r>
    </w:p>
    <w:p w14:paraId="434F41BD" w14:textId="77777777" w:rsidR="00075C7F" w:rsidRPr="00901C84" w:rsidRDefault="00075C7F" w:rsidP="00A83719">
      <w:pPr>
        <w:jc w:val="both"/>
        <w:rPr>
          <w:rFonts w:ascii="Verdana" w:hAnsi="Verdana"/>
        </w:rPr>
      </w:pPr>
    </w:p>
    <w:p w14:paraId="5299C2E8" w14:textId="77777777" w:rsidR="002A6E10" w:rsidRPr="00901C84" w:rsidRDefault="00F03843" w:rsidP="00A83719">
      <w:pPr>
        <w:shd w:val="clear" w:color="auto" w:fill="DEEAF6" w:themeFill="accent1" w:themeFillTint="33"/>
        <w:jc w:val="both"/>
        <w:rPr>
          <w:rFonts w:ascii="Verdana" w:hAnsi="Verdana"/>
          <w:b/>
        </w:rPr>
      </w:pPr>
      <w:r w:rsidRPr="00901C84">
        <w:rPr>
          <w:rFonts w:ascii="Verdana" w:hAnsi="Verdana"/>
          <w:b/>
        </w:rPr>
        <w:t>Oversight of the Audit P</w:t>
      </w:r>
      <w:r w:rsidR="002A6E10" w:rsidRPr="00901C84">
        <w:rPr>
          <w:rFonts w:ascii="Verdana" w:hAnsi="Verdana"/>
          <w:b/>
        </w:rPr>
        <w:t xml:space="preserve">rogrammed </w:t>
      </w:r>
      <w:r w:rsidRPr="00901C84">
        <w:rPr>
          <w:rFonts w:ascii="Verdana" w:hAnsi="Verdana"/>
          <w:b/>
        </w:rPr>
        <w:t>A</w:t>
      </w:r>
      <w:r w:rsidR="002A6E10" w:rsidRPr="00901C84">
        <w:rPr>
          <w:rFonts w:ascii="Verdana" w:hAnsi="Verdana"/>
          <w:b/>
        </w:rPr>
        <w:t>ctivity</w:t>
      </w:r>
    </w:p>
    <w:p w14:paraId="6FD7108D" w14:textId="77777777" w:rsidR="002A6E10" w:rsidRPr="00901C84" w:rsidRDefault="002A6E10" w:rsidP="00A83719">
      <w:pPr>
        <w:jc w:val="both"/>
        <w:rPr>
          <w:rFonts w:ascii="Verdana" w:hAnsi="Verdana"/>
        </w:rPr>
      </w:pPr>
      <w:r w:rsidRPr="00901C84">
        <w:rPr>
          <w:rFonts w:ascii="Verdana" w:hAnsi="Verdana"/>
        </w:rPr>
        <w:t xml:space="preserve">The Audit and Corporate Governance Committee (ACGC) and has overall oversight of the Audit programme of work on behalf of the Board. </w:t>
      </w:r>
    </w:p>
    <w:p w14:paraId="28A2DBFF" w14:textId="77777777" w:rsidR="002A6E10" w:rsidRPr="00901C84" w:rsidRDefault="002A6E10" w:rsidP="00A83719">
      <w:pPr>
        <w:jc w:val="both"/>
        <w:rPr>
          <w:rFonts w:ascii="Verdana" w:hAnsi="Verdana"/>
        </w:rPr>
      </w:pPr>
      <w:r w:rsidRPr="00901C84">
        <w:rPr>
          <w:rFonts w:ascii="Verdana" w:hAnsi="Verdana"/>
        </w:rPr>
        <w:t>ACGC’s oversight role is to:</w:t>
      </w:r>
    </w:p>
    <w:p w14:paraId="0ADE9956" w14:textId="77777777" w:rsidR="002A6E10" w:rsidRPr="00901C84" w:rsidRDefault="002A6E10" w:rsidP="00A83719">
      <w:pPr>
        <w:pStyle w:val="ListParagraph"/>
        <w:numPr>
          <w:ilvl w:val="0"/>
          <w:numId w:val="2"/>
        </w:numPr>
        <w:spacing w:after="0" w:line="240" w:lineRule="auto"/>
        <w:jc w:val="both"/>
        <w:rPr>
          <w:rFonts w:ascii="Verdana" w:hAnsi="Verdana"/>
        </w:rPr>
      </w:pPr>
      <w:r w:rsidRPr="00901C84">
        <w:rPr>
          <w:rFonts w:ascii="Verdana" w:hAnsi="Verdana"/>
        </w:rPr>
        <w:t xml:space="preserve">Ensure that there </w:t>
      </w:r>
      <w:r w:rsidR="00182EA7" w:rsidRPr="00901C84">
        <w:rPr>
          <w:rFonts w:ascii="Verdana" w:hAnsi="Verdana"/>
        </w:rPr>
        <w:t>are effective I</w:t>
      </w:r>
      <w:r w:rsidRPr="00901C84">
        <w:rPr>
          <w:rFonts w:ascii="Verdana" w:hAnsi="Verdana"/>
        </w:rPr>
        <w:t xml:space="preserve">nternal and External </w:t>
      </w:r>
      <w:r w:rsidR="00182EA7" w:rsidRPr="00901C84">
        <w:rPr>
          <w:rFonts w:ascii="Verdana" w:hAnsi="Verdana"/>
        </w:rPr>
        <w:t>A</w:t>
      </w:r>
      <w:r w:rsidRPr="00901C84">
        <w:rPr>
          <w:rFonts w:ascii="Verdana" w:hAnsi="Verdana"/>
        </w:rPr>
        <w:t xml:space="preserve">udit functions that meets the standards set for the </w:t>
      </w:r>
      <w:r w:rsidR="00182EA7" w:rsidRPr="00901C84">
        <w:rPr>
          <w:rFonts w:ascii="Verdana" w:hAnsi="Verdana"/>
        </w:rPr>
        <w:t xml:space="preserve">NHS in Wales. </w:t>
      </w:r>
    </w:p>
    <w:p w14:paraId="18AD2799" w14:textId="77777777" w:rsidR="002A6E10" w:rsidRPr="00901C84" w:rsidRDefault="00067093" w:rsidP="00A83719">
      <w:pPr>
        <w:pStyle w:val="ListParagraph"/>
        <w:numPr>
          <w:ilvl w:val="0"/>
          <w:numId w:val="2"/>
        </w:numPr>
        <w:spacing w:after="0" w:line="240" w:lineRule="auto"/>
        <w:jc w:val="both"/>
        <w:rPr>
          <w:rFonts w:ascii="Verdana" w:hAnsi="Verdana"/>
        </w:rPr>
      </w:pPr>
      <w:r w:rsidRPr="00901C84">
        <w:rPr>
          <w:rFonts w:ascii="Verdana" w:hAnsi="Verdana"/>
        </w:rPr>
        <w:t>Oversee</w:t>
      </w:r>
      <w:r w:rsidR="002A6E10" w:rsidRPr="00901C84">
        <w:rPr>
          <w:rFonts w:ascii="Verdana" w:hAnsi="Verdana"/>
        </w:rPr>
        <w:t xml:space="preserve"> the results of audit and assurance work</w:t>
      </w:r>
      <w:r w:rsidR="00F03843" w:rsidRPr="00901C84">
        <w:rPr>
          <w:rFonts w:ascii="Verdana" w:hAnsi="Verdana"/>
        </w:rPr>
        <w:t>,</w:t>
      </w:r>
      <w:r w:rsidR="002A6E10" w:rsidRPr="00901C84">
        <w:rPr>
          <w:rFonts w:ascii="Verdana" w:hAnsi="Verdana"/>
        </w:rPr>
        <w:t xml:space="preserve"> and </w:t>
      </w:r>
      <w:r w:rsidR="00F03843" w:rsidRPr="00901C84">
        <w:rPr>
          <w:rFonts w:ascii="Verdana" w:hAnsi="Verdana"/>
        </w:rPr>
        <w:t xml:space="preserve">ensure that </w:t>
      </w:r>
      <w:r w:rsidR="002A6E10" w:rsidRPr="00901C84">
        <w:rPr>
          <w:rFonts w:ascii="Verdana" w:hAnsi="Verdana"/>
        </w:rPr>
        <w:t xml:space="preserve">the implications of the findings of wider audit and assurance activity relevant to the Trust’s operations are considered. </w:t>
      </w:r>
    </w:p>
    <w:p w14:paraId="45D4EAA1" w14:textId="77777777" w:rsidR="00067093" w:rsidRPr="00901C84" w:rsidRDefault="00067093" w:rsidP="00067093">
      <w:pPr>
        <w:pStyle w:val="ListParagraph"/>
        <w:numPr>
          <w:ilvl w:val="0"/>
          <w:numId w:val="2"/>
        </w:numPr>
        <w:spacing w:after="0" w:line="240" w:lineRule="auto"/>
        <w:jc w:val="both"/>
        <w:rPr>
          <w:rFonts w:ascii="Verdana" w:hAnsi="Verdana"/>
        </w:rPr>
      </w:pPr>
      <w:r w:rsidRPr="00901C84">
        <w:rPr>
          <w:rFonts w:ascii="Verdana" w:hAnsi="Verdana"/>
        </w:rPr>
        <w:t xml:space="preserve">Seek assurance on behalf of the Board on the adequacy of executive and managements response to issues identified by audit, inspection and other assurance activity, including ensuring timely implementation of any actions. </w:t>
      </w:r>
    </w:p>
    <w:p w14:paraId="1439F85C" w14:textId="77777777" w:rsidR="002A6E10" w:rsidRPr="00901C84" w:rsidRDefault="002A6E10" w:rsidP="00A83719">
      <w:pPr>
        <w:spacing w:after="0" w:line="240" w:lineRule="auto"/>
        <w:jc w:val="both"/>
        <w:rPr>
          <w:rFonts w:ascii="Verdana" w:hAnsi="Verdana"/>
        </w:rPr>
      </w:pPr>
    </w:p>
    <w:p w14:paraId="0EF99B0C" w14:textId="77777777" w:rsidR="002A6E10" w:rsidRPr="00901C84" w:rsidRDefault="002A6E10" w:rsidP="00A83719">
      <w:pPr>
        <w:spacing w:after="0" w:line="240" w:lineRule="auto"/>
        <w:jc w:val="both"/>
        <w:rPr>
          <w:rFonts w:ascii="Verdana" w:hAnsi="Verdana"/>
        </w:rPr>
      </w:pPr>
      <w:r w:rsidRPr="00901C84">
        <w:rPr>
          <w:rFonts w:ascii="Verdana" w:hAnsi="Verdana"/>
        </w:rPr>
        <w:t>ACGC achieve this through:</w:t>
      </w:r>
    </w:p>
    <w:p w14:paraId="18BDC2A0" w14:textId="77777777" w:rsidR="002A6E10" w:rsidRPr="00901C84" w:rsidRDefault="002A6E10" w:rsidP="00B16957">
      <w:pPr>
        <w:pStyle w:val="ListParagraph"/>
        <w:numPr>
          <w:ilvl w:val="0"/>
          <w:numId w:val="2"/>
        </w:numPr>
        <w:spacing w:after="0" w:line="240" w:lineRule="auto"/>
        <w:jc w:val="both"/>
        <w:rPr>
          <w:rFonts w:ascii="Verdana" w:hAnsi="Verdana"/>
        </w:rPr>
      </w:pPr>
      <w:r w:rsidRPr="00901C84">
        <w:rPr>
          <w:rFonts w:ascii="Verdana" w:hAnsi="Verdana"/>
        </w:rPr>
        <w:t>Considering and approving the Internal Audit Work Plan fo</w:t>
      </w:r>
      <w:r w:rsidR="00F03843" w:rsidRPr="00901C84">
        <w:rPr>
          <w:rFonts w:ascii="Verdana" w:hAnsi="Verdana"/>
        </w:rPr>
        <w:t>r activity, on an annual basis, and r</w:t>
      </w:r>
      <w:r w:rsidRPr="00901C84">
        <w:rPr>
          <w:rFonts w:ascii="Verdana" w:hAnsi="Verdana"/>
        </w:rPr>
        <w:t>eview</w:t>
      </w:r>
      <w:r w:rsidR="00182EA7" w:rsidRPr="00901C84">
        <w:rPr>
          <w:rFonts w:ascii="Verdana" w:hAnsi="Verdana"/>
        </w:rPr>
        <w:t>ing</w:t>
      </w:r>
      <w:r w:rsidRPr="00901C84">
        <w:rPr>
          <w:rFonts w:ascii="Verdana" w:hAnsi="Verdana"/>
        </w:rPr>
        <w:t xml:space="preserve"> the progress of the </w:t>
      </w:r>
      <w:r w:rsidR="00E47E4A" w:rsidRPr="00901C84">
        <w:rPr>
          <w:rFonts w:ascii="Verdana" w:hAnsi="Verdana"/>
        </w:rPr>
        <w:t>Internal Audit work plan through regular progress reports.</w:t>
      </w:r>
    </w:p>
    <w:p w14:paraId="42E02E7F" w14:textId="77777777" w:rsidR="00067093" w:rsidRPr="00901C84" w:rsidRDefault="00067093" w:rsidP="00A83719">
      <w:pPr>
        <w:pStyle w:val="ListParagraph"/>
        <w:numPr>
          <w:ilvl w:val="0"/>
          <w:numId w:val="2"/>
        </w:numPr>
        <w:spacing w:after="0" w:line="240" w:lineRule="auto"/>
        <w:jc w:val="both"/>
        <w:rPr>
          <w:rFonts w:ascii="Verdana" w:hAnsi="Verdana"/>
        </w:rPr>
      </w:pPr>
      <w:r w:rsidRPr="00901C84">
        <w:rPr>
          <w:rFonts w:ascii="Verdana" w:hAnsi="Verdana"/>
        </w:rPr>
        <w:t xml:space="preserve">Receiving and considering the Head of Internal Audit Annual Opinion, and the summary of Audit activity contained within the Annual Governance Statement. </w:t>
      </w:r>
    </w:p>
    <w:p w14:paraId="2D6484B8" w14:textId="77777777" w:rsidR="002A6E10" w:rsidRPr="00901C84" w:rsidRDefault="002A6E10" w:rsidP="00A83719">
      <w:pPr>
        <w:pStyle w:val="ListParagraph"/>
        <w:numPr>
          <w:ilvl w:val="0"/>
          <w:numId w:val="2"/>
        </w:numPr>
        <w:spacing w:after="0" w:line="240" w:lineRule="auto"/>
        <w:jc w:val="both"/>
        <w:rPr>
          <w:rFonts w:ascii="Verdana" w:hAnsi="Verdana"/>
        </w:rPr>
      </w:pPr>
      <w:r w:rsidRPr="00901C84">
        <w:rPr>
          <w:rFonts w:ascii="Verdana" w:hAnsi="Verdana"/>
        </w:rPr>
        <w:t xml:space="preserve">Receive regular updates from Audit Wales on relevant </w:t>
      </w:r>
      <w:r w:rsidR="00F03843" w:rsidRPr="00901C84">
        <w:rPr>
          <w:rFonts w:ascii="Verdana" w:hAnsi="Verdana"/>
        </w:rPr>
        <w:t xml:space="preserve">External </w:t>
      </w:r>
      <w:r w:rsidRPr="00901C84">
        <w:rPr>
          <w:rFonts w:ascii="Verdana" w:hAnsi="Verdana"/>
        </w:rPr>
        <w:t>Audit activity</w:t>
      </w:r>
      <w:r w:rsidR="00182EA7" w:rsidRPr="00901C84">
        <w:rPr>
          <w:rFonts w:ascii="Verdana" w:hAnsi="Verdana"/>
        </w:rPr>
        <w:t xml:space="preserve"> through regular progress reports.</w:t>
      </w:r>
    </w:p>
    <w:p w14:paraId="044464BC" w14:textId="4FB558AC" w:rsidR="00067093" w:rsidRPr="00901C84" w:rsidRDefault="00067093" w:rsidP="00067093">
      <w:pPr>
        <w:pStyle w:val="ListParagraph"/>
        <w:numPr>
          <w:ilvl w:val="0"/>
          <w:numId w:val="2"/>
        </w:numPr>
        <w:spacing w:after="0" w:line="240" w:lineRule="auto"/>
        <w:jc w:val="both"/>
        <w:rPr>
          <w:rFonts w:ascii="Verdana" w:hAnsi="Verdana"/>
        </w:rPr>
      </w:pPr>
      <w:r w:rsidRPr="00901C84">
        <w:rPr>
          <w:rFonts w:ascii="Verdana" w:hAnsi="Verdana"/>
        </w:rPr>
        <w:t xml:space="preserve">Ensuring </w:t>
      </w:r>
      <w:r w:rsidR="00F03843" w:rsidRPr="00901C84">
        <w:rPr>
          <w:rFonts w:ascii="Verdana" w:hAnsi="Verdana"/>
        </w:rPr>
        <w:t>all relevant audit activity</w:t>
      </w:r>
      <w:r w:rsidRPr="00901C84">
        <w:rPr>
          <w:rFonts w:ascii="Verdana" w:hAnsi="Verdana"/>
        </w:rPr>
        <w:t xml:space="preserve"> is brought to the attention of the Board and other Committees of the Board</w:t>
      </w:r>
      <w:r w:rsidR="003E7894" w:rsidRPr="00901C84">
        <w:rPr>
          <w:rFonts w:ascii="Verdana" w:hAnsi="Verdana"/>
        </w:rPr>
        <w:t xml:space="preserve">. This will be achieved through the Committee Chairs report to Board, and oversight of the </w:t>
      </w:r>
      <w:r w:rsidR="007362DC">
        <w:rPr>
          <w:rFonts w:ascii="Verdana" w:hAnsi="Verdana"/>
        </w:rPr>
        <w:t xml:space="preserve">Internal and External Audit Work Plans, </w:t>
      </w:r>
      <w:r w:rsidR="003E7894" w:rsidRPr="00901C84">
        <w:rPr>
          <w:rFonts w:ascii="Verdana" w:hAnsi="Verdana"/>
        </w:rPr>
        <w:t xml:space="preserve">which identifies onward circulation and consideration of </w:t>
      </w:r>
      <w:r w:rsidR="00F03843" w:rsidRPr="00901C84">
        <w:rPr>
          <w:rFonts w:ascii="Verdana" w:hAnsi="Verdana"/>
        </w:rPr>
        <w:t xml:space="preserve">reports by the </w:t>
      </w:r>
      <w:r w:rsidR="003E7894" w:rsidRPr="00901C84">
        <w:rPr>
          <w:rFonts w:ascii="Verdana" w:hAnsi="Verdana"/>
        </w:rPr>
        <w:t xml:space="preserve">Board and </w:t>
      </w:r>
      <w:r w:rsidR="00F03843" w:rsidRPr="00901C84">
        <w:rPr>
          <w:rFonts w:ascii="Verdana" w:hAnsi="Verdana"/>
        </w:rPr>
        <w:t xml:space="preserve">its </w:t>
      </w:r>
      <w:r w:rsidR="003E7894" w:rsidRPr="00901C84">
        <w:rPr>
          <w:rFonts w:ascii="Verdana" w:hAnsi="Verdana"/>
        </w:rPr>
        <w:t xml:space="preserve">Committees. </w:t>
      </w:r>
      <w:r w:rsidRPr="00901C84">
        <w:rPr>
          <w:rFonts w:ascii="Verdana" w:hAnsi="Verdana"/>
        </w:rPr>
        <w:t xml:space="preserve"> </w:t>
      </w:r>
    </w:p>
    <w:p w14:paraId="4ED92443" w14:textId="77777777" w:rsidR="00067093" w:rsidRPr="00901C84" w:rsidRDefault="00182EA7" w:rsidP="00A83719">
      <w:pPr>
        <w:pStyle w:val="ListParagraph"/>
        <w:numPr>
          <w:ilvl w:val="0"/>
          <w:numId w:val="2"/>
        </w:numPr>
        <w:spacing w:after="0" w:line="240" w:lineRule="auto"/>
        <w:jc w:val="both"/>
        <w:rPr>
          <w:rFonts w:ascii="Verdana" w:hAnsi="Verdana"/>
        </w:rPr>
      </w:pPr>
      <w:r w:rsidRPr="00901C84">
        <w:rPr>
          <w:rFonts w:ascii="Verdana" w:hAnsi="Verdana"/>
        </w:rPr>
        <w:t>Providing</w:t>
      </w:r>
      <w:r w:rsidR="002A6E10" w:rsidRPr="00901C84">
        <w:rPr>
          <w:rFonts w:ascii="Verdana" w:hAnsi="Verdana"/>
        </w:rPr>
        <w:t xml:space="preserve"> assurance to the Board through the Committee Chairs report</w:t>
      </w:r>
      <w:r w:rsidRPr="00901C84">
        <w:rPr>
          <w:rFonts w:ascii="Verdana" w:hAnsi="Verdana"/>
        </w:rPr>
        <w:t>,</w:t>
      </w:r>
      <w:r w:rsidR="002A6E10" w:rsidRPr="00901C84">
        <w:rPr>
          <w:rFonts w:ascii="Verdana" w:hAnsi="Verdana"/>
        </w:rPr>
        <w:t xml:space="preserve"> and the Committee Annual Report as to the ef</w:t>
      </w:r>
      <w:r w:rsidR="00067093" w:rsidRPr="00901C84">
        <w:rPr>
          <w:rFonts w:ascii="Verdana" w:hAnsi="Verdana"/>
        </w:rPr>
        <w:t xml:space="preserve">fectiveness of </w:t>
      </w:r>
      <w:r w:rsidR="00F03843" w:rsidRPr="00901C84">
        <w:rPr>
          <w:rFonts w:ascii="Verdana" w:hAnsi="Verdana"/>
        </w:rPr>
        <w:t>Audit</w:t>
      </w:r>
      <w:r w:rsidR="00067093" w:rsidRPr="00901C84">
        <w:rPr>
          <w:rFonts w:ascii="Verdana" w:hAnsi="Verdana"/>
        </w:rPr>
        <w:t xml:space="preserve"> functions.</w:t>
      </w:r>
    </w:p>
    <w:p w14:paraId="7B50FF5E" w14:textId="77777777" w:rsidR="00067093" w:rsidRPr="00901C84" w:rsidRDefault="00067093" w:rsidP="00067093">
      <w:pPr>
        <w:pStyle w:val="ListParagraph"/>
        <w:numPr>
          <w:ilvl w:val="0"/>
          <w:numId w:val="2"/>
        </w:numPr>
        <w:spacing w:after="0" w:line="240" w:lineRule="auto"/>
        <w:jc w:val="both"/>
        <w:rPr>
          <w:rFonts w:ascii="Verdana" w:hAnsi="Verdana"/>
        </w:rPr>
      </w:pPr>
      <w:r w:rsidRPr="00901C84">
        <w:rPr>
          <w:rFonts w:ascii="Verdana" w:hAnsi="Verdana"/>
        </w:rPr>
        <w:t>Providing comment and suggestions to the Board for development and quality improvement</w:t>
      </w:r>
      <w:r w:rsidR="00F03843" w:rsidRPr="00901C84">
        <w:rPr>
          <w:rFonts w:ascii="Verdana" w:hAnsi="Verdana"/>
        </w:rPr>
        <w:t xml:space="preserve"> of audit functions</w:t>
      </w:r>
      <w:r w:rsidRPr="00901C84">
        <w:rPr>
          <w:rFonts w:ascii="Verdana" w:hAnsi="Verdana"/>
        </w:rPr>
        <w:t>.</w:t>
      </w:r>
    </w:p>
    <w:p w14:paraId="6D61C1F7" w14:textId="77777777" w:rsidR="002A6E10" w:rsidRPr="00901C84" w:rsidRDefault="002A6E10" w:rsidP="00A83719">
      <w:pPr>
        <w:jc w:val="both"/>
        <w:rPr>
          <w:rFonts w:ascii="Verdana" w:hAnsi="Verdana"/>
        </w:rPr>
      </w:pPr>
    </w:p>
    <w:p w14:paraId="7333D7C7" w14:textId="77777777" w:rsidR="003B4C05" w:rsidRPr="00901C84" w:rsidRDefault="00A83719" w:rsidP="00A83719">
      <w:pPr>
        <w:shd w:val="clear" w:color="auto" w:fill="DEEAF6" w:themeFill="accent1" w:themeFillTint="33"/>
        <w:jc w:val="both"/>
        <w:rPr>
          <w:rFonts w:ascii="Verdana" w:hAnsi="Verdana"/>
          <w:b/>
        </w:rPr>
      </w:pPr>
      <w:r w:rsidRPr="00901C84">
        <w:rPr>
          <w:rFonts w:ascii="Verdana" w:hAnsi="Verdana"/>
          <w:b/>
        </w:rPr>
        <w:t xml:space="preserve">Consideration of </w:t>
      </w:r>
      <w:r w:rsidR="002A6E10" w:rsidRPr="00901C84">
        <w:rPr>
          <w:rFonts w:ascii="Verdana" w:hAnsi="Verdana"/>
          <w:b/>
        </w:rPr>
        <w:t xml:space="preserve">Final Reports </w:t>
      </w:r>
    </w:p>
    <w:p w14:paraId="26E9E554" w14:textId="2BF4029E" w:rsidR="002A6E10" w:rsidRDefault="00F03843" w:rsidP="00A83719">
      <w:pPr>
        <w:jc w:val="both"/>
        <w:rPr>
          <w:rFonts w:ascii="Verdana" w:hAnsi="Verdana"/>
        </w:rPr>
      </w:pPr>
      <w:r w:rsidRPr="00901C84">
        <w:rPr>
          <w:rFonts w:ascii="Verdana" w:hAnsi="Verdana"/>
        </w:rPr>
        <w:lastRenderedPageBreak/>
        <w:t xml:space="preserve">ACGC </w:t>
      </w:r>
      <w:r w:rsidR="003B4C05" w:rsidRPr="00901C84">
        <w:rPr>
          <w:rFonts w:ascii="Verdana" w:hAnsi="Verdana"/>
        </w:rPr>
        <w:t xml:space="preserve">receives all final reports following </w:t>
      </w:r>
      <w:r w:rsidR="002A6E10" w:rsidRPr="00901C84">
        <w:rPr>
          <w:rFonts w:ascii="Verdana" w:hAnsi="Verdana"/>
        </w:rPr>
        <w:t>audit reviews, including the</w:t>
      </w:r>
      <w:r w:rsidR="00AA1F24" w:rsidRPr="00901C84">
        <w:rPr>
          <w:rFonts w:ascii="Verdana" w:hAnsi="Verdana"/>
        </w:rPr>
        <w:t xml:space="preserve"> results of internal and external audit</w:t>
      </w:r>
      <w:r w:rsidR="002A6E10" w:rsidRPr="00901C84">
        <w:rPr>
          <w:rFonts w:ascii="Verdana" w:hAnsi="Verdana"/>
        </w:rPr>
        <w:t xml:space="preserve">. </w:t>
      </w:r>
    </w:p>
    <w:p w14:paraId="4B1532C7" w14:textId="22D0DBD2" w:rsidR="007362DC" w:rsidRPr="00901C84" w:rsidRDefault="007362DC" w:rsidP="00A83719">
      <w:pPr>
        <w:jc w:val="both"/>
        <w:rPr>
          <w:rFonts w:ascii="Verdana" w:hAnsi="Verdana"/>
        </w:rPr>
      </w:pPr>
      <w:r>
        <w:rPr>
          <w:rFonts w:ascii="Verdana" w:hAnsi="Verdana"/>
        </w:rPr>
        <w:t xml:space="preserve">All final reports are also sent to the Chief Executive, and are submitted to a Business Executive Team meeting. </w:t>
      </w:r>
    </w:p>
    <w:p w14:paraId="760FA10D" w14:textId="77777777" w:rsidR="00AA1F24" w:rsidRPr="00901C84" w:rsidRDefault="002A6E10" w:rsidP="00A83719">
      <w:pPr>
        <w:jc w:val="both"/>
        <w:rPr>
          <w:rFonts w:ascii="Verdana" w:hAnsi="Verdana"/>
        </w:rPr>
      </w:pPr>
      <w:r w:rsidRPr="00901C84">
        <w:rPr>
          <w:rFonts w:ascii="Verdana" w:hAnsi="Verdana"/>
        </w:rPr>
        <w:t xml:space="preserve">The role of ACGC is to provide assurance to the Board on the </w:t>
      </w:r>
      <w:r w:rsidR="00AA1F24" w:rsidRPr="00901C84">
        <w:rPr>
          <w:rFonts w:ascii="Verdana" w:hAnsi="Verdana"/>
        </w:rPr>
        <w:t>adequacy of executive and managements response to issues identified by audit, inspection and other assurance activity</w:t>
      </w:r>
      <w:r w:rsidR="001B7683" w:rsidRPr="00901C84">
        <w:rPr>
          <w:rFonts w:ascii="Verdana" w:hAnsi="Verdana"/>
        </w:rPr>
        <w:t>,</w:t>
      </w:r>
      <w:r w:rsidRPr="00901C84">
        <w:rPr>
          <w:rFonts w:ascii="Verdana" w:hAnsi="Verdana"/>
        </w:rPr>
        <w:t xml:space="preserve"> and to have </w:t>
      </w:r>
      <w:r w:rsidR="00AA1F24" w:rsidRPr="00901C84">
        <w:rPr>
          <w:rFonts w:ascii="Verdana" w:hAnsi="Verdana"/>
        </w:rPr>
        <w:t xml:space="preserve">oversight of the implementation of actions resulting from such reviews.  </w:t>
      </w:r>
    </w:p>
    <w:p w14:paraId="50A2723F" w14:textId="77777777" w:rsidR="003B4C05" w:rsidRPr="00901C84" w:rsidRDefault="003B4C05" w:rsidP="00905B19">
      <w:pPr>
        <w:spacing w:after="0"/>
        <w:jc w:val="both"/>
        <w:rPr>
          <w:rFonts w:ascii="Verdana" w:hAnsi="Verdana"/>
        </w:rPr>
      </w:pPr>
      <w:r w:rsidRPr="00901C84">
        <w:rPr>
          <w:rFonts w:ascii="Verdana" w:hAnsi="Verdana"/>
        </w:rPr>
        <w:t>ACGC is responsible for:</w:t>
      </w:r>
    </w:p>
    <w:p w14:paraId="0305C4EA" w14:textId="77777777" w:rsidR="003B4C05" w:rsidRPr="00901C84" w:rsidRDefault="003B4C05" w:rsidP="001150AB">
      <w:pPr>
        <w:pStyle w:val="ListParagraph"/>
        <w:numPr>
          <w:ilvl w:val="0"/>
          <w:numId w:val="2"/>
        </w:numPr>
        <w:spacing w:after="0" w:line="240" w:lineRule="auto"/>
        <w:jc w:val="both"/>
        <w:rPr>
          <w:rFonts w:ascii="Verdana" w:hAnsi="Verdana"/>
        </w:rPr>
      </w:pPr>
      <w:r w:rsidRPr="00901C84">
        <w:rPr>
          <w:rFonts w:ascii="Verdana" w:hAnsi="Verdana"/>
        </w:rPr>
        <w:t xml:space="preserve">Assurance that any actions following reviews are appropriately considered and acted upon </w:t>
      </w:r>
      <w:r w:rsidR="00F03843" w:rsidRPr="00901C84">
        <w:rPr>
          <w:rFonts w:ascii="Verdana" w:hAnsi="Verdana"/>
        </w:rPr>
        <w:t xml:space="preserve">by Public Health Wales, </w:t>
      </w:r>
      <w:r w:rsidRPr="00901C84">
        <w:rPr>
          <w:rFonts w:ascii="Verdana" w:hAnsi="Verdana"/>
        </w:rPr>
        <w:t xml:space="preserve">to </w:t>
      </w:r>
      <w:r w:rsidR="00F03843" w:rsidRPr="00901C84">
        <w:rPr>
          <w:rFonts w:ascii="Verdana" w:hAnsi="Verdana"/>
        </w:rPr>
        <w:t>ensure</w:t>
      </w:r>
      <w:r w:rsidRPr="00901C84">
        <w:rPr>
          <w:rFonts w:ascii="Verdana" w:hAnsi="Verdana"/>
        </w:rPr>
        <w:t xml:space="preserve"> the ongoing development and improvement of the organisations governance arrangements.</w:t>
      </w:r>
      <w:r w:rsidR="00F03843" w:rsidRPr="00901C84">
        <w:rPr>
          <w:rFonts w:ascii="Verdana" w:hAnsi="Verdana"/>
        </w:rPr>
        <w:t xml:space="preserve"> </w:t>
      </w:r>
      <w:r w:rsidR="001B7683" w:rsidRPr="00901C84">
        <w:rPr>
          <w:rFonts w:ascii="Verdana" w:hAnsi="Verdana"/>
        </w:rPr>
        <w:t xml:space="preserve">This includes scrutiny of </w:t>
      </w:r>
      <w:r w:rsidRPr="00901C84">
        <w:rPr>
          <w:rFonts w:ascii="Verdana" w:hAnsi="Verdana"/>
        </w:rPr>
        <w:t>the adequacy of executive and managements response to issues identified by audit, inspecti</w:t>
      </w:r>
      <w:r w:rsidR="00F03843" w:rsidRPr="00901C84">
        <w:rPr>
          <w:rFonts w:ascii="Verdana" w:hAnsi="Verdana"/>
        </w:rPr>
        <w:t>on and other assurance activity</w:t>
      </w:r>
      <w:r w:rsidRPr="00901C84">
        <w:rPr>
          <w:rFonts w:ascii="Verdana" w:hAnsi="Verdana"/>
        </w:rPr>
        <w:t>.</w:t>
      </w:r>
    </w:p>
    <w:p w14:paraId="0F5FF950" w14:textId="77777777" w:rsidR="00731BFE" w:rsidRPr="00901C84" w:rsidRDefault="00731BFE" w:rsidP="00A83719">
      <w:pPr>
        <w:spacing w:after="0" w:line="240" w:lineRule="auto"/>
        <w:jc w:val="both"/>
        <w:rPr>
          <w:rFonts w:ascii="Verdana" w:hAnsi="Verdana"/>
        </w:rPr>
      </w:pPr>
    </w:p>
    <w:p w14:paraId="6FEC1D4C" w14:textId="77777777" w:rsidR="00731BFE" w:rsidRPr="00901C84" w:rsidRDefault="00731BFE" w:rsidP="00A83719">
      <w:pPr>
        <w:spacing w:after="0" w:line="240" w:lineRule="auto"/>
        <w:jc w:val="both"/>
        <w:rPr>
          <w:rFonts w:ascii="Verdana" w:hAnsi="Verdana"/>
        </w:rPr>
      </w:pPr>
      <w:r w:rsidRPr="00901C84">
        <w:rPr>
          <w:rFonts w:ascii="Verdana" w:hAnsi="Verdana"/>
        </w:rPr>
        <w:t>ACGC achieve this through:</w:t>
      </w:r>
    </w:p>
    <w:p w14:paraId="502CD608" w14:textId="77777777" w:rsidR="00731BFE" w:rsidRPr="00901C84" w:rsidRDefault="00731BFE" w:rsidP="00A83719">
      <w:pPr>
        <w:pStyle w:val="ListParagraph"/>
        <w:numPr>
          <w:ilvl w:val="0"/>
          <w:numId w:val="1"/>
        </w:numPr>
        <w:jc w:val="both"/>
        <w:rPr>
          <w:rFonts w:ascii="Verdana" w:hAnsi="Verdana"/>
        </w:rPr>
      </w:pPr>
      <w:r w:rsidRPr="00901C84">
        <w:rPr>
          <w:rFonts w:ascii="Verdana" w:hAnsi="Verdana"/>
        </w:rPr>
        <w:t xml:space="preserve">All Audit reports are reported to the ACGC for assurance. </w:t>
      </w:r>
    </w:p>
    <w:p w14:paraId="631BE09F" w14:textId="77777777" w:rsidR="00731BFE" w:rsidRPr="00901C84" w:rsidRDefault="00731BFE" w:rsidP="00F03843">
      <w:pPr>
        <w:pStyle w:val="ListParagraph"/>
        <w:numPr>
          <w:ilvl w:val="1"/>
          <w:numId w:val="1"/>
        </w:numPr>
        <w:jc w:val="both"/>
        <w:rPr>
          <w:rFonts w:ascii="Verdana" w:hAnsi="Verdana"/>
        </w:rPr>
      </w:pPr>
      <w:r w:rsidRPr="00901C84">
        <w:rPr>
          <w:rFonts w:ascii="Verdana" w:hAnsi="Verdana"/>
        </w:rPr>
        <w:t xml:space="preserve">If the report is No or Limited assurances, and / or high risk actions, the report will be placed on ACGC agenda for discussion. </w:t>
      </w:r>
    </w:p>
    <w:p w14:paraId="3F852D4C" w14:textId="77777777" w:rsidR="00731BFE" w:rsidRPr="00901C84" w:rsidRDefault="00731BFE" w:rsidP="00F03843">
      <w:pPr>
        <w:pStyle w:val="ListParagraph"/>
        <w:numPr>
          <w:ilvl w:val="1"/>
          <w:numId w:val="1"/>
        </w:numPr>
        <w:jc w:val="both"/>
        <w:rPr>
          <w:rFonts w:ascii="Verdana" w:hAnsi="Verdana"/>
        </w:rPr>
      </w:pPr>
      <w:r w:rsidRPr="00901C84">
        <w:rPr>
          <w:rFonts w:ascii="Verdana" w:hAnsi="Verdana"/>
        </w:rPr>
        <w:t xml:space="preserve">If the report is reasonable, substantial and does not contain any high priority actions, the report will be reported to ACGC in the </w:t>
      </w:r>
      <w:r w:rsidR="00905B19" w:rsidRPr="00901C84">
        <w:rPr>
          <w:rFonts w:ascii="Verdana" w:hAnsi="Verdana"/>
        </w:rPr>
        <w:t>‘</w:t>
      </w:r>
      <w:r w:rsidRPr="00901C84">
        <w:rPr>
          <w:rFonts w:ascii="Verdana" w:hAnsi="Verdana"/>
        </w:rPr>
        <w:t>to note</w:t>
      </w:r>
      <w:r w:rsidR="00905B19" w:rsidRPr="00901C84">
        <w:rPr>
          <w:rFonts w:ascii="Verdana" w:hAnsi="Verdana"/>
        </w:rPr>
        <w:t>’</w:t>
      </w:r>
      <w:r w:rsidRPr="00901C84">
        <w:rPr>
          <w:rFonts w:ascii="Verdana" w:hAnsi="Verdana"/>
        </w:rPr>
        <w:t xml:space="preserve"> section. </w:t>
      </w:r>
    </w:p>
    <w:p w14:paraId="732787E9" w14:textId="77777777" w:rsidR="00731BFE" w:rsidRPr="00901C84" w:rsidRDefault="00731BFE" w:rsidP="00A83719">
      <w:pPr>
        <w:spacing w:after="0" w:line="240" w:lineRule="auto"/>
        <w:jc w:val="both"/>
        <w:rPr>
          <w:rFonts w:ascii="Verdana" w:hAnsi="Verdana"/>
        </w:rPr>
      </w:pPr>
    </w:p>
    <w:p w14:paraId="4E95E48A" w14:textId="77777777" w:rsidR="003B4C05" w:rsidRPr="00901C84" w:rsidRDefault="001B7683" w:rsidP="00A83719">
      <w:pPr>
        <w:jc w:val="both"/>
        <w:rPr>
          <w:rFonts w:ascii="Verdana" w:hAnsi="Verdana"/>
          <w:b/>
        </w:rPr>
      </w:pPr>
      <w:r w:rsidRPr="00901C84">
        <w:rPr>
          <w:rFonts w:ascii="Verdana" w:hAnsi="Verdana"/>
          <w:b/>
        </w:rPr>
        <w:t>Remit</w:t>
      </w:r>
      <w:r w:rsidR="003B4C05" w:rsidRPr="00901C84">
        <w:rPr>
          <w:rFonts w:ascii="Verdana" w:hAnsi="Verdana"/>
          <w:b/>
        </w:rPr>
        <w:t xml:space="preserve"> Committees</w:t>
      </w:r>
    </w:p>
    <w:p w14:paraId="676D5560" w14:textId="77777777" w:rsidR="00A83719" w:rsidRPr="00901C84" w:rsidRDefault="003B4C05" w:rsidP="00A83719">
      <w:pPr>
        <w:jc w:val="both"/>
        <w:rPr>
          <w:rFonts w:ascii="Verdana" w:hAnsi="Verdana"/>
        </w:rPr>
      </w:pPr>
      <w:r w:rsidRPr="00901C84">
        <w:rPr>
          <w:rFonts w:ascii="Verdana" w:hAnsi="Verdana"/>
        </w:rPr>
        <w:t>Where the subject matter of a</w:t>
      </w:r>
      <w:r w:rsidR="00731BFE" w:rsidRPr="00901C84">
        <w:rPr>
          <w:rFonts w:ascii="Verdana" w:hAnsi="Verdana"/>
        </w:rPr>
        <w:t>n</w:t>
      </w:r>
      <w:r w:rsidRPr="00901C84">
        <w:rPr>
          <w:rFonts w:ascii="Verdana" w:hAnsi="Verdana"/>
        </w:rPr>
        <w:t xml:space="preserve"> </w:t>
      </w:r>
      <w:r w:rsidR="001B7683" w:rsidRPr="00901C84">
        <w:rPr>
          <w:rFonts w:ascii="Verdana" w:hAnsi="Verdana"/>
        </w:rPr>
        <w:t>audit report</w:t>
      </w:r>
      <w:r w:rsidRPr="00901C84">
        <w:rPr>
          <w:rFonts w:ascii="Verdana" w:hAnsi="Verdana"/>
        </w:rPr>
        <w:t xml:space="preserve"> falls within the remit of one of the </w:t>
      </w:r>
      <w:r w:rsidR="007E3AA2" w:rsidRPr="00901C84">
        <w:rPr>
          <w:rFonts w:ascii="Verdana" w:hAnsi="Verdana"/>
        </w:rPr>
        <w:t xml:space="preserve">other </w:t>
      </w:r>
      <w:r w:rsidRPr="00901C84">
        <w:rPr>
          <w:rFonts w:ascii="Verdana" w:hAnsi="Verdana"/>
        </w:rPr>
        <w:t>Board Committees, the report is also submitted to that Committee</w:t>
      </w:r>
      <w:r w:rsidR="001B7683" w:rsidRPr="00901C84">
        <w:rPr>
          <w:rFonts w:ascii="Verdana" w:hAnsi="Verdana"/>
        </w:rPr>
        <w:t>, following consideration at ACGC.</w:t>
      </w:r>
      <w:r w:rsidRPr="00901C84">
        <w:rPr>
          <w:rFonts w:ascii="Verdana" w:hAnsi="Verdana"/>
        </w:rPr>
        <w:t xml:space="preserve"> </w:t>
      </w:r>
    </w:p>
    <w:p w14:paraId="68713C82" w14:textId="77777777" w:rsidR="003B4C05" w:rsidRPr="00901C84" w:rsidRDefault="003B4C05" w:rsidP="00A83719">
      <w:pPr>
        <w:jc w:val="both"/>
        <w:rPr>
          <w:rFonts w:ascii="Verdana" w:hAnsi="Verdana"/>
        </w:rPr>
      </w:pPr>
      <w:r w:rsidRPr="00901C84">
        <w:rPr>
          <w:rFonts w:ascii="Verdana" w:hAnsi="Verdana"/>
        </w:rPr>
        <w:t xml:space="preserve">The role of the </w:t>
      </w:r>
      <w:r w:rsidR="001B7683" w:rsidRPr="00901C84">
        <w:rPr>
          <w:rFonts w:ascii="Verdana" w:hAnsi="Verdana"/>
        </w:rPr>
        <w:t>Remit</w:t>
      </w:r>
      <w:r w:rsidRPr="00901C84">
        <w:rPr>
          <w:rFonts w:ascii="Verdana" w:hAnsi="Verdana"/>
        </w:rPr>
        <w:t xml:space="preserve"> Committee is to receive the report and to consider the recommendations made in the context of its work plan</w:t>
      </w:r>
      <w:r w:rsidR="00F03843" w:rsidRPr="00901C84">
        <w:rPr>
          <w:rFonts w:ascii="Verdana" w:hAnsi="Verdana"/>
        </w:rPr>
        <w:t>,</w:t>
      </w:r>
      <w:r w:rsidRPr="00901C84">
        <w:rPr>
          <w:rFonts w:ascii="Verdana" w:hAnsi="Verdana"/>
        </w:rPr>
        <w:t xml:space="preserve"> and the ar</w:t>
      </w:r>
      <w:r w:rsidR="00A83719" w:rsidRPr="00901C84">
        <w:rPr>
          <w:rFonts w:ascii="Verdana" w:hAnsi="Verdana"/>
        </w:rPr>
        <w:t xml:space="preserve">eas of focus within its remit. Where relevant, the information contained in the reports will then be used to inform discussions of items on the work plan for the </w:t>
      </w:r>
      <w:r w:rsidR="007E3AA2" w:rsidRPr="00901C84">
        <w:rPr>
          <w:rFonts w:ascii="Verdana" w:hAnsi="Verdana"/>
        </w:rPr>
        <w:t>C</w:t>
      </w:r>
      <w:r w:rsidR="00A83719" w:rsidRPr="00901C84">
        <w:rPr>
          <w:rFonts w:ascii="Verdana" w:hAnsi="Verdana"/>
        </w:rPr>
        <w:t xml:space="preserve">ommittee. </w:t>
      </w:r>
    </w:p>
    <w:p w14:paraId="5B2B31FF" w14:textId="77777777" w:rsidR="001B7683" w:rsidRPr="00901C84" w:rsidRDefault="00A83719" w:rsidP="00A83719">
      <w:pPr>
        <w:jc w:val="both"/>
        <w:rPr>
          <w:rFonts w:ascii="Verdana" w:hAnsi="Verdana"/>
        </w:rPr>
      </w:pPr>
      <w:r w:rsidRPr="00901C84">
        <w:rPr>
          <w:rFonts w:ascii="Verdana" w:hAnsi="Verdana"/>
        </w:rPr>
        <w:t>In receiving the reports, the Remit Committee will apply the same approach outlined above to determine if the matter requires dis</w:t>
      </w:r>
      <w:r w:rsidR="007E3AA2" w:rsidRPr="00901C84">
        <w:rPr>
          <w:rFonts w:ascii="Verdana" w:hAnsi="Verdana"/>
        </w:rPr>
        <w:t>cussion at a Committee meeting</w:t>
      </w:r>
      <w:r w:rsidR="00F03843" w:rsidRPr="00901C84">
        <w:rPr>
          <w:rFonts w:ascii="Verdana" w:hAnsi="Verdana"/>
        </w:rPr>
        <w:t xml:space="preserve"> or to be reported in the to note section for information.</w:t>
      </w:r>
    </w:p>
    <w:p w14:paraId="2329FD9F" w14:textId="77777777" w:rsidR="00A83719" w:rsidRPr="00901C84" w:rsidRDefault="00A83719" w:rsidP="00F03843">
      <w:pPr>
        <w:pStyle w:val="ListParagraph"/>
        <w:jc w:val="both"/>
        <w:rPr>
          <w:rFonts w:ascii="Verdana" w:hAnsi="Verdana"/>
        </w:rPr>
        <w:sectPr w:rsidR="00A83719" w:rsidRPr="00901C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CF38B84" w14:textId="77777777" w:rsidR="00075C7F" w:rsidRPr="00901C84" w:rsidRDefault="00A83719" w:rsidP="00A83719">
      <w:pPr>
        <w:shd w:val="clear" w:color="auto" w:fill="DEEAF6" w:themeFill="accent1" w:themeFillTint="33"/>
        <w:rPr>
          <w:rFonts w:ascii="Verdana" w:hAnsi="Verdana"/>
          <w:b/>
        </w:rPr>
      </w:pPr>
      <w:r w:rsidRPr="00901C84">
        <w:rPr>
          <w:rFonts w:ascii="Verdana" w:hAnsi="Verdana"/>
          <w:b/>
        </w:rPr>
        <w:t xml:space="preserve">Monitoring and Implementation of </w:t>
      </w:r>
      <w:r w:rsidR="00075C7F" w:rsidRPr="00901C84">
        <w:rPr>
          <w:rFonts w:ascii="Verdana" w:hAnsi="Verdana"/>
          <w:b/>
        </w:rPr>
        <w:t>Action</w:t>
      </w:r>
    </w:p>
    <w:p w14:paraId="463BF6C2" w14:textId="77777777" w:rsidR="00182EA7" w:rsidRPr="00901C84" w:rsidRDefault="00182EA7" w:rsidP="007E3AA2">
      <w:pPr>
        <w:jc w:val="both"/>
        <w:rPr>
          <w:rFonts w:ascii="Verdana" w:hAnsi="Verdana"/>
        </w:rPr>
      </w:pPr>
      <w:r w:rsidRPr="00901C84">
        <w:rPr>
          <w:rFonts w:ascii="Verdana" w:hAnsi="Verdana"/>
        </w:rPr>
        <w:t xml:space="preserve">The </w:t>
      </w:r>
      <w:r w:rsidR="007E3AA2" w:rsidRPr="00901C84">
        <w:rPr>
          <w:rFonts w:ascii="Verdana" w:hAnsi="Verdana"/>
        </w:rPr>
        <w:t xml:space="preserve">Audit </w:t>
      </w:r>
      <w:r w:rsidRPr="00901C84">
        <w:rPr>
          <w:rFonts w:ascii="Verdana" w:hAnsi="Verdana"/>
        </w:rPr>
        <w:t>Action Log enables the tracking of progress against agreed management actions</w:t>
      </w:r>
      <w:r w:rsidR="007E3AA2" w:rsidRPr="00901C84">
        <w:rPr>
          <w:rFonts w:ascii="Verdana" w:hAnsi="Verdana"/>
        </w:rPr>
        <w:t xml:space="preserve">. </w:t>
      </w:r>
      <w:r w:rsidR="00F03843" w:rsidRPr="00901C84">
        <w:rPr>
          <w:rFonts w:ascii="Verdana" w:hAnsi="Verdana"/>
        </w:rPr>
        <w:t>ACGC</w:t>
      </w:r>
      <w:r w:rsidR="007E3AA2" w:rsidRPr="00901C84">
        <w:rPr>
          <w:rFonts w:ascii="Verdana" w:hAnsi="Verdana"/>
        </w:rPr>
        <w:t xml:space="preserve"> has oversight of the log,</w:t>
      </w:r>
      <w:r w:rsidRPr="00901C84">
        <w:rPr>
          <w:rFonts w:ascii="Verdana" w:hAnsi="Verdana"/>
        </w:rPr>
        <w:t xml:space="preserve"> to receive assurance </w:t>
      </w:r>
      <w:r w:rsidR="007E3AA2" w:rsidRPr="00901C84">
        <w:rPr>
          <w:rFonts w:ascii="Verdana" w:hAnsi="Verdana"/>
        </w:rPr>
        <w:t>on progress and timeliness of the implementation of actions</w:t>
      </w:r>
      <w:r w:rsidR="00F03843" w:rsidRPr="00901C84">
        <w:rPr>
          <w:rFonts w:ascii="Verdana" w:hAnsi="Verdana"/>
        </w:rPr>
        <w:t xml:space="preserve"> identified through audit activity</w:t>
      </w:r>
      <w:r w:rsidR="007E3AA2" w:rsidRPr="00901C84">
        <w:rPr>
          <w:rFonts w:ascii="Verdana" w:hAnsi="Verdana"/>
        </w:rPr>
        <w:t>.</w:t>
      </w:r>
    </w:p>
    <w:p w14:paraId="057645F9" w14:textId="77777777" w:rsidR="001B7683" w:rsidRPr="00901C84" w:rsidRDefault="001B7683" w:rsidP="007E3AA2">
      <w:pPr>
        <w:jc w:val="both"/>
        <w:rPr>
          <w:rFonts w:ascii="Verdana" w:hAnsi="Verdana"/>
        </w:rPr>
      </w:pPr>
      <w:r w:rsidRPr="00901C84">
        <w:rPr>
          <w:rFonts w:ascii="Verdana" w:hAnsi="Verdana"/>
        </w:rPr>
        <w:t>The Business Executive Team are responsible for monitor</w:t>
      </w:r>
      <w:r w:rsidR="00182EA7" w:rsidRPr="00901C84">
        <w:rPr>
          <w:rFonts w:ascii="Verdana" w:hAnsi="Verdana"/>
        </w:rPr>
        <w:t>ing</w:t>
      </w:r>
      <w:r w:rsidRPr="00901C84">
        <w:rPr>
          <w:rFonts w:ascii="Verdana" w:hAnsi="Verdana"/>
        </w:rPr>
        <w:t xml:space="preserve"> the Audit Action Log and approve any changes to deadline dates</w:t>
      </w:r>
      <w:r w:rsidR="007E3AA2" w:rsidRPr="00901C84">
        <w:rPr>
          <w:rFonts w:ascii="Verdana" w:hAnsi="Verdana"/>
        </w:rPr>
        <w:t>,</w:t>
      </w:r>
      <w:r w:rsidRPr="00901C84">
        <w:rPr>
          <w:rFonts w:ascii="Verdana" w:hAnsi="Verdana"/>
        </w:rPr>
        <w:t xml:space="preserve"> and the closure of any completed actions. </w:t>
      </w:r>
    </w:p>
    <w:p w14:paraId="25671E9A" w14:textId="77777777" w:rsidR="00901C84" w:rsidRPr="00901C84" w:rsidRDefault="00901C84" w:rsidP="007E3AA2">
      <w:pPr>
        <w:jc w:val="both"/>
        <w:rPr>
          <w:rFonts w:ascii="Verdana" w:hAnsi="Verdana"/>
        </w:rPr>
      </w:pPr>
      <w:r w:rsidRPr="00901C84">
        <w:rPr>
          <w:rFonts w:ascii="Verdana" w:hAnsi="Verdana"/>
        </w:rPr>
        <w:t xml:space="preserve">The Board Business Unit will manage the process for updating the log and retain the master copy of the log. </w:t>
      </w:r>
    </w:p>
    <w:p w14:paraId="000DB5D1" w14:textId="6738A04A" w:rsidR="007E3AA2" w:rsidRPr="00901C84" w:rsidRDefault="007E3AA2" w:rsidP="007E3AA2">
      <w:pPr>
        <w:pStyle w:val="Pa8"/>
        <w:spacing w:after="140"/>
        <w:jc w:val="both"/>
        <w:rPr>
          <w:rFonts w:ascii="Verdana" w:hAnsi="Verdana"/>
          <w:sz w:val="22"/>
          <w:szCs w:val="22"/>
        </w:rPr>
      </w:pPr>
      <w:r w:rsidRPr="00901C84">
        <w:rPr>
          <w:rFonts w:ascii="Verdana" w:hAnsi="Verdana"/>
          <w:sz w:val="22"/>
          <w:szCs w:val="22"/>
        </w:rPr>
        <w:t xml:space="preserve">The Audit Action Log will be reported to the Business Executive Team </w:t>
      </w:r>
      <w:r w:rsidR="007362DC">
        <w:rPr>
          <w:rFonts w:ascii="Verdana" w:hAnsi="Verdana"/>
          <w:sz w:val="22"/>
          <w:szCs w:val="22"/>
        </w:rPr>
        <w:t xml:space="preserve">a minimum of </w:t>
      </w:r>
      <w:r w:rsidRPr="00901C84">
        <w:rPr>
          <w:rFonts w:ascii="Verdana" w:hAnsi="Verdana"/>
          <w:sz w:val="22"/>
          <w:szCs w:val="22"/>
        </w:rPr>
        <w:t xml:space="preserve">quarterly (June, September, December, March) for monitoring and to approve any changes to deadline dates, and the closure of any completed actions. The Executive Lead for each report will </w:t>
      </w:r>
      <w:r w:rsidR="00901C84" w:rsidRPr="00901C84">
        <w:rPr>
          <w:rFonts w:ascii="Verdana" w:hAnsi="Verdana"/>
          <w:sz w:val="22"/>
          <w:szCs w:val="22"/>
        </w:rPr>
        <w:t xml:space="preserve">and will liaise with their team and </w:t>
      </w:r>
      <w:r w:rsidRPr="00901C84">
        <w:rPr>
          <w:rFonts w:ascii="Verdana" w:hAnsi="Verdana"/>
          <w:sz w:val="22"/>
          <w:szCs w:val="22"/>
        </w:rPr>
        <w:t xml:space="preserve">update the log quarterly, to in accordance with the timescales set.  </w:t>
      </w:r>
    </w:p>
    <w:p w14:paraId="2904CB6C" w14:textId="77777777" w:rsidR="007E3AA2" w:rsidRPr="00901C84" w:rsidRDefault="007E3AA2" w:rsidP="007E3AA2">
      <w:pPr>
        <w:jc w:val="both"/>
        <w:rPr>
          <w:rFonts w:ascii="Verdana" w:hAnsi="Verdana"/>
        </w:rPr>
      </w:pPr>
      <w:r w:rsidRPr="00901C84">
        <w:rPr>
          <w:rFonts w:ascii="Verdana" w:hAnsi="Verdana"/>
        </w:rPr>
        <w:t xml:space="preserve">The Audit action Log will be reported in full to the ACGC at least twice yearly, In September (Reporting period March – August) and March (Reporting period September to February) , along with a covering report highlighting any risks / issues, and a summary of changes since the last review. </w:t>
      </w:r>
    </w:p>
    <w:p w14:paraId="37FCC66D" w14:textId="77777777" w:rsidR="00182EA7" w:rsidRPr="00901C84" w:rsidRDefault="00182EA7" w:rsidP="00681488">
      <w:pPr>
        <w:pStyle w:val="BodyText"/>
        <w:spacing w:before="1"/>
        <w:ind w:right="519"/>
        <w:rPr>
          <w:rFonts w:ascii="Verdana" w:hAnsi="Verdana"/>
          <w:b/>
        </w:rPr>
      </w:pPr>
    </w:p>
    <w:p w14:paraId="7755230E" w14:textId="77777777" w:rsidR="00681488" w:rsidRPr="00901C84" w:rsidRDefault="00681488" w:rsidP="00681488">
      <w:pPr>
        <w:pStyle w:val="BodyText"/>
        <w:spacing w:before="1"/>
        <w:ind w:right="519"/>
        <w:rPr>
          <w:rFonts w:ascii="Verdana" w:hAnsi="Verdana"/>
          <w:b/>
        </w:rPr>
      </w:pPr>
      <w:r w:rsidRPr="00901C84">
        <w:rPr>
          <w:rFonts w:ascii="Verdana" w:hAnsi="Verdana"/>
          <w:b/>
        </w:rPr>
        <w:t>Review of this protocol and Feedback</w:t>
      </w:r>
    </w:p>
    <w:p w14:paraId="182EB9AA" w14:textId="77777777" w:rsidR="00681488" w:rsidRPr="00901C84" w:rsidRDefault="00681488" w:rsidP="00681488">
      <w:pPr>
        <w:pStyle w:val="BodyText"/>
        <w:spacing w:before="1"/>
        <w:ind w:right="519"/>
        <w:rPr>
          <w:rFonts w:ascii="Verdana" w:hAnsi="Verdana"/>
          <w:b/>
        </w:rPr>
      </w:pPr>
    </w:p>
    <w:p w14:paraId="53955FAF" w14:textId="77777777" w:rsidR="00681488" w:rsidRPr="00901C84" w:rsidRDefault="00681488" w:rsidP="00681488">
      <w:pPr>
        <w:pStyle w:val="BodyText"/>
        <w:spacing w:before="1"/>
        <w:ind w:right="519"/>
        <w:rPr>
          <w:rFonts w:ascii="Verdana" w:hAnsi="Verdana"/>
        </w:rPr>
      </w:pPr>
      <w:r w:rsidRPr="00901C84">
        <w:rPr>
          <w:rFonts w:ascii="Verdana" w:hAnsi="Verdana"/>
        </w:rPr>
        <w:t xml:space="preserve">This protocol will be reviewed at least annually to ensure it continues to meet the needs of the organisation. </w:t>
      </w:r>
    </w:p>
    <w:p w14:paraId="2484ADDE" w14:textId="77777777" w:rsidR="00681488" w:rsidRPr="00901C84" w:rsidRDefault="00681488" w:rsidP="00681488">
      <w:pPr>
        <w:pStyle w:val="BodyText"/>
        <w:spacing w:before="1"/>
        <w:ind w:right="519"/>
        <w:rPr>
          <w:rFonts w:ascii="Verdana" w:hAnsi="Verdana"/>
        </w:rPr>
      </w:pPr>
    </w:p>
    <w:p w14:paraId="110EE9B4" w14:textId="77777777" w:rsidR="00681488" w:rsidRPr="00901C84" w:rsidRDefault="00681488" w:rsidP="00681488">
      <w:pPr>
        <w:pStyle w:val="BodyText"/>
        <w:spacing w:before="1"/>
        <w:ind w:right="519"/>
        <w:rPr>
          <w:rFonts w:ascii="Verdana" w:hAnsi="Verdana"/>
        </w:rPr>
      </w:pPr>
      <w:r w:rsidRPr="00901C84">
        <w:rPr>
          <w:rFonts w:ascii="Verdana" w:hAnsi="Verdana"/>
        </w:rPr>
        <w:t xml:space="preserve">We welcome any feedback about this protocol and are happy to respond to any queries in relation to it. Please email the Board Secretary and Head of Board Business Unit at </w:t>
      </w:r>
    </w:p>
    <w:p w14:paraId="35A4DADB" w14:textId="561B83C0" w:rsidR="00075C7F" w:rsidRPr="00681488" w:rsidRDefault="00B311E3" w:rsidP="007362DC">
      <w:pPr>
        <w:pStyle w:val="BodyText"/>
        <w:spacing w:before="1"/>
        <w:ind w:right="519"/>
        <w:rPr>
          <w:rFonts w:ascii="Verdana" w:hAnsi="Verdana"/>
        </w:rPr>
      </w:pPr>
      <w:hyperlink r:id="rId14" w:history="1">
        <w:r w:rsidR="00681488" w:rsidRPr="00901C84">
          <w:rPr>
            <w:rStyle w:val="Hyperlink"/>
            <w:rFonts w:ascii="Verdana" w:hAnsi="Verdana"/>
          </w:rPr>
          <w:t>PHW.CorporateGovernance@wales.nhs.uk</w:t>
        </w:r>
      </w:hyperlink>
      <w:r w:rsidR="00681488" w:rsidRPr="00901C84">
        <w:rPr>
          <w:rFonts w:ascii="Verdana" w:hAnsi="Verdana"/>
        </w:rPr>
        <w:t xml:space="preserve"> </w:t>
      </w:r>
    </w:p>
    <w:p w14:paraId="106CC8F2" w14:textId="77777777" w:rsidR="00805415" w:rsidRPr="00075C7F" w:rsidRDefault="00805415" w:rsidP="003B4C05">
      <w:pPr>
        <w:ind w:left="-1134"/>
        <w:rPr>
          <w:rFonts w:ascii="Verdana" w:hAnsi="Verdana"/>
        </w:rPr>
      </w:pPr>
    </w:p>
    <w:sectPr w:rsidR="00805415" w:rsidRPr="00075C7F" w:rsidSect="007362DC">
      <w:headerReference w:type="even" r:id="rId15"/>
      <w:headerReference w:type="default" r:id="rId16"/>
      <w:head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547E2" w14:textId="77777777" w:rsidR="00075C7F" w:rsidRDefault="00075C7F" w:rsidP="00075C7F">
      <w:pPr>
        <w:spacing w:after="0" w:line="240" w:lineRule="auto"/>
      </w:pPr>
      <w:r>
        <w:separator/>
      </w:r>
    </w:p>
  </w:endnote>
  <w:endnote w:type="continuationSeparator" w:id="0">
    <w:p w14:paraId="205032B9" w14:textId="77777777" w:rsidR="00075C7F" w:rsidRDefault="00075C7F" w:rsidP="0007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6F199" w14:textId="77777777" w:rsidR="00F03843" w:rsidRDefault="00F03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47C0" w14:textId="77777777" w:rsidR="00F03843" w:rsidRDefault="00F03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16F0" w14:textId="77777777" w:rsidR="00F03843" w:rsidRDefault="00F03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D8D28" w14:textId="77777777" w:rsidR="00075C7F" w:rsidRDefault="00075C7F" w:rsidP="00075C7F">
      <w:pPr>
        <w:spacing w:after="0" w:line="240" w:lineRule="auto"/>
      </w:pPr>
      <w:r>
        <w:separator/>
      </w:r>
    </w:p>
  </w:footnote>
  <w:footnote w:type="continuationSeparator" w:id="0">
    <w:p w14:paraId="095085FB" w14:textId="77777777" w:rsidR="00075C7F" w:rsidRDefault="00075C7F" w:rsidP="0007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B1C3" w14:textId="77777777" w:rsidR="00F03843" w:rsidRDefault="00B311E3">
    <w:pPr>
      <w:pStyle w:val="Header"/>
    </w:pPr>
    <w:r>
      <w:rPr>
        <w:noProof/>
      </w:rPr>
      <w:pict w14:anchorId="4C728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42219" o:spid="_x0000_s2052"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4C02" w14:textId="03482562" w:rsidR="00932FBD" w:rsidRDefault="00B311E3" w:rsidP="00932FBD">
    <w:pPr>
      <w:pStyle w:val="Header"/>
      <w:jc w:val="right"/>
    </w:pPr>
    <w:r>
      <w:rPr>
        <w:noProof/>
      </w:rPr>
      <w:pict w14:anchorId="60C2D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42220" o:spid="_x0000_s2053" type="#_x0000_t136" style="position:absolute;left:0;text-align:left;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id w:val="-1318336367"/>
        <w:docPartObj>
          <w:docPartGallery w:val="Page Numbers (Top of Page)"/>
          <w:docPartUnique/>
        </w:docPartObj>
      </w:sdtPr>
      <w:sdtEndPr/>
      <w:sdtContent>
        <w:r w:rsidR="00932FBD" w:rsidRPr="00DE5DAD">
          <w:rPr>
            <w:rFonts w:ascii="Verdana" w:hAnsi="Verdana"/>
            <w:sz w:val="20"/>
            <w:szCs w:val="24"/>
          </w:rPr>
          <w:t xml:space="preserve">Page </w:t>
        </w:r>
        <w:r w:rsidR="00932FBD" w:rsidRPr="00DE5DAD">
          <w:rPr>
            <w:rFonts w:ascii="Verdana" w:hAnsi="Verdana"/>
            <w:b/>
            <w:bCs/>
            <w:sz w:val="20"/>
            <w:szCs w:val="24"/>
          </w:rPr>
          <w:fldChar w:fldCharType="begin"/>
        </w:r>
        <w:r w:rsidR="00932FBD" w:rsidRPr="00DE5DAD">
          <w:rPr>
            <w:rFonts w:ascii="Verdana" w:hAnsi="Verdana"/>
            <w:b/>
            <w:bCs/>
            <w:sz w:val="20"/>
            <w:szCs w:val="24"/>
          </w:rPr>
          <w:instrText xml:space="preserve"> PAGE </w:instrText>
        </w:r>
        <w:r w:rsidR="00932FBD" w:rsidRPr="00DE5DAD">
          <w:rPr>
            <w:rFonts w:ascii="Verdana" w:hAnsi="Verdana"/>
            <w:b/>
            <w:bCs/>
            <w:sz w:val="20"/>
            <w:szCs w:val="24"/>
          </w:rPr>
          <w:fldChar w:fldCharType="separate"/>
        </w:r>
        <w:r>
          <w:rPr>
            <w:rFonts w:ascii="Verdana" w:hAnsi="Verdana"/>
            <w:b/>
            <w:bCs/>
            <w:noProof/>
            <w:sz w:val="20"/>
            <w:szCs w:val="24"/>
          </w:rPr>
          <w:t>3</w:t>
        </w:r>
        <w:r w:rsidR="00932FBD" w:rsidRPr="00DE5DAD">
          <w:rPr>
            <w:rFonts w:ascii="Verdana" w:hAnsi="Verdana"/>
            <w:b/>
            <w:bCs/>
            <w:sz w:val="20"/>
            <w:szCs w:val="24"/>
          </w:rPr>
          <w:fldChar w:fldCharType="end"/>
        </w:r>
        <w:r w:rsidR="00932FBD" w:rsidRPr="00DE5DAD">
          <w:rPr>
            <w:rFonts w:ascii="Verdana" w:hAnsi="Verdana"/>
            <w:sz w:val="20"/>
            <w:szCs w:val="24"/>
          </w:rPr>
          <w:t xml:space="preserve"> of </w:t>
        </w:r>
        <w:r w:rsidR="00932FBD" w:rsidRPr="00DE5DAD">
          <w:rPr>
            <w:rFonts w:ascii="Verdana" w:hAnsi="Verdana"/>
            <w:b/>
            <w:bCs/>
            <w:sz w:val="20"/>
            <w:szCs w:val="24"/>
          </w:rPr>
          <w:fldChar w:fldCharType="begin"/>
        </w:r>
        <w:r w:rsidR="00932FBD" w:rsidRPr="00DE5DAD">
          <w:rPr>
            <w:rFonts w:ascii="Verdana" w:hAnsi="Verdana"/>
            <w:b/>
            <w:bCs/>
            <w:sz w:val="20"/>
            <w:szCs w:val="24"/>
          </w:rPr>
          <w:instrText xml:space="preserve"> NUMPAGES  </w:instrText>
        </w:r>
        <w:r w:rsidR="00932FBD" w:rsidRPr="00DE5DAD">
          <w:rPr>
            <w:rFonts w:ascii="Verdana" w:hAnsi="Verdana"/>
            <w:b/>
            <w:bCs/>
            <w:sz w:val="20"/>
            <w:szCs w:val="24"/>
          </w:rPr>
          <w:fldChar w:fldCharType="separate"/>
        </w:r>
        <w:r>
          <w:rPr>
            <w:rFonts w:ascii="Verdana" w:hAnsi="Verdana"/>
            <w:b/>
            <w:bCs/>
            <w:noProof/>
            <w:sz w:val="20"/>
            <w:szCs w:val="24"/>
          </w:rPr>
          <w:t>4</w:t>
        </w:r>
        <w:r w:rsidR="00932FBD" w:rsidRPr="00DE5DAD">
          <w:rPr>
            <w:rFonts w:ascii="Verdana" w:hAnsi="Verdana"/>
            <w:b/>
            <w:bCs/>
            <w:sz w:val="20"/>
            <w:szCs w:val="24"/>
          </w:rPr>
          <w:fldChar w:fldCharType="end"/>
        </w:r>
      </w:sdtContent>
    </w:sdt>
  </w:p>
  <w:p w14:paraId="4BEEA5DE" w14:textId="77777777" w:rsidR="00932FBD" w:rsidRDefault="00932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5D54" w14:textId="77777777" w:rsidR="00F03843" w:rsidRDefault="00B311E3">
    <w:pPr>
      <w:pStyle w:val="Header"/>
    </w:pPr>
    <w:r>
      <w:rPr>
        <w:noProof/>
      </w:rPr>
      <w:pict w14:anchorId="2DF13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42218" o:spid="_x0000_s2051"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A4933" w14:textId="77777777" w:rsidR="00F03843" w:rsidRDefault="00B311E3">
    <w:pPr>
      <w:pStyle w:val="Header"/>
    </w:pPr>
    <w:r>
      <w:rPr>
        <w:noProof/>
      </w:rPr>
      <w:pict w14:anchorId="1A92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42222" o:spid="_x0000_s2055" type="#_x0000_t136" style="position:absolute;margin-left:0;margin-top:0;width:397.7pt;height:238.6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2B50" w14:textId="77777777" w:rsidR="005309C1" w:rsidRPr="00681488" w:rsidRDefault="00B311E3" w:rsidP="00681488">
    <w:pPr>
      <w:pStyle w:val="Header"/>
    </w:pPr>
    <w:r>
      <w:rPr>
        <w:noProof/>
      </w:rPr>
      <w:pict w14:anchorId="0707F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42223" o:spid="_x0000_s2056" type="#_x0000_t136" style="position:absolute;margin-left:0;margin-top:0;width:397.7pt;height:238.6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F6B0" w14:textId="77777777" w:rsidR="00F03843" w:rsidRDefault="00B311E3">
    <w:pPr>
      <w:pStyle w:val="Header"/>
    </w:pPr>
    <w:r>
      <w:rPr>
        <w:noProof/>
      </w:rPr>
      <w:pict w14:anchorId="5835A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42221" o:spid="_x0000_s2054" type="#_x0000_t136" style="position:absolute;margin-left:0;margin-top:0;width:397.7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027"/>
    <w:multiLevelType w:val="hybridMultilevel"/>
    <w:tmpl w:val="1024AE04"/>
    <w:lvl w:ilvl="0" w:tplc="64DA5EC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051A1"/>
    <w:multiLevelType w:val="hybridMultilevel"/>
    <w:tmpl w:val="E2C8A16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4961AD"/>
    <w:multiLevelType w:val="hybridMultilevel"/>
    <w:tmpl w:val="0B42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02954"/>
    <w:multiLevelType w:val="hybridMultilevel"/>
    <w:tmpl w:val="8C122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7F"/>
    <w:rsid w:val="00067093"/>
    <w:rsid w:val="00075C7F"/>
    <w:rsid w:val="00182EA7"/>
    <w:rsid w:val="001B7683"/>
    <w:rsid w:val="002A6E10"/>
    <w:rsid w:val="003B4C05"/>
    <w:rsid w:val="003E7894"/>
    <w:rsid w:val="005E4D85"/>
    <w:rsid w:val="00681488"/>
    <w:rsid w:val="00731BFE"/>
    <w:rsid w:val="007362DC"/>
    <w:rsid w:val="007D0BE8"/>
    <w:rsid w:val="007E3AA2"/>
    <w:rsid w:val="00805415"/>
    <w:rsid w:val="00901C84"/>
    <w:rsid w:val="00905B19"/>
    <w:rsid w:val="00932FBD"/>
    <w:rsid w:val="00A83719"/>
    <w:rsid w:val="00AA1F24"/>
    <w:rsid w:val="00B311E3"/>
    <w:rsid w:val="00E47E4A"/>
    <w:rsid w:val="00F03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37C2B24"/>
  <w15:chartTrackingRefBased/>
  <w15:docId w15:val="{2D9EEEA2-63A5-40DA-8ADD-31D1E2C6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C7F"/>
  </w:style>
  <w:style w:type="paragraph" w:styleId="ListParagraph">
    <w:name w:val="List Paragraph"/>
    <w:basedOn w:val="Normal"/>
    <w:uiPriority w:val="1"/>
    <w:qFormat/>
    <w:rsid w:val="00075C7F"/>
    <w:pPr>
      <w:ind w:left="720"/>
      <w:contextualSpacing/>
    </w:pPr>
  </w:style>
  <w:style w:type="paragraph" w:customStyle="1" w:styleId="Pa8">
    <w:name w:val="Pa8"/>
    <w:basedOn w:val="Normal"/>
    <w:next w:val="Normal"/>
    <w:uiPriority w:val="99"/>
    <w:rsid w:val="00075C7F"/>
    <w:pPr>
      <w:autoSpaceDE w:val="0"/>
      <w:autoSpaceDN w:val="0"/>
      <w:adjustRightInd w:val="0"/>
      <w:spacing w:after="0" w:line="241" w:lineRule="atLeast"/>
    </w:pPr>
    <w:rPr>
      <w:rFonts w:ascii="Helvetica 45 Light" w:hAnsi="Helvetica 45 Light"/>
      <w:sz w:val="24"/>
      <w:szCs w:val="24"/>
    </w:rPr>
  </w:style>
  <w:style w:type="paragraph" w:styleId="Footer">
    <w:name w:val="footer"/>
    <w:basedOn w:val="Normal"/>
    <w:link w:val="FooterChar"/>
    <w:uiPriority w:val="99"/>
    <w:unhideWhenUsed/>
    <w:rsid w:val="00075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7F"/>
  </w:style>
  <w:style w:type="paragraph" w:styleId="Title">
    <w:name w:val="Title"/>
    <w:basedOn w:val="Normal"/>
    <w:link w:val="TitleChar"/>
    <w:uiPriority w:val="1"/>
    <w:qFormat/>
    <w:rsid w:val="00932FBD"/>
    <w:pPr>
      <w:widowControl w:val="0"/>
      <w:autoSpaceDE w:val="0"/>
      <w:autoSpaceDN w:val="0"/>
      <w:spacing w:before="1" w:after="0" w:line="240" w:lineRule="auto"/>
      <w:ind w:left="558" w:right="675" w:hanging="3"/>
      <w:jc w:val="center"/>
    </w:pPr>
    <w:rPr>
      <w:rFonts w:ascii="Arial" w:eastAsia="Arial" w:hAnsi="Arial" w:cs="Arial"/>
      <w:b/>
      <w:bCs/>
      <w:sz w:val="52"/>
      <w:szCs w:val="52"/>
    </w:rPr>
  </w:style>
  <w:style w:type="character" w:customStyle="1" w:styleId="TitleChar">
    <w:name w:val="Title Char"/>
    <w:basedOn w:val="DefaultParagraphFont"/>
    <w:link w:val="Title"/>
    <w:uiPriority w:val="1"/>
    <w:rsid w:val="00932FBD"/>
    <w:rPr>
      <w:rFonts w:ascii="Arial" w:eastAsia="Arial" w:hAnsi="Arial" w:cs="Arial"/>
      <w:b/>
      <w:bCs/>
      <w:sz w:val="52"/>
      <w:szCs w:val="52"/>
    </w:rPr>
  </w:style>
  <w:style w:type="paragraph" w:styleId="BodyText">
    <w:name w:val="Body Text"/>
    <w:basedOn w:val="Normal"/>
    <w:link w:val="BodyTextChar"/>
    <w:uiPriority w:val="1"/>
    <w:qFormat/>
    <w:rsid w:val="0068148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81488"/>
    <w:rPr>
      <w:rFonts w:ascii="Arial" w:eastAsia="Arial" w:hAnsi="Arial" w:cs="Arial"/>
    </w:rPr>
  </w:style>
  <w:style w:type="character" w:styleId="Hyperlink">
    <w:name w:val="Hyperlink"/>
    <w:basedOn w:val="DefaultParagraphFont"/>
    <w:uiPriority w:val="99"/>
    <w:unhideWhenUsed/>
    <w:rsid w:val="00681488"/>
    <w:rPr>
      <w:color w:val="0563C1" w:themeColor="hyperlink"/>
      <w:u w:val="single"/>
    </w:rPr>
  </w:style>
  <w:style w:type="character" w:styleId="CommentReference">
    <w:name w:val="annotation reference"/>
    <w:basedOn w:val="DefaultParagraphFont"/>
    <w:uiPriority w:val="99"/>
    <w:semiHidden/>
    <w:unhideWhenUsed/>
    <w:rsid w:val="00E47E4A"/>
    <w:rPr>
      <w:sz w:val="16"/>
      <w:szCs w:val="16"/>
    </w:rPr>
  </w:style>
  <w:style w:type="paragraph" w:styleId="CommentText">
    <w:name w:val="annotation text"/>
    <w:basedOn w:val="Normal"/>
    <w:link w:val="CommentTextChar"/>
    <w:uiPriority w:val="99"/>
    <w:unhideWhenUsed/>
    <w:rsid w:val="00E47E4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E47E4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E47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4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89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E789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HW.CorporateGovernance@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Blayney (Public Health Wales - No. 2 Capital Quarter)</dc:creator>
  <cp:keywords/>
  <dc:description/>
  <cp:lastModifiedBy>Liz Blayney (Public Health Wales - No. 2 Capital Quarter)</cp:lastModifiedBy>
  <cp:revision>2</cp:revision>
  <dcterms:created xsi:type="dcterms:W3CDTF">2022-05-03T14:08:00Z</dcterms:created>
  <dcterms:modified xsi:type="dcterms:W3CDTF">2022-05-03T14:08:00Z</dcterms:modified>
</cp:coreProperties>
</file>