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26" w:type="dxa"/>
        <w:tblInd w:w="-5" w:type="dxa"/>
        <w:tblLook w:val="04A0" w:firstRow="1" w:lastRow="0" w:firstColumn="1" w:lastColumn="0" w:noHBand="0" w:noVBand="1"/>
      </w:tblPr>
      <w:tblGrid>
        <w:gridCol w:w="1848"/>
        <w:gridCol w:w="954"/>
        <w:gridCol w:w="390"/>
        <w:gridCol w:w="504"/>
        <w:gridCol w:w="1506"/>
        <w:gridCol w:w="334"/>
        <w:gridCol w:w="1662"/>
        <w:gridCol w:w="1728"/>
        <w:gridCol w:w="100"/>
      </w:tblGrid>
      <w:tr w:rsidR="0013075E" w:rsidRPr="008F1F7E" w14:paraId="361CA59C" w14:textId="77777777" w:rsidTr="007B4060">
        <w:trPr>
          <w:gridAfter w:val="1"/>
          <w:wAfter w:w="95" w:type="dxa"/>
        </w:trPr>
        <w:tc>
          <w:tcPr>
            <w:tcW w:w="5202" w:type="dxa"/>
            <w:gridSpan w:val="5"/>
            <w:vMerge w:val="restart"/>
          </w:tcPr>
          <w:p w14:paraId="361CA599" w14:textId="77777777" w:rsidR="0013075E" w:rsidRPr="008F1F7E" w:rsidRDefault="0013075E" w:rsidP="00CF7674">
            <w:r w:rsidRPr="008F1F7E">
              <w:rPr>
                <w:b/>
                <w:noProof/>
                <w:lang w:eastAsia="en-GB"/>
              </w:rPr>
              <w:drawing>
                <wp:inline distT="0" distB="0" distL="0" distR="0" wp14:anchorId="361CA63C" wp14:editId="361CA63D">
                  <wp:extent cx="3122083" cy="734018"/>
                  <wp:effectExtent l="19050" t="0" r="2117" b="0"/>
                  <wp:docPr id="4" name="Picture 1" descr="Compressed Public Health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ressed Public Health Wales logo"/>
                          <pic:cNvPicPr>
                            <a:picLocks noChangeAspect="1" noChangeArrowheads="1"/>
                          </pic:cNvPicPr>
                        </pic:nvPicPr>
                        <pic:blipFill>
                          <a:blip r:embed="rId12" cstate="print"/>
                          <a:srcRect/>
                          <a:stretch>
                            <a:fillRect/>
                          </a:stretch>
                        </pic:blipFill>
                        <pic:spPr bwMode="auto">
                          <a:xfrm>
                            <a:off x="0" y="0"/>
                            <a:ext cx="3125503" cy="734822"/>
                          </a:xfrm>
                          <a:prstGeom prst="rect">
                            <a:avLst/>
                          </a:prstGeom>
                          <a:noFill/>
                          <a:ln w="9525">
                            <a:noFill/>
                            <a:miter lim="800000"/>
                            <a:headEnd/>
                            <a:tailEnd/>
                          </a:ln>
                        </pic:spPr>
                      </pic:pic>
                    </a:graphicData>
                  </a:graphic>
                </wp:inline>
              </w:drawing>
            </w:r>
          </w:p>
        </w:tc>
        <w:tc>
          <w:tcPr>
            <w:tcW w:w="3724" w:type="dxa"/>
            <w:gridSpan w:val="3"/>
            <w:tcBorders>
              <w:bottom w:val="nil"/>
            </w:tcBorders>
          </w:tcPr>
          <w:p w14:paraId="361CA59A" w14:textId="77777777" w:rsidR="0013075E" w:rsidRPr="00D34F08" w:rsidRDefault="0013075E" w:rsidP="00EE7097">
            <w:pPr>
              <w:jc w:val="right"/>
              <w:rPr>
                <w:b/>
                <w:szCs w:val="24"/>
              </w:rPr>
            </w:pPr>
            <w:r w:rsidRPr="00D34F08">
              <w:rPr>
                <w:b/>
                <w:szCs w:val="24"/>
              </w:rPr>
              <w:t>Name of Meeting</w:t>
            </w:r>
          </w:p>
          <w:sdt>
            <w:sdtPr>
              <w:rPr>
                <w:rStyle w:val="Dropdown"/>
              </w:rPr>
              <w:alias w:val="Name of meeting"/>
              <w:tag w:val="Name of meeting"/>
              <w:id w:val="1886526"/>
              <w:placeholder>
                <w:docPart w:val="B71CEBAFED744FBDBE7668212525C5EB"/>
              </w:placeholder>
              <w:dropDownList>
                <w:listItem w:value="Choose an item."/>
                <w:listItem w:displayText="Board" w:value="Board"/>
                <w:listItem w:displayText="Audit and Corporate Governance Committee" w:value="Audit and Corporate Governance Committee"/>
                <w:listItem w:displayText="People and Organisational Development Committee" w:value="People and Organisational Development Committee"/>
                <w:listItem w:displayText="Quality, Safety and Improvement Committee" w:value="Quality, Safety and Improvement Committee"/>
                <w:listItem w:displayText="Remuneration and Terms of Service Committee" w:value="Remuneration and Terms of Service Committee"/>
                <w:listItem w:displayText="Business Executive Team Meeting" w:value="Business Executive Team Meeting"/>
                <w:listItem w:displayText="Strategic Planning Executive Team" w:value="Strategic Planning Executive Team"/>
                <w:listItem w:displayText="Policy and Strategy Executive Team Meeting" w:value="Policy and Strategy Executive Team Meeting"/>
                <w:listItem w:displayText="Senior Leadership Team" w:value="Senior Leadership Team"/>
                <w:listItem w:displayText="Knowledge, Research and Information Committee" w:value="Knowledge, Research and Information Committee"/>
                <w:listItem w:displayText="Other (stated below)" w:value="Other (stated below)"/>
              </w:dropDownList>
            </w:sdtPr>
            <w:sdtEndPr>
              <w:rPr>
                <w:rStyle w:val="DefaultParagraphFont"/>
                <w:b/>
                <w:sz w:val="22"/>
                <w:szCs w:val="24"/>
              </w:rPr>
            </w:sdtEndPr>
            <w:sdtContent>
              <w:p w14:paraId="361CA59B" w14:textId="19CC72C2" w:rsidR="0013075E" w:rsidRPr="00EE7097" w:rsidRDefault="008F5F50" w:rsidP="00EE7097">
                <w:pPr>
                  <w:jc w:val="right"/>
                  <w:rPr>
                    <w:b/>
                    <w:szCs w:val="24"/>
                  </w:rPr>
                </w:pPr>
                <w:r>
                  <w:rPr>
                    <w:rStyle w:val="Dropdown"/>
                  </w:rPr>
                  <w:t>Board</w:t>
                </w:r>
              </w:p>
            </w:sdtContent>
          </w:sdt>
        </w:tc>
      </w:tr>
      <w:tr w:rsidR="0013075E" w:rsidRPr="008F1F7E" w14:paraId="361CA5A0" w14:textId="77777777" w:rsidTr="007B4060">
        <w:trPr>
          <w:gridAfter w:val="1"/>
          <w:wAfter w:w="95" w:type="dxa"/>
        </w:trPr>
        <w:tc>
          <w:tcPr>
            <w:tcW w:w="5202" w:type="dxa"/>
            <w:gridSpan w:val="5"/>
            <w:vMerge/>
          </w:tcPr>
          <w:p w14:paraId="361CA59D" w14:textId="77777777" w:rsidR="0013075E" w:rsidRPr="008F1F7E" w:rsidRDefault="0013075E" w:rsidP="00CF7674">
            <w:pPr>
              <w:rPr>
                <w:b/>
                <w:noProof/>
                <w:lang w:eastAsia="en-GB"/>
              </w:rPr>
            </w:pPr>
          </w:p>
        </w:tc>
        <w:tc>
          <w:tcPr>
            <w:tcW w:w="3724" w:type="dxa"/>
            <w:gridSpan w:val="3"/>
            <w:tcBorders>
              <w:top w:val="nil"/>
              <w:bottom w:val="nil"/>
            </w:tcBorders>
          </w:tcPr>
          <w:p w14:paraId="361CA59E" w14:textId="77777777" w:rsidR="00D34F08" w:rsidRPr="00D34F08" w:rsidRDefault="00D34F08" w:rsidP="00EE7097">
            <w:pPr>
              <w:jc w:val="right"/>
              <w:rPr>
                <w:b/>
              </w:rPr>
            </w:pPr>
            <w:r w:rsidRPr="00D34F08">
              <w:rPr>
                <w:b/>
              </w:rPr>
              <w:t>Date of Meeting</w:t>
            </w:r>
          </w:p>
          <w:p w14:paraId="361CA59F" w14:textId="5381303C" w:rsidR="0013075E" w:rsidRPr="00D34F08" w:rsidRDefault="00941424" w:rsidP="00941424">
            <w:pPr>
              <w:jc w:val="right"/>
              <w:rPr>
                <w:color w:val="FF0000"/>
              </w:rPr>
            </w:pPr>
            <w:r>
              <w:t>27 May 2021</w:t>
            </w:r>
          </w:p>
        </w:tc>
      </w:tr>
      <w:tr w:rsidR="0013075E" w:rsidRPr="008F1F7E" w14:paraId="361CA5A4" w14:textId="77777777" w:rsidTr="007B4060">
        <w:trPr>
          <w:gridAfter w:val="1"/>
          <w:wAfter w:w="95" w:type="dxa"/>
        </w:trPr>
        <w:tc>
          <w:tcPr>
            <w:tcW w:w="5202" w:type="dxa"/>
            <w:gridSpan w:val="5"/>
            <w:vMerge/>
            <w:tcBorders>
              <w:bottom w:val="single" w:sz="4" w:space="0" w:color="auto"/>
            </w:tcBorders>
          </w:tcPr>
          <w:p w14:paraId="361CA5A1" w14:textId="77777777" w:rsidR="0013075E" w:rsidRPr="008F1F7E" w:rsidRDefault="0013075E" w:rsidP="00CF7674">
            <w:pPr>
              <w:rPr>
                <w:b/>
                <w:noProof/>
                <w:lang w:eastAsia="en-GB"/>
              </w:rPr>
            </w:pPr>
          </w:p>
        </w:tc>
        <w:tc>
          <w:tcPr>
            <w:tcW w:w="3724" w:type="dxa"/>
            <w:gridSpan w:val="3"/>
            <w:tcBorders>
              <w:top w:val="nil"/>
              <w:bottom w:val="single" w:sz="4" w:space="0" w:color="auto"/>
            </w:tcBorders>
          </w:tcPr>
          <w:p w14:paraId="361CA5A2" w14:textId="77777777" w:rsidR="0013075E" w:rsidRPr="008F1F7E" w:rsidRDefault="0013075E" w:rsidP="00EE7097">
            <w:pPr>
              <w:jc w:val="right"/>
              <w:rPr>
                <w:b/>
              </w:rPr>
            </w:pPr>
            <w:r w:rsidRPr="008F1F7E">
              <w:rPr>
                <w:b/>
              </w:rPr>
              <w:t>Agenda item:</w:t>
            </w:r>
          </w:p>
          <w:p w14:paraId="361CA5A3" w14:textId="47E9B013" w:rsidR="0071099D" w:rsidRPr="0071099D" w:rsidRDefault="0071099D" w:rsidP="0071099D">
            <w:pPr>
              <w:jc w:val="right"/>
            </w:pPr>
            <w:r>
              <w:t>5.5</w:t>
            </w:r>
          </w:p>
        </w:tc>
      </w:tr>
      <w:tr w:rsidR="00EE7097" w:rsidRPr="008F1F7E" w14:paraId="361CA5A8" w14:textId="77777777" w:rsidTr="007B4060">
        <w:trPr>
          <w:gridAfter w:val="1"/>
          <w:wAfter w:w="95" w:type="dxa"/>
        </w:trPr>
        <w:tc>
          <w:tcPr>
            <w:tcW w:w="8926" w:type="dxa"/>
            <w:gridSpan w:val="8"/>
            <w:tcBorders>
              <w:left w:val="nil"/>
              <w:right w:val="nil"/>
            </w:tcBorders>
            <w:vAlign w:val="center"/>
          </w:tcPr>
          <w:p w14:paraId="361CA5A7" w14:textId="48ADEB16" w:rsidR="00D34F08" w:rsidRPr="00912C7B" w:rsidRDefault="00D34F08" w:rsidP="00720EC2">
            <w:pPr>
              <w:rPr>
                <w:b/>
                <w:sz w:val="28"/>
              </w:rPr>
            </w:pPr>
          </w:p>
        </w:tc>
      </w:tr>
      <w:tr w:rsidR="00EE7097" w:rsidRPr="008F1F7E" w14:paraId="361CA5AA" w14:textId="77777777" w:rsidTr="007B4060">
        <w:trPr>
          <w:gridAfter w:val="1"/>
          <w:wAfter w:w="95" w:type="dxa"/>
        </w:trPr>
        <w:tc>
          <w:tcPr>
            <w:tcW w:w="8926" w:type="dxa"/>
            <w:gridSpan w:val="8"/>
            <w:vAlign w:val="center"/>
          </w:tcPr>
          <w:p w14:paraId="361CA5A9" w14:textId="2C4A84B2" w:rsidR="00EE7097" w:rsidRPr="00D34F08" w:rsidRDefault="002F22A2" w:rsidP="00851721">
            <w:pPr>
              <w:jc w:val="center"/>
              <w:rPr>
                <w:b/>
                <w:sz w:val="36"/>
                <w:szCs w:val="36"/>
              </w:rPr>
            </w:pPr>
            <w:r>
              <w:rPr>
                <w:b/>
                <w:sz w:val="36"/>
                <w:szCs w:val="36"/>
              </w:rPr>
              <w:t>Review of Committee Terms of Reference</w:t>
            </w:r>
            <w:r w:rsidR="00851721">
              <w:rPr>
                <w:b/>
                <w:sz w:val="36"/>
                <w:szCs w:val="36"/>
              </w:rPr>
              <w:t xml:space="preserve"> </w:t>
            </w:r>
          </w:p>
        </w:tc>
      </w:tr>
      <w:tr w:rsidR="00EE7097" w:rsidRPr="001C60B5" w14:paraId="361CA5AD" w14:textId="77777777" w:rsidTr="007B4060">
        <w:trPr>
          <w:gridAfter w:val="1"/>
          <w:wAfter w:w="95" w:type="dxa"/>
        </w:trPr>
        <w:tc>
          <w:tcPr>
            <w:tcW w:w="2802" w:type="dxa"/>
            <w:gridSpan w:val="2"/>
          </w:tcPr>
          <w:p w14:paraId="361CA5AB" w14:textId="77777777" w:rsidR="00EE7097" w:rsidRPr="001C60B5" w:rsidRDefault="00EE7097">
            <w:pPr>
              <w:rPr>
                <w:b/>
                <w:szCs w:val="24"/>
              </w:rPr>
            </w:pPr>
            <w:r w:rsidRPr="001C60B5">
              <w:rPr>
                <w:b/>
                <w:szCs w:val="24"/>
              </w:rPr>
              <w:t>Executive lead:</w:t>
            </w:r>
          </w:p>
        </w:tc>
        <w:tc>
          <w:tcPr>
            <w:tcW w:w="6124" w:type="dxa"/>
            <w:gridSpan w:val="6"/>
          </w:tcPr>
          <w:p w14:paraId="361CA5AC" w14:textId="40B9D903" w:rsidR="00EE7097" w:rsidRPr="00851721" w:rsidRDefault="00851721">
            <w:pPr>
              <w:rPr>
                <w:szCs w:val="24"/>
              </w:rPr>
            </w:pPr>
            <w:r>
              <w:rPr>
                <w:szCs w:val="24"/>
              </w:rPr>
              <w:t>Helen Bushell, Board Secretary and Head of Board Business Unit</w:t>
            </w:r>
          </w:p>
        </w:tc>
      </w:tr>
      <w:tr w:rsidR="00EE7097" w:rsidRPr="001C60B5" w14:paraId="361CA5B0" w14:textId="77777777" w:rsidTr="007B4060">
        <w:trPr>
          <w:gridAfter w:val="1"/>
          <w:wAfter w:w="95" w:type="dxa"/>
        </w:trPr>
        <w:tc>
          <w:tcPr>
            <w:tcW w:w="2802" w:type="dxa"/>
            <w:gridSpan w:val="2"/>
          </w:tcPr>
          <w:p w14:paraId="361CA5AE" w14:textId="77777777" w:rsidR="00EE7097" w:rsidRPr="001C60B5" w:rsidRDefault="00EE7097">
            <w:pPr>
              <w:rPr>
                <w:b/>
                <w:szCs w:val="24"/>
              </w:rPr>
            </w:pPr>
            <w:r w:rsidRPr="001C60B5">
              <w:rPr>
                <w:b/>
                <w:szCs w:val="24"/>
              </w:rPr>
              <w:t>Author:</w:t>
            </w:r>
          </w:p>
        </w:tc>
        <w:tc>
          <w:tcPr>
            <w:tcW w:w="6124" w:type="dxa"/>
            <w:gridSpan w:val="6"/>
          </w:tcPr>
          <w:p w14:paraId="361CA5AF" w14:textId="084BA6F0" w:rsidR="00EE7097" w:rsidRPr="00851721" w:rsidRDefault="00851721" w:rsidP="00051E74">
            <w:pPr>
              <w:rPr>
                <w:szCs w:val="24"/>
              </w:rPr>
            </w:pPr>
            <w:r>
              <w:rPr>
                <w:szCs w:val="24"/>
              </w:rPr>
              <w:t xml:space="preserve">Liz Blayney, </w:t>
            </w:r>
            <w:r w:rsidR="00F254D7">
              <w:rPr>
                <w:szCs w:val="24"/>
              </w:rPr>
              <w:t xml:space="preserve">Deputy Board Secretary and </w:t>
            </w:r>
            <w:r>
              <w:rPr>
                <w:szCs w:val="24"/>
              </w:rPr>
              <w:t>Board Governance Manager</w:t>
            </w:r>
          </w:p>
        </w:tc>
      </w:tr>
      <w:tr w:rsidR="00EE7097" w:rsidRPr="001C60B5" w14:paraId="361CA5B3" w14:textId="77777777" w:rsidTr="007B4060">
        <w:trPr>
          <w:gridAfter w:val="1"/>
          <w:wAfter w:w="95" w:type="dxa"/>
          <w:trHeight w:val="149"/>
        </w:trPr>
        <w:tc>
          <w:tcPr>
            <w:tcW w:w="2802" w:type="dxa"/>
            <w:gridSpan w:val="2"/>
            <w:tcBorders>
              <w:left w:val="nil"/>
              <w:right w:val="nil"/>
            </w:tcBorders>
          </w:tcPr>
          <w:p w14:paraId="361CA5B1" w14:textId="77777777" w:rsidR="00EE7097" w:rsidRPr="005B4E75" w:rsidRDefault="00EE7097">
            <w:pPr>
              <w:rPr>
                <w:b/>
                <w:sz w:val="12"/>
                <w:szCs w:val="12"/>
              </w:rPr>
            </w:pPr>
          </w:p>
        </w:tc>
        <w:tc>
          <w:tcPr>
            <w:tcW w:w="6124" w:type="dxa"/>
            <w:gridSpan w:val="6"/>
            <w:tcBorders>
              <w:left w:val="nil"/>
              <w:right w:val="nil"/>
            </w:tcBorders>
          </w:tcPr>
          <w:p w14:paraId="361CA5B2" w14:textId="77777777" w:rsidR="00EE7097" w:rsidRPr="00851721" w:rsidRDefault="00EE7097">
            <w:pPr>
              <w:rPr>
                <w:sz w:val="12"/>
                <w:szCs w:val="12"/>
              </w:rPr>
            </w:pPr>
          </w:p>
        </w:tc>
      </w:tr>
      <w:tr w:rsidR="00EE7097" w:rsidRPr="001C60B5" w14:paraId="361CA5B6" w14:textId="77777777" w:rsidTr="007B4060">
        <w:trPr>
          <w:gridAfter w:val="1"/>
          <w:wAfter w:w="95" w:type="dxa"/>
        </w:trPr>
        <w:tc>
          <w:tcPr>
            <w:tcW w:w="2802" w:type="dxa"/>
            <w:gridSpan w:val="2"/>
          </w:tcPr>
          <w:p w14:paraId="361CA5B4" w14:textId="77777777" w:rsidR="00EE7097" w:rsidRPr="001C60B5" w:rsidRDefault="00EE7097">
            <w:pPr>
              <w:rPr>
                <w:b/>
                <w:szCs w:val="24"/>
              </w:rPr>
            </w:pPr>
            <w:r w:rsidRPr="001C60B5">
              <w:rPr>
                <w:b/>
                <w:szCs w:val="24"/>
              </w:rPr>
              <w:t>Approval/Scrutiny route:</w:t>
            </w:r>
          </w:p>
        </w:tc>
        <w:tc>
          <w:tcPr>
            <w:tcW w:w="6124" w:type="dxa"/>
            <w:gridSpan w:val="6"/>
          </w:tcPr>
          <w:p w14:paraId="443FEF10" w14:textId="77777777" w:rsidR="00EE7097" w:rsidRDefault="00941424" w:rsidP="00CA5841">
            <w:pPr>
              <w:rPr>
                <w:szCs w:val="24"/>
              </w:rPr>
            </w:pPr>
            <w:r>
              <w:rPr>
                <w:szCs w:val="24"/>
              </w:rPr>
              <w:t>Audit and Corporate Governance Committee – 19 January 2021</w:t>
            </w:r>
            <w:r w:rsidR="00561F54">
              <w:rPr>
                <w:szCs w:val="24"/>
              </w:rPr>
              <w:t xml:space="preserve"> </w:t>
            </w:r>
          </w:p>
          <w:p w14:paraId="361CA5B5" w14:textId="3F0E2169" w:rsidR="00941424" w:rsidRPr="00851721" w:rsidRDefault="00941424" w:rsidP="00CA5841">
            <w:pPr>
              <w:rPr>
                <w:szCs w:val="24"/>
              </w:rPr>
            </w:pPr>
            <w:r>
              <w:rPr>
                <w:szCs w:val="24"/>
              </w:rPr>
              <w:t>Quality, Safety and Improvement Committee – 9 February 2021</w:t>
            </w:r>
          </w:p>
        </w:tc>
      </w:tr>
      <w:tr w:rsidR="006C4A51" w:rsidRPr="001C60B5" w14:paraId="361CA5B8" w14:textId="77777777" w:rsidTr="007B4060">
        <w:trPr>
          <w:gridAfter w:val="1"/>
          <w:wAfter w:w="95" w:type="dxa"/>
        </w:trPr>
        <w:tc>
          <w:tcPr>
            <w:tcW w:w="8926" w:type="dxa"/>
            <w:gridSpan w:val="8"/>
            <w:tcBorders>
              <w:left w:val="nil"/>
              <w:bottom w:val="single" w:sz="4" w:space="0" w:color="auto"/>
              <w:right w:val="nil"/>
            </w:tcBorders>
          </w:tcPr>
          <w:p w14:paraId="361CA5B7" w14:textId="77777777" w:rsidR="006C4A51" w:rsidRPr="005B4E75" w:rsidRDefault="006C4A51">
            <w:pPr>
              <w:rPr>
                <w:b/>
                <w:sz w:val="12"/>
                <w:szCs w:val="12"/>
              </w:rPr>
            </w:pPr>
          </w:p>
        </w:tc>
      </w:tr>
      <w:tr w:rsidR="005B4E75" w:rsidRPr="001C60B5" w14:paraId="361CA5BA" w14:textId="77777777" w:rsidTr="007B4060">
        <w:trPr>
          <w:gridAfter w:val="1"/>
          <w:wAfter w:w="95" w:type="dxa"/>
        </w:trPr>
        <w:tc>
          <w:tcPr>
            <w:tcW w:w="8926" w:type="dxa"/>
            <w:gridSpan w:val="8"/>
            <w:tcBorders>
              <w:left w:val="single" w:sz="4" w:space="0" w:color="auto"/>
              <w:right w:val="single" w:sz="4" w:space="0" w:color="auto"/>
            </w:tcBorders>
          </w:tcPr>
          <w:p w14:paraId="361CA5B9" w14:textId="77777777" w:rsidR="005B4E75" w:rsidRPr="001C60B5" w:rsidRDefault="005B4E75">
            <w:pPr>
              <w:rPr>
                <w:b/>
                <w:szCs w:val="24"/>
              </w:rPr>
            </w:pPr>
            <w:r>
              <w:rPr>
                <w:b/>
                <w:szCs w:val="24"/>
              </w:rPr>
              <w:t>Purpose</w:t>
            </w:r>
          </w:p>
        </w:tc>
      </w:tr>
      <w:tr w:rsidR="005B4E75" w:rsidRPr="001C60B5" w14:paraId="361CA5BD" w14:textId="77777777" w:rsidTr="007B4060">
        <w:trPr>
          <w:gridAfter w:val="1"/>
          <w:wAfter w:w="95" w:type="dxa"/>
        </w:trPr>
        <w:tc>
          <w:tcPr>
            <w:tcW w:w="8926" w:type="dxa"/>
            <w:gridSpan w:val="8"/>
            <w:tcBorders>
              <w:left w:val="single" w:sz="4" w:space="0" w:color="auto"/>
              <w:right w:val="single" w:sz="4" w:space="0" w:color="auto"/>
            </w:tcBorders>
          </w:tcPr>
          <w:p w14:paraId="361CA5BC" w14:textId="75EB9D6D" w:rsidR="00D54EFC" w:rsidRPr="00851721" w:rsidRDefault="002F22A2" w:rsidP="00720EC2">
            <w:pPr>
              <w:spacing w:after="200"/>
              <w:rPr>
                <w:szCs w:val="24"/>
              </w:rPr>
            </w:pPr>
            <w:r>
              <w:rPr>
                <w:szCs w:val="24"/>
              </w:rPr>
              <w:t>The Committees Terms of Reference</w:t>
            </w:r>
            <w:r w:rsidR="008E5907">
              <w:rPr>
                <w:szCs w:val="24"/>
              </w:rPr>
              <w:t xml:space="preserve"> were last reviewed in </w:t>
            </w:r>
            <w:r w:rsidR="00941424">
              <w:rPr>
                <w:szCs w:val="24"/>
              </w:rPr>
              <w:t>November 2019</w:t>
            </w:r>
            <w:r w:rsidR="00720EC2">
              <w:rPr>
                <w:szCs w:val="24"/>
              </w:rPr>
              <w:t xml:space="preserve">. </w:t>
            </w:r>
            <w:r>
              <w:rPr>
                <w:szCs w:val="24"/>
              </w:rPr>
              <w:t>Terms of Reference should be reviewed annu</w:t>
            </w:r>
            <w:r w:rsidR="00561F54">
              <w:rPr>
                <w:szCs w:val="24"/>
              </w:rPr>
              <w:t>ally to ensure compliance with Standing O</w:t>
            </w:r>
            <w:r>
              <w:rPr>
                <w:szCs w:val="24"/>
              </w:rPr>
              <w:t xml:space="preserve">rders. </w:t>
            </w:r>
            <w:r w:rsidR="008E5907">
              <w:rPr>
                <w:szCs w:val="24"/>
              </w:rPr>
              <w:t xml:space="preserve"> </w:t>
            </w:r>
            <w:r w:rsidR="00720EC2">
              <w:rPr>
                <w:szCs w:val="24"/>
              </w:rPr>
              <w:t>A</w:t>
            </w:r>
            <w:r w:rsidR="009D501F">
              <w:rPr>
                <w:szCs w:val="24"/>
              </w:rPr>
              <w:t xml:space="preserve"> review of the Terms of Reference has taken place and suggested amendments are presented to the Board for approval.  </w:t>
            </w:r>
          </w:p>
        </w:tc>
      </w:tr>
      <w:tr w:rsidR="005B4E75" w:rsidRPr="001C60B5" w14:paraId="361CA5BF" w14:textId="77777777" w:rsidTr="007B4060">
        <w:trPr>
          <w:gridAfter w:val="1"/>
          <w:wAfter w:w="95" w:type="dxa"/>
        </w:trPr>
        <w:tc>
          <w:tcPr>
            <w:tcW w:w="8926" w:type="dxa"/>
            <w:gridSpan w:val="8"/>
            <w:tcBorders>
              <w:left w:val="nil"/>
              <w:right w:val="nil"/>
            </w:tcBorders>
          </w:tcPr>
          <w:p w14:paraId="361CA5BE" w14:textId="77777777" w:rsidR="005B4E75" w:rsidRPr="005B4E75" w:rsidRDefault="005B4E75">
            <w:pPr>
              <w:rPr>
                <w:b/>
                <w:sz w:val="12"/>
                <w:szCs w:val="12"/>
              </w:rPr>
            </w:pPr>
          </w:p>
        </w:tc>
      </w:tr>
      <w:tr w:rsidR="00EE7097" w:rsidRPr="001C60B5" w14:paraId="361CA5C1" w14:textId="77777777" w:rsidTr="007B4060">
        <w:trPr>
          <w:gridAfter w:val="1"/>
          <w:wAfter w:w="95" w:type="dxa"/>
        </w:trPr>
        <w:tc>
          <w:tcPr>
            <w:tcW w:w="8926" w:type="dxa"/>
            <w:gridSpan w:val="8"/>
          </w:tcPr>
          <w:p w14:paraId="361CA5C0" w14:textId="04AEB19C" w:rsidR="00EE7097" w:rsidRPr="0013075E" w:rsidRDefault="0013075E" w:rsidP="00851721">
            <w:pPr>
              <w:rPr>
                <w:b/>
                <w:szCs w:val="24"/>
              </w:rPr>
            </w:pPr>
            <w:r>
              <w:rPr>
                <w:b/>
                <w:szCs w:val="24"/>
              </w:rPr>
              <w:t>Recommendation:</w:t>
            </w:r>
            <w:r w:rsidR="00E07F66">
              <w:rPr>
                <w:b/>
                <w:szCs w:val="24"/>
              </w:rPr>
              <w:t xml:space="preserve"> </w:t>
            </w:r>
          </w:p>
        </w:tc>
      </w:tr>
      <w:tr w:rsidR="005B4E75" w:rsidRPr="001C60B5" w14:paraId="361CA5CC" w14:textId="77777777" w:rsidTr="007B4060">
        <w:trPr>
          <w:gridAfter w:val="1"/>
          <w:wAfter w:w="95" w:type="dxa"/>
        </w:trPr>
        <w:tc>
          <w:tcPr>
            <w:tcW w:w="1848" w:type="dxa"/>
            <w:tcBorders>
              <w:bottom w:val="single" w:sz="4" w:space="0" w:color="auto"/>
            </w:tcBorders>
          </w:tcPr>
          <w:p w14:paraId="361CA5C2" w14:textId="77777777" w:rsidR="005B4E75" w:rsidRPr="007A47F5" w:rsidRDefault="005B4E75" w:rsidP="00D34F08">
            <w:pPr>
              <w:jc w:val="center"/>
              <w:rPr>
                <w:szCs w:val="24"/>
              </w:rPr>
            </w:pPr>
            <w:r w:rsidRPr="007A47F5">
              <w:rPr>
                <w:szCs w:val="24"/>
              </w:rPr>
              <w:t>APPROVE</w:t>
            </w:r>
          </w:p>
          <w:p w14:paraId="361CA5C3" w14:textId="4D97DE3A" w:rsidR="005B4E75" w:rsidRPr="007A47F5" w:rsidRDefault="00E85420" w:rsidP="00D34F08">
            <w:pPr>
              <w:jc w:val="center"/>
              <w:rPr>
                <w:rFonts w:ascii="Wingdings" w:hAnsi="Wingdings"/>
                <w:szCs w:val="24"/>
              </w:rPr>
            </w:pPr>
            <w:r>
              <w:rPr>
                <w:rFonts w:ascii="Wingdings" w:hAnsi="Wingdings"/>
                <w:szCs w:val="24"/>
              </w:rPr>
              <w:fldChar w:fldCharType="begin">
                <w:ffData>
                  <w:name w:val="Check1"/>
                  <w:enabled/>
                  <w:calcOnExit w:val="0"/>
                  <w:checkBox>
                    <w:sizeAuto/>
                    <w:default w:val="1"/>
                  </w:checkBox>
                </w:ffData>
              </w:fldChar>
            </w:r>
            <w:bookmarkStart w:id="0" w:name="Check1"/>
            <w:r>
              <w:rPr>
                <w:rFonts w:ascii="Wingdings" w:hAnsi="Wingdings"/>
                <w:szCs w:val="24"/>
              </w:rPr>
              <w:instrText xml:space="preserve"> FORMCHECKBOX </w:instrText>
            </w:r>
            <w:r w:rsidR="002272E4">
              <w:rPr>
                <w:rFonts w:ascii="Wingdings" w:hAnsi="Wingdings"/>
                <w:szCs w:val="24"/>
              </w:rPr>
            </w:r>
            <w:r w:rsidR="002272E4">
              <w:rPr>
                <w:rFonts w:ascii="Wingdings" w:hAnsi="Wingdings"/>
                <w:szCs w:val="24"/>
              </w:rPr>
              <w:fldChar w:fldCharType="separate"/>
            </w:r>
            <w:r>
              <w:rPr>
                <w:rFonts w:ascii="Wingdings" w:hAnsi="Wingdings"/>
                <w:szCs w:val="24"/>
              </w:rPr>
              <w:fldChar w:fldCharType="end"/>
            </w:r>
            <w:bookmarkEnd w:id="0"/>
          </w:p>
        </w:tc>
        <w:tc>
          <w:tcPr>
            <w:tcW w:w="1848" w:type="dxa"/>
            <w:gridSpan w:val="3"/>
            <w:tcBorders>
              <w:bottom w:val="single" w:sz="4" w:space="0" w:color="auto"/>
            </w:tcBorders>
          </w:tcPr>
          <w:p w14:paraId="361CA5C4" w14:textId="77777777" w:rsidR="005B4E75" w:rsidRDefault="005B4E75" w:rsidP="00D34F08">
            <w:pPr>
              <w:jc w:val="center"/>
              <w:rPr>
                <w:szCs w:val="24"/>
              </w:rPr>
            </w:pPr>
            <w:r w:rsidRPr="007A47F5">
              <w:rPr>
                <w:szCs w:val="24"/>
              </w:rPr>
              <w:t>CONSIDER</w:t>
            </w:r>
          </w:p>
          <w:p w14:paraId="361CA5C5" w14:textId="21196A79" w:rsidR="005B4E75" w:rsidRPr="007A47F5" w:rsidRDefault="00E85420" w:rsidP="00D34F08">
            <w:pPr>
              <w:jc w:val="center"/>
              <w:rPr>
                <w:szCs w:val="24"/>
              </w:rPr>
            </w:pPr>
            <w:r>
              <w:rPr>
                <w:szCs w:val="24"/>
              </w:rPr>
              <w:fldChar w:fldCharType="begin">
                <w:ffData>
                  <w:name w:val="Check2"/>
                  <w:enabled/>
                  <w:calcOnExit w:val="0"/>
                  <w:checkBox>
                    <w:sizeAuto/>
                    <w:default w:val="0"/>
                  </w:checkBox>
                </w:ffData>
              </w:fldChar>
            </w:r>
            <w:bookmarkStart w:id="1" w:name="Check2"/>
            <w:r>
              <w:rPr>
                <w:szCs w:val="24"/>
              </w:rPr>
              <w:instrText xml:space="preserve"> FORMCHECKBOX </w:instrText>
            </w:r>
            <w:r w:rsidR="002272E4">
              <w:rPr>
                <w:szCs w:val="24"/>
              </w:rPr>
            </w:r>
            <w:r w:rsidR="002272E4">
              <w:rPr>
                <w:szCs w:val="24"/>
              </w:rPr>
              <w:fldChar w:fldCharType="separate"/>
            </w:r>
            <w:r>
              <w:rPr>
                <w:szCs w:val="24"/>
              </w:rPr>
              <w:fldChar w:fldCharType="end"/>
            </w:r>
            <w:bookmarkEnd w:id="1"/>
          </w:p>
        </w:tc>
        <w:tc>
          <w:tcPr>
            <w:tcW w:w="1840" w:type="dxa"/>
            <w:gridSpan w:val="2"/>
            <w:tcBorders>
              <w:bottom w:val="single" w:sz="4" w:space="0" w:color="auto"/>
            </w:tcBorders>
          </w:tcPr>
          <w:p w14:paraId="361CA5C6" w14:textId="77777777" w:rsidR="005B4E75" w:rsidRDefault="005B4E75" w:rsidP="00D34F08">
            <w:pPr>
              <w:jc w:val="center"/>
              <w:rPr>
                <w:szCs w:val="24"/>
              </w:rPr>
            </w:pPr>
            <w:r w:rsidRPr="007A47F5">
              <w:rPr>
                <w:szCs w:val="24"/>
              </w:rPr>
              <w:t>RECOMMEND</w:t>
            </w:r>
          </w:p>
          <w:p w14:paraId="361CA5C7" w14:textId="7B295425" w:rsidR="005B4E75" w:rsidRPr="007A47F5" w:rsidRDefault="00E85420" w:rsidP="00D34F08">
            <w:pPr>
              <w:jc w:val="center"/>
              <w:rPr>
                <w:szCs w:val="24"/>
              </w:rPr>
            </w:pPr>
            <w:r>
              <w:rPr>
                <w:szCs w:val="24"/>
              </w:rPr>
              <w:fldChar w:fldCharType="begin">
                <w:ffData>
                  <w:name w:val="Check3"/>
                  <w:enabled/>
                  <w:calcOnExit w:val="0"/>
                  <w:checkBox>
                    <w:sizeAuto/>
                    <w:default w:val="0"/>
                  </w:checkBox>
                </w:ffData>
              </w:fldChar>
            </w:r>
            <w:bookmarkStart w:id="2" w:name="Check3"/>
            <w:r>
              <w:rPr>
                <w:szCs w:val="24"/>
              </w:rPr>
              <w:instrText xml:space="preserve"> FORMCHECKBOX </w:instrText>
            </w:r>
            <w:r w:rsidR="002272E4">
              <w:rPr>
                <w:szCs w:val="24"/>
              </w:rPr>
            </w:r>
            <w:r w:rsidR="002272E4">
              <w:rPr>
                <w:szCs w:val="24"/>
              </w:rPr>
              <w:fldChar w:fldCharType="separate"/>
            </w:r>
            <w:r>
              <w:rPr>
                <w:szCs w:val="24"/>
              </w:rPr>
              <w:fldChar w:fldCharType="end"/>
            </w:r>
            <w:bookmarkEnd w:id="2"/>
          </w:p>
        </w:tc>
        <w:tc>
          <w:tcPr>
            <w:tcW w:w="1662" w:type="dxa"/>
            <w:tcBorders>
              <w:bottom w:val="single" w:sz="4" w:space="0" w:color="auto"/>
            </w:tcBorders>
          </w:tcPr>
          <w:p w14:paraId="361CA5C8" w14:textId="77777777" w:rsidR="005B4E75" w:rsidRDefault="005B4E75" w:rsidP="00D34F08">
            <w:pPr>
              <w:jc w:val="center"/>
              <w:rPr>
                <w:szCs w:val="24"/>
              </w:rPr>
            </w:pPr>
            <w:r w:rsidRPr="007A47F5">
              <w:rPr>
                <w:szCs w:val="24"/>
              </w:rPr>
              <w:t>ADOPT</w:t>
            </w:r>
          </w:p>
          <w:p w14:paraId="361CA5C9" w14:textId="77777777" w:rsidR="005B4E75" w:rsidRPr="007A47F5" w:rsidRDefault="007F7EA7" w:rsidP="00D34F08">
            <w:pPr>
              <w:jc w:val="center"/>
              <w:rPr>
                <w:szCs w:val="24"/>
              </w:rPr>
            </w:pPr>
            <w:r>
              <w:rPr>
                <w:szCs w:val="24"/>
              </w:rPr>
              <w:fldChar w:fldCharType="begin">
                <w:ffData>
                  <w:name w:val="Check4"/>
                  <w:enabled/>
                  <w:calcOnExit w:val="0"/>
                  <w:checkBox>
                    <w:sizeAuto/>
                    <w:default w:val="0"/>
                  </w:checkBox>
                </w:ffData>
              </w:fldChar>
            </w:r>
            <w:bookmarkStart w:id="3" w:name="Check4"/>
            <w:r w:rsidR="005B4E75">
              <w:rPr>
                <w:szCs w:val="24"/>
              </w:rPr>
              <w:instrText xml:space="preserve"> FORMCHECKBOX </w:instrText>
            </w:r>
            <w:r w:rsidR="002272E4">
              <w:rPr>
                <w:szCs w:val="24"/>
              </w:rPr>
            </w:r>
            <w:r w:rsidR="002272E4">
              <w:rPr>
                <w:szCs w:val="24"/>
              </w:rPr>
              <w:fldChar w:fldCharType="separate"/>
            </w:r>
            <w:r>
              <w:rPr>
                <w:szCs w:val="24"/>
              </w:rPr>
              <w:fldChar w:fldCharType="end"/>
            </w:r>
            <w:bookmarkEnd w:id="3"/>
          </w:p>
        </w:tc>
        <w:tc>
          <w:tcPr>
            <w:tcW w:w="1728" w:type="dxa"/>
            <w:tcBorders>
              <w:bottom w:val="single" w:sz="4" w:space="0" w:color="auto"/>
            </w:tcBorders>
          </w:tcPr>
          <w:p w14:paraId="361CA5CA" w14:textId="77777777" w:rsidR="005B4E75" w:rsidRDefault="00141FC5" w:rsidP="00D34F08">
            <w:pPr>
              <w:jc w:val="center"/>
              <w:rPr>
                <w:szCs w:val="24"/>
              </w:rPr>
            </w:pPr>
            <w:r>
              <w:rPr>
                <w:szCs w:val="24"/>
              </w:rPr>
              <w:t>ASSURANCE</w:t>
            </w:r>
          </w:p>
          <w:p w14:paraId="361CA5CB" w14:textId="77777777" w:rsidR="005B4E75" w:rsidRPr="007A47F5" w:rsidRDefault="007F7EA7" w:rsidP="00D34F08">
            <w:pPr>
              <w:jc w:val="center"/>
              <w:rPr>
                <w:szCs w:val="24"/>
              </w:rPr>
            </w:pPr>
            <w:r>
              <w:rPr>
                <w:szCs w:val="24"/>
              </w:rPr>
              <w:fldChar w:fldCharType="begin">
                <w:ffData>
                  <w:name w:val="Check5"/>
                  <w:enabled/>
                  <w:calcOnExit w:val="0"/>
                  <w:checkBox>
                    <w:sizeAuto/>
                    <w:default w:val="0"/>
                  </w:checkBox>
                </w:ffData>
              </w:fldChar>
            </w:r>
            <w:bookmarkStart w:id="4" w:name="Check5"/>
            <w:r w:rsidR="005B4E75">
              <w:rPr>
                <w:szCs w:val="24"/>
              </w:rPr>
              <w:instrText xml:space="preserve"> FORMCHECKBOX </w:instrText>
            </w:r>
            <w:r w:rsidR="002272E4">
              <w:rPr>
                <w:szCs w:val="24"/>
              </w:rPr>
            </w:r>
            <w:r w:rsidR="002272E4">
              <w:rPr>
                <w:szCs w:val="24"/>
              </w:rPr>
              <w:fldChar w:fldCharType="separate"/>
            </w:r>
            <w:r>
              <w:rPr>
                <w:szCs w:val="24"/>
              </w:rPr>
              <w:fldChar w:fldCharType="end"/>
            </w:r>
            <w:bookmarkEnd w:id="4"/>
          </w:p>
        </w:tc>
      </w:tr>
      <w:tr w:rsidR="00EE7097" w:rsidRPr="001C60B5" w14:paraId="361CA5D3" w14:textId="77777777" w:rsidTr="007B4060">
        <w:trPr>
          <w:gridAfter w:val="1"/>
          <w:wAfter w:w="95" w:type="dxa"/>
        </w:trPr>
        <w:tc>
          <w:tcPr>
            <w:tcW w:w="8926" w:type="dxa"/>
            <w:gridSpan w:val="8"/>
            <w:tcBorders>
              <w:bottom w:val="single" w:sz="4" w:space="0" w:color="auto"/>
            </w:tcBorders>
          </w:tcPr>
          <w:p w14:paraId="410DA142" w14:textId="0F112377" w:rsidR="00022C5B" w:rsidRDefault="00022C5B" w:rsidP="00022C5B">
            <w:pPr>
              <w:rPr>
                <w:szCs w:val="24"/>
              </w:rPr>
            </w:pPr>
            <w:r>
              <w:rPr>
                <w:szCs w:val="24"/>
              </w:rPr>
              <w:t xml:space="preserve">The Board </w:t>
            </w:r>
            <w:r w:rsidRPr="00851721">
              <w:rPr>
                <w:szCs w:val="24"/>
              </w:rPr>
              <w:t xml:space="preserve">is </w:t>
            </w:r>
            <w:r w:rsidRPr="001C60B5">
              <w:rPr>
                <w:szCs w:val="24"/>
              </w:rPr>
              <w:t xml:space="preserve">asked to: </w:t>
            </w:r>
          </w:p>
          <w:p w14:paraId="1F8A32BF" w14:textId="77777777" w:rsidR="007B4060" w:rsidRDefault="007B4060" w:rsidP="00022C5B">
            <w:pPr>
              <w:rPr>
                <w:szCs w:val="24"/>
              </w:rPr>
            </w:pPr>
          </w:p>
          <w:p w14:paraId="535D162E" w14:textId="7EEC0F6F" w:rsidR="00022C5B" w:rsidRPr="007B4060" w:rsidRDefault="00022C5B" w:rsidP="007B4060">
            <w:pPr>
              <w:pStyle w:val="ListParagraph"/>
              <w:numPr>
                <w:ilvl w:val="0"/>
                <w:numId w:val="2"/>
              </w:numPr>
              <w:ind w:left="592" w:hanging="425"/>
              <w:rPr>
                <w:szCs w:val="24"/>
              </w:rPr>
            </w:pPr>
            <w:r>
              <w:rPr>
                <w:b/>
                <w:szCs w:val="24"/>
              </w:rPr>
              <w:t xml:space="preserve">Approve </w:t>
            </w:r>
            <w:r>
              <w:rPr>
                <w:szCs w:val="24"/>
              </w:rPr>
              <w:t xml:space="preserve">the proposed amendments </w:t>
            </w:r>
            <w:r w:rsidR="007B4060">
              <w:rPr>
                <w:szCs w:val="24"/>
              </w:rPr>
              <w:t xml:space="preserve">to the </w:t>
            </w:r>
            <w:r w:rsidRPr="007B4060">
              <w:rPr>
                <w:rFonts w:cs="Arial"/>
              </w:rPr>
              <w:t>Audit and Corporate Governance Committee (</w:t>
            </w:r>
            <w:r w:rsidRPr="007B4060">
              <w:rPr>
                <w:rFonts w:cs="Arial"/>
                <w:b/>
              </w:rPr>
              <w:t>Appendix </w:t>
            </w:r>
            <w:r w:rsidR="00941424" w:rsidRPr="007B4060">
              <w:rPr>
                <w:rFonts w:cs="Arial"/>
                <w:b/>
              </w:rPr>
              <w:t>1</w:t>
            </w:r>
            <w:r w:rsidR="00D258B8">
              <w:rPr>
                <w:rFonts w:cs="Arial"/>
                <w:b/>
              </w:rPr>
              <w:t xml:space="preserve"> – 5.5b</w:t>
            </w:r>
            <w:r w:rsidRPr="007B4060">
              <w:rPr>
                <w:rFonts w:cs="Arial"/>
              </w:rPr>
              <w:t>)</w:t>
            </w:r>
            <w:r w:rsidR="007B4060">
              <w:rPr>
                <w:rFonts w:cs="Arial"/>
                <w:b/>
              </w:rPr>
              <w:t>;</w:t>
            </w:r>
          </w:p>
          <w:p w14:paraId="739F60A7" w14:textId="0D7B3D13" w:rsidR="007B4060" w:rsidRPr="007B4060" w:rsidRDefault="007B4060" w:rsidP="007B4060">
            <w:pPr>
              <w:pStyle w:val="ListParagraph"/>
              <w:ind w:left="592"/>
              <w:rPr>
                <w:szCs w:val="24"/>
              </w:rPr>
            </w:pPr>
          </w:p>
          <w:p w14:paraId="213DBC06" w14:textId="52294BBA" w:rsidR="007B4060" w:rsidRDefault="007B4060" w:rsidP="000A6A05">
            <w:pPr>
              <w:pStyle w:val="ListParagraph"/>
              <w:widowControl w:val="0"/>
              <w:numPr>
                <w:ilvl w:val="0"/>
                <w:numId w:val="2"/>
              </w:numPr>
              <w:autoSpaceDE w:val="0"/>
              <w:autoSpaceDN w:val="0"/>
              <w:adjustRightInd w:val="0"/>
              <w:ind w:left="596" w:hanging="425"/>
              <w:jc w:val="both"/>
              <w:rPr>
                <w:rFonts w:cs="Arial"/>
              </w:rPr>
            </w:pPr>
            <w:r w:rsidRPr="007B4060">
              <w:rPr>
                <w:b/>
                <w:szCs w:val="24"/>
              </w:rPr>
              <w:t xml:space="preserve">Approve </w:t>
            </w:r>
            <w:r w:rsidRPr="007B4060">
              <w:rPr>
                <w:szCs w:val="24"/>
              </w:rPr>
              <w:t xml:space="preserve">the proposed amendments to the </w:t>
            </w:r>
            <w:r w:rsidR="00022C5B" w:rsidRPr="007B4060">
              <w:rPr>
                <w:rFonts w:cs="Arial"/>
              </w:rPr>
              <w:t>Quality, Safety and Improvement Committee (</w:t>
            </w:r>
            <w:r w:rsidR="00022C5B" w:rsidRPr="007B4060">
              <w:rPr>
                <w:rFonts w:cs="Arial"/>
                <w:b/>
              </w:rPr>
              <w:t>Appendix </w:t>
            </w:r>
            <w:r w:rsidR="00941424" w:rsidRPr="007B4060">
              <w:rPr>
                <w:rFonts w:cs="Arial"/>
                <w:b/>
              </w:rPr>
              <w:t>2</w:t>
            </w:r>
            <w:r w:rsidR="00D258B8">
              <w:rPr>
                <w:rFonts w:cs="Arial"/>
                <w:b/>
              </w:rPr>
              <w:t xml:space="preserve"> – 5.5c</w:t>
            </w:r>
            <w:r w:rsidR="00022C5B" w:rsidRPr="007B4060">
              <w:rPr>
                <w:rFonts w:cs="Arial"/>
              </w:rPr>
              <w:t>)</w:t>
            </w:r>
            <w:r w:rsidRPr="007B4060">
              <w:rPr>
                <w:rFonts w:cs="Arial"/>
              </w:rPr>
              <w:t xml:space="preserve">, </w:t>
            </w:r>
            <w:r>
              <w:rPr>
                <w:rFonts w:cs="Arial"/>
              </w:rPr>
              <w:t>noting t</w:t>
            </w:r>
            <w:r w:rsidRPr="007B4060">
              <w:rPr>
                <w:rFonts w:cs="Arial"/>
              </w:rPr>
              <w:t xml:space="preserve">hat the necessary changes will </w:t>
            </w:r>
            <w:r>
              <w:rPr>
                <w:rFonts w:cs="Arial"/>
              </w:rPr>
              <w:t xml:space="preserve">also </w:t>
            </w:r>
            <w:r w:rsidRPr="007B4060">
              <w:rPr>
                <w:rFonts w:cs="Arial"/>
              </w:rPr>
              <w:t>be made to the People and Organisational Development Committee Terms of Reference to reflect the changes</w:t>
            </w:r>
            <w:r>
              <w:rPr>
                <w:rFonts w:cs="Arial"/>
              </w:rPr>
              <w:t xml:space="preserve"> regarding Health and Safety;</w:t>
            </w:r>
          </w:p>
          <w:p w14:paraId="6F7721A3" w14:textId="77777777" w:rsidR="0018657C" w:rsidRPr="0018657C" w:rsidRDefault="0018657C" w:rsidP="0018657C">
            <w:pPr>
              <w:pStyle w:val="ListParagraph"/>
              <w:rPr>
                <w:rFonts w:cs="Arial"/>
              </w:rPr>
            </w:pPr>
          </w:p>
          <w:p w14:paraId="3D959E91" w14:textId="6FFD4C7D" w:rsidR="0018657C" w:rsidRPr="007B4060" w:rsidRDefault="0018657C" w:rsidP="000A6A05">
            <w:pPr>
              <w:pStyle w:val="ListParagraph"/>
              <w:widowControl w:val="0"/>
              <w:numPr>
                <w:ilvl w:val="0"/>
                <w:numId w:val="2"/>
              </w:numPr>
              <w:autoSpaceDE w:val="0"/>
              <w:autoSpaceDN w:val="0"/>
              <w:adjustRightInd w:val="0"/>
              <w:ind w:left="596" w:hanging="425"/>
              <w:jc w:val="both"/>
              <w:rPr>
                <w:rFonts w:cs="Arial"/>
              </w:rPr>
            </w:pPr>
            <w:r w:rsidRPr="0018657C">
              <w:rPr>
                <w:rFonts w:cs="Arial"/>
                <w:b/>
              </w:rPr>
              <w:t>Approve</w:t>
            </w:r>
            <w:r>
              <w:rPr>
                <w:rFonts w:cs="Arial"/>
              </w:rPr>
              <w:t xml:space="preserve"> the proposed amendments to the Remuneration and Terms of Service Committee Terms of Reference (</w:t>
            </w:r>
            <w:r w:rsidRPr="0018657C">
              <w:rPr>
                <w:rFonts w:cs="Arial"/>
                <w:b/>
              </w:rPr>
              <w:t>Appendix 3</w:t>
            </w:r>
            <w:r w:rsidR="00D258B8">
              <w:rPr>
                <w:rFonts w:cs="Arial"/>
                <w:b/>
              </w:rPr>
              <w:t xml:space="preserve"> – 5.5d</w:t>
            </w:r>
            <w:r>
              <w:rPr>
                <w:rFonts w:cs="Arial"/>
              </w:rPr>
              <w:t>);</w:t>
            </w:r>
          </w:p>
          <w:p w14:paraId="4E70A2AF" w14:textId="77777777" w:rsidR="007B4060" w:rsidRDefault="007B4060" w:rsidP="007B4060">
            <w:pPr>
              <w:pStyle w:val="ListParagraph"/>
              <w:rPr>
                <w:rFonts w:cs="Arial"/>
                <w:b/>
              </w:rPr>
            </w:pPr>
          </w:p>
          <w:p w14:paraId="76414819" w14:textId="5782E7E3" w:rsidR="00941424" w:rsidRDefault="00941424" w:rsidP="007B4060">
            <w:pPr>
              <w:widowControl w:val="0"/>
              <w:numPr>
                <w:ilvl w:val="0"/>
                <w:numId w:val="2"/>
              </w:numPr>
              <w:autoSpaceDE w:val="0"/>
              <w:autoSpaceDN w:val="0"/>
              <w:adjustRightInd w:val="0"/>
              <w:ind w:left="596" w:hanging="425"/>
              <w:jc w:val="both"/>
              <w:rPr>
                <w:rFonts w:cs="Arial"/>
              </w:rPr>
            </w:pPr>
            <w:r w:rsidRPr="00941424">
              <w:rPr>
                <w:rFonts w:cs="Arial"/>
                <w:b/>
              </w:rPr>
              <w:t>Note</w:t>
            </w:r>
            <w:r>
              <w:rPr>
                <w:rFonts w:cs="Arial"/>
              </w:rPr>
              <w:t xml:space="preserve"> that no changes are proposed for the Standard Terms of Reference and Operating Arrangements</w:t>
            </w:r>
            <w:r w:rsidR="007B4060">
              <w:rPr>
                <w:rFonts w:cs="Arial"/>
              </w:rPr>
              <w:t>;</w:t>
            </w:r>
          </w:p>
          <w:p w14:paraId="0A9594DF" w14:textId="77777777" w:rsidR="007B4060" w:rsidRDefault="007B4060" w:rsidP="007B4060">
            <w:pPr>
              <w:pStyle w:val="ListParagraph"/>
              <w:jc w:val="both"/>
              <w:rPr>
                <w:rFonts w:cs="Arial"/>
              </w:rPr>
            </w:pPr>
          </w:p>
          <w:p w14:paraId="361CA5D2" w14:textId="5CB530E3" w:rsidR="0018657C" w:rsidRPr="00720EC2" w:rsidRDefault="00941424" w:rsidP="0018657C">
            <w:pPr>
              <w:widowControl w:val="0"/>
              <w:numPr>
                <w:ilvl w:val="0"/>
                <w:numId w:val="2"/>
              </w:numPr>
              <w:autoSpaceDE w:val="0"/>
              <w:autoSpaceDN w:val="0"/>
              <w:adjustRightInd w:val="0"/>
              <w:ind w:left="596" w:hanging="425"/>
              <w:jc w:val="both"/>
              <w:rPr>
                <w:rFonts w:cs="Arial"/>
              </w:rPr>
            </w:pPr>
            <w:r w:rsidRPr="00941424">
              <w:rPr>
                <w:rFonts w:cs="Arial"/>
                <w:b/>
              </w:rPr>
              <w:t>Note</w:t>
            </w:r>
            <w:r>
              <w:rPr>
                <w:rFonts w:cs="Arial"/>
              </w:rPr>
              <w:t xml:space="preserve"> a full review of the People and Organisational Development </w:t>
            </w:r>
            <w:r>
              <w:rPr>
                <w:rFonts w:cs="Arial"/>
              </w:rPr>
              <w:lastRenderedPageBreak/>
              <w:t xml:space="preserve">Committee </w:t>
            </w:r>
            <w:r w:rsidR="007B4060">
              <w:rPr>
                <w:rFonts w:cs="Arial"/>
              </w:rPr>
              <w:t xml:space="preserve">and the </w:t>
            </w:r>
            <w:r w:rsidRPr="007B4060">
              <w:rPr>
                <w:rFonts w:cs="Arial"/>
              </w:rPr>
              <w:t xml:space="preserve">Knowledge, Research and Information Committee will take place </w:t>
            </w:r>
            <w:r w:rsidR="00720EC2">
              <w:rPr>
                <w:rFonts w:cs="Arial"/>
              </w:rPr>
              <w:t xml:space="preserve">later </w:t>
            </w:r>
            <w:r w:rsidR="007B4060">
              <w:rPr>
                <w:rFonts w:cs="Arial"/>
              </w:rPr>
              <w:t xml:space="preserve">in 2021; </w:t>
            </w:r>
          </w:p>
        </w:tc>
      </w:tr>
      <w:tr w:rsidR="00D713DC" w:rsidRPr="001C60B5" w14:paraId="361CA5D6" w14:textId="77777777" w:rsidTr="007B4060">
        <w:tc>
          <w:tcPr>
            <w:tcW w:w="9026" w:type="dxa"/>
            <w:gridSpan w:val="9"/>
            <w:tcBorders>
              <w:left w:val="nil"/>
              <w:right w:val="nil"/>
            </w:tcBorders>
            <w:shd w:val="clear" w:color="auto" w:fill="auto"/>
          </w:tcPr>
          <w:p w14:paraId="361CA5D5" w14:textId="4A268161" w:rsidR="00D713DC" w:rsidRPr="005B4E75" w:rsidRDefault="00916053">
            <w:pPr>
              <w:rPr>
                <w:b/>
                <w:sz w:val="12"/>
                <w:szCs w:val="12"/>
              </w:rPr>
            </w:pPr>
            <w:r>
              <w:lastRenderedPageBreak/>
              <w:br w:type="page"/>
            </w:r>
          </w:p>
        </w:tc>
      </w:tr>
      <w:tr w:rsidR="00EE7097" w:rsidRPr="001C60B5" w14:paraId="361CA5DC" w14:textId="77777777" w:rsidTr="007B4060">
        <w:tc>
          <w:tcPr>
            <w:tcW w:w="9026" w:type="dxa"/>
            <w:gridSpan w:val="9"/>
            <w:shd w:val="clear" w:color="auto" w:fill="F2F2F2" w:themeFill="background1" w:themeFillShade="F2"/>
          </w:tcPr>
          <w:p w14:paraId="361CA5D7" w14:textId="77777777" w:rsidR="00EE7097" w:rsidRPr="001C60B5" w:rsidRDefault="00EE7097" w:rsidP="00680248">
            <w:pPr>
              <w:rPr>
                <w:szCs w:val="24"/>
              </w:rPr>
            </w:pPr>
            <w:r w:rsidRPr="001C60B5">
              <w:rPr>
                <w:b/>
                <w:szCs w:val="24"/>
              </w:rPr>
              <w:t xml:space="preserve">Link to Public Health Wales </w:t>
            </w:r>
            <w:hyperlink r:id="rId13" w:history="1">
              <w:r w:rsidRPr="001C60B5">
                <w:rPr>
                  <w:rStyle w:val="Hyperlink"/>
                  <w:b/>
                  <w:szCs w:val="24"/>
                </w:rPr>
                <w:t>Strategic Plan</w:t>
              </w:r>
            </w:hyperlink>
          </w:p>
          <w:p w14:paraId="361CA5D8" w14:textId="77777777" w:rsidR="00EE7097" w:rsidRPr="001C60B5" w:rsidRDefault="00EE7097" w:rsidP="00680248">
            <w:pPr>
              <w:rPr>
                <w:szCs w:val="24"/>
              </w:rPr>
            </w:pPr>
          </w:p>
          <w:p w14:paraId="361CA5D9" w14:textId="77777777" w:rsidR="0013075E" w:rsidRDefault="00B52B29" w:rsidP="00EE7097">
            <w:pPr>
              <w:rPr>
                <w:szCs w:val="24"/>
              </w:rPr>
            </w:pPr>
            <w:r w:rsidRPr="001C60B5">
              <w:rPr>
                <w:szCs w:val="24"/>
              </w:rPr>
              <w:t>Public Health Wales has an agreed strategic plan</w:t>
            </w:r>
            <w:r>
              <w:rPr>
                <w:szCs w:val="24"/>
              </w:rPr>
              <w:t xml:space="preserve">, which has identified seven strategic priorities and well-being objectives.  </w:t>
            </w:r>
          </w:p>
          <w:p w14:paraId="361CA5DA" w14:textId="77777777" w:rsidR="00B52B29" w:rsidRDefault="00B52B29" w:rsidP="00EE7097">
            <w:pPr>
              <w:rPr>
                <w:bCs/>
                <w:szCs w:val="24"/>
              </w:rPr>
            </w:pPr>
          </w:p>
          <w:p w14:paraId="361CA5DB" w14:textId="77777777" w:rsidR="00EE7097" w:rsidRPr="001C60B5" w:rsidRDefault="00EE7097" w:rsidP="00EE7097">
            <w:pPr>
              <w:rPr>
                <w:szCs w:val="24"/>
              </w:rPr>
            </w:pPr>
            <w:r w:rsidRPr="001C60B5">
              <w:rPr>
                <w:szCs w:val="24"/>
              </w:rPr>
              <w:t>This report contributes to the following:</w:t>
            </w:r>
          </w:p>
        </w:tc>
      </w:tr>
      <w:tr w:rsidR="00EE7097" w:rsidRPr="001C60B5" w14:paraId="361CA5DF" w14:textId="77777777" w:rsidTr="007B4060">
        <w:tc>
          <w:tcPr>
            <w:tcW w:w="3192" w:type="dxa"/>
            <w:gridSpan w:val="3"/>
            <w:shd w:val="clear" w:color="auto" w:fill="auto"/>
          </w:tcPr>
          <w:p w14:paraId="361CA5DD" w14:textId="77777777" w:rsidR="00EE7097" w:rsidRPr="001C60B5" w:rsidRDefault="00B52B29" w:rsidP="00B52B29">
            <w:pPr>
              <w:rPr>
                <w:b/>
                <w:szCs w:val="24"/>
              </w:rPr>
            </w:pPr>
            <w:r w:rsidRPr="001C60B5">
              <w:rPr>
                <w:b/>
                <w:szCs w:val="24"/>
              </w:rPr>
              <w:t xml:space="preserve">Strategic </w:t>
            </w:r>
            <w:r>
              <w:rPr>
                <w:b/>
                <w:szCs w:val="24"/>
              </w:rPr>
              <w:t>Priority/Well-being Objective</w:t>
            </w:r>
          </w:p>
        </w:tc>
        <w:tc>
          <w:tcPr>
            <w:tcW w:w="5834" w:type="dxa"/>
            <w:gridSpan w:val="6"/>
            <w:shd w:val="clear" w:color="auto" w:fill="auto"/>
          </w:tcPr>
          <w:p w14:paraId="361CA5DE" w14:textId="60CBC389" w:rsidR="00EE7097" w:rsidRPr="0013075E" w:rsidRDefault="002272E4" w:rsidP="00554429">
            <w:pPr>
              <w:rPr>
                <w:szCs w:val="24"/>
              </w:rPr>
            </w:pPr>
            <w:sdt>
              <w:sdtPr>
                <w:rPr>
                  <w:rStyle w:val="Dropdown"/>
                </w:rPr>
                <w:alias w:val="Strategic Objective"/>
                <w:tag w:val="Strategic Objective"/>
                <w:id w:val="1886465"/>
                <w:placeholder>
                  <w:docPart w:val="0E25CCC5DD4F43AAA642CDCC18DDB6A6"/>
                </w:placeholder>
                <w:dropDownList>
                  <w:listItem w:value="Choose an item."/>
                  <w:listItem w:displayText="1 - Influencing the wider determinants of health" w:value="1 - Influencing the wider determinants of health"/>
                  <w:listItem w:displayText="2 - Improving mental-well-being and building resilience" w:value="2 - Improving mental-well-being and building resilience"/>
                  <w:listItem w:displayText="3 - Promoting healthy behaviours" w:value="3 - Promoting healthy behaviours"/>
                  <w:listItem w:displayText="4 - Securing a healthy future for the next generation through a focus on early years" w:value="4 - Securing a healthy future for the next generation through a focus on early years"/>
                  <w:listItem w:displayText="5 - Protecting the public from infection and environmental threats to health" w:value="5 - Protecting the public from infection and environmental threats to health"/>
                  <w:listItem w:displayText="6 - Supporting the development of a sustainable health and care system focused on prevention and early intervention" w:value="6 - Supporting the development of a sustainable health and care system focused on prevention and early intervention"/>
                  <w:listItem w:displayText="7 - Building and mobilising knowledge and skills to improve health and well-being across Wales" w:value="7 - Building and mobilising knowledge and skills to improve health and well-being across Wales"/>
                  <w:listItem w:displayText="All Strategic Priorities/Well-being Objectives" w:value="All Strategic Priorities/Well-being Objectives"/>
                </w:dropDownList>
              </w:sdtPr>
              <w:sdtEndPr>
                <w:rPr>
                  <w:rStyle w:val="DefaultParagraphFont"/>
                  <w:sz w:val="22"/>
                  <w:szCs w:val="24"/>
                </w:rPr>
              </w:sdtEndPr>
              <w:sdtContent>
                <w:r w:rsidR="008E5907">
                  <w:rPr>
                    <w:rStyle w:val="Dropdown"/>
                  </w:rPr>
                  <w:t>All Strategic Priorities/Well-being Objectives</w:t>
                </w:r>
              </w:sdtContent>
            </w:sdt>
          </w:p>
        </w:tc>
      </w:tr>
      <w:tr w:rsidR="00EE7097" w:rsidRPr="001C60B5" w14:paraId="361CA5E7" w14:textId="77777777" w:rsidTr="007B4060">
        <w:tc>
          <w:tcPr>
            <w:tcW w:w="9026" w:type="dxa"/>
            <w:gridSpan w:val="9"/>
            <w:tcBorders>
              <w:left w:val="nil"/>
              <w:right w:val="nil"/>
            </w:tcBorders>
            <w:shd w:val="clear" w:color="auto" w:fill="auto"/>
          </w:tcPr>
          <w:p w14:paraId="361CA5E6" w14:textId="77777777" w:rsidR="00EE7097" w:rsidRPr="005B4E75" w:rsidRDefault="00EE7097" w:rsidP="00211B9D">
            <w:pPr>
              <w:rPr>
                <w:b/>
                <w:sz w:val="12"/>
                <w:szCs w:val="12"/>
              </w:rPr>
            </w:pPr>
          </w:p>
        </w:tc>
      </w:tr>
      <w:tr w:rsidR="00EE7097" w:rsidRPr="001C60B5" w14:paraId="361CA5EA" w14:textId="77777777" w:rsidTr="007B4060">
        <w:tc>
          <w:tcPr>
            <w:tcW w:w="9026" w:type="dxa"/>
            <w:gridSpan w:val="9"/>
            <w:shd w:val="clear" w:color="auto" w:fill="F2F2F2" w:themeFill="background1" w:themeFillShade="F2"/>
          </w:tcPr>
          <w:p w14:paraId="361CA5E9" w14:textId="4C7F6C08" w:rsidR="00EE7097" w:rsidRPr="00897F8D" w:rsidRDefault="00EE7097" w:rsidP="00CA5841">
            <w:pPr>
              <w:rPr>
                <w:i/>
                <w:color w:val="FF0000"/>
                <w:szCs w:val="24"/>
              </w:rPr>
            </w:pPr>
            <w:r w:rsidRPr="001C60B5">
              <w:rPr>
                <w:b/>
                <w:szCs w:val="24"/>
              </w:rPr>
              <w:t xml:space="preserve">Summary impact analysis </w:t>
            </w:r>
            <w:r w:rsidRPr="001C60B5">
              <w:rPr>
                <w:i/>
                <w:color w:val="FF0000"/>
                <w:szCs w:val="24"/>
              </w:rPr>
              <w:t xml:space="preserve"> </w:t>
            </w:r>
          </w:p>
        </w:tc>
      </w:tr>
      <w:tr w:rsidR="00EE7097" w:rsidRPr="001C60B5" w14:paraId="361CA5F1" w14:textId="77777777" w:rsidTr="007B4060">
        <w:trPr>
          <w:trHeight w:val="692"/>
        </w:trPr>
        <w:tc>
          <w:tcPr>
            <w:tcW w:w="3192" w:type="dxa"/>
            <w:gridSpan w:val="3"/>
          </w:tcPr>
          <w:p w14:paraId="361CA5EB" w14:textId="77777777" w:rsidR="00EE7097" w:rsidRPr="001C60B5" w:rsidRDefault="00EE7097" w:rsidP="00097ACD">
            <w:pPr>
              <w:rPr>
                <w:b/>
                <w:szCs w:val="24"/>
              </w:rPr>
            </w:pPr>
            <w:r w:rsidRPr="001C60B5">
              <w:rPr>
                <w:b/>
                <w:szCs w:val="24"/>
              </w:rPr>
              <w:t>Equality and Health Impact Assessment</w:t>
            </w:r>
          </w:p>
        </w:tc>
        <w:tc>
          <w:tcPr>
            <w:tcW w:w="5834" w:type="dxa"/>
            <w:gridSpan w:val="6"/>
          </w:tcPr>
          <w:p w14:paraId="361CA5F0" w14:textId="01625B4D" w:rsidR="00EE7097" w:rsidRPr="001913AB" w:rsidRDefault="00EF2460" w:rsidP="008E5907">
            <w:pPr>
              <w:rPr>
                <w:color w:val="FF0000"/>
                <w:szCs w:val="24"/>
              </w:rPr>
            </w:pPr>
            <w:r w:rsidRPr="001913AB">
              <w:rPr>
                <w:szCs w:val="24"/>
              </w:rPr>
              <w:t xml:space="preserve">Not required </w:t>
            </w:r>
          </w:p>
        </w:tc>
      </w:tr>
      <w:tr w:rsidR="003A3414" w:rsidRPr="001C60B5" w14:paraId="361CA5F4" w14:textId="77777777" w:rsidTr="007B4060">
        <w:tc>
          <w:tcPr>
            <w:tcW w:w="3192" w:type="dxa"/>
            <w:gridSpan w:val="3"/>
          </w:tcPr>
          <w:p w14:paraId="361CA5F2" w14:textId="77777777" w:rsidR="003A3414" w:rsidRPr="00593A31" w:rsidRDefault="003A3414">
            <w:pPr>
              <w:rPr>
                <w:b/>
                <w:szCs w:val="24"/>
              </w:rPr>
            </w:pPr>
            <w:r w:rsidRPr="00593A31">
              <w:rPr>
                <w:b/>
                <w:szCs w:val="24"/>
              </w:rPr>
              <w:t>Risk and Assurance</w:t>
            </w:r>
          </w:p>
        </w:tc>
        <w:tc>
          <w:tcPr>
            <w:tcW w:w="5834" w:type="dxa"/>
            <w:gridSpan w:val="6"/>
            <w:tcBorders>
              <w:bottom w:val="single" w:sz="4" w:space="0" w:color="auto"/>
            </w:tcBorders>
          </w:tcPr>
          <w:p w14:paraId="361CA5F3" w14:textId="41925725" w:rsidR="003A3414" w:rsidRPr="00593A31" w:rsidRDefault="00593A31" w:rsidP="003A3414">
            <w:pPr>
              <w:rPr>
                <w:szCs w:val="24"/>
              </w:rPr>
            </w:pPr>
            <w:r>
              <w:rPr>
                <w:szCs w:val="24"/>
              </w:rPr>
              <w:t>The</w:t>
            </w:r>
            <w:r w:rsidRPr="00593A31">
              <w:rPr>
                <w:szCs w:val="24"/>
              </w:rPr>
              <w:t xml:space="preserve"> organisation will not be compliant with its Standing orders if an annual review of terms of reference is not undertaken.</w:t>
            </w:r>
          </w:p>
        </w:tc>
      </w:tr>
      <w:tr w:rsidR="00EE7097" w:rsidRPr="001C60B5" w14:paraId="361CA5F7" w14:textId="77777777" w:rsidTr="007B4060">
        <w:trPr>
          <w:trHeight w:val="1030"/>
        </w:trPr>
        <w:tc>
          <w:tcPr>
            <w:tcW w:w="3192" w:type="dxa"/>
            <w:gridSpan w:val="3"/>
            <w:vMerge w:val="restart"/>
          </w:tcPr>
          <w:p w14:paraId="361CA5F5" w14:textId="77777777" w:rsidR="00EE7097" w:rsidRPr="001C60B5" w:rsidRDefault="00EE7097">
            <w:pPr>
              <w:rPr>
                <w:b/>
                <w:szCs w:val="24"/>
              </w:rPr>
            </w:pPr>
            <w:r w:rsidRPr="001C60B5">
              <w:rPr>
                <w:b/>
                <w:szCs w:val="24"/>
              </w:rPr>
              <w:t>Health and Care Standards</w:t>
            </w:r>
          </w:p>
        </w:tc>
        <w:tc>
          <w:tcPr>
            <w:tcW w:w="5834" w:type="dxa"/>
            <w:gridSpan w:val="6"/>
            <w:tcBorders>
              <w:bottom w:val="nil"/>
            </w:tcBorders>
          </w:tcPr>
          <w:p w14:paraId="361CA5F6" w14:textId="77777777" w:rsidR="00EE7097" w:rsidRPr="001C60B5" w:rsidRDefault="00EE7097" w:rsidP="00126327">
            <w:pPr>
              <w:rPr>
                <w:szCs w:val="24"/>
              </w:rPr>
            </w:pPr>
            <w:r w:rsidRPr="001C60B5">
              <w:rPr>
                <w:szCs w:val="24"/>
              </w:rPr>
              <w:t xml:space="preserve">This report supports and/or takes into account the </w:t>
            </w:r>
            <w:hyperlink r:id="rId14" w:history="1">
              <w:r w:rsidRPr="001C60B5">
                <w:rPr>
                  <w:rStyle w:val="Hyperlink"/>
                  <w:color w:val="0000FF"/>
                  <w:szCs w:val="24"/>
                </w:rPr>
                <w:t>Health and Care Standards for NHS Wales</w:t>
              </w:r>
            </w:hyperlink>
            <w:r w:rsidRPr="001C60B5">
              <w:rPr>
                <w:szCs w:val="24"/>
              </w:rPr>
              <w:t xml:space="preserve"> Quality Themes</w:t>
            </w:r>
            <w:r w:rsidRPr="001C60B5">
              <w:rPr>
                <w:i/>
                <w:color w:val="FF0000"/>
                <w:szCs w:val="24"/>
              </w:rPr>
              <w:t xml:space="preserve"> </w:t>
            </w:r>
          </w:p>
        </w:tc>
      </w:tr>
      <w:tr w:rsidR="00E263D4" w:rsidRPr="001C60B5" w14:paraId="361CA5FA" w14:textId="77777777" w:rsidTr="007B4060">
        <w:trPr>
          <w:trHeight w:val="281"/>
        </w:trPr>
        <w:tc>
          <w:tcPr>
            <w:tcW w:w="3192" w:type="dxa"/>
            <w:gridSpan w:val="3"/>
            <w:vMerge/>
          </w:tcPr>
          <w:p w14:paraId="361CA5F8" w14:textId="77777777" w:rsidR="00E263D4" w:rsidRPr="001C60B5" w:rsidRDefault="00E263D4" w:rsidP="00E263D4">
            <w:pPr>
              <w:rPr>
                <w:b/>
                <w:szCs w:val="24"/>
              </w:rPr>
            </w:pPr>
          </w:p>
        </w:tc>
        <w:tc>
          <w:tcPr>
            <w:tcW w:w="5834" w:type="dxa"/>
            <w:gridSpan w:val="6"/>
            <w:tcBorders>
              <w:top w:val="nil"/>
              <w:bottom w:val="nil"/>
            </w:tcBorders>
          </w:tcPr>
          <w:sdt>
            <w:sdtPr>
              <w:rPr>
                <w:rStyle w:val="Dropdown"/>
              </w:rPr>
              <w:alias w:val="Health and Care Standards"/>
              <w:tag w:val="Health and Care Standards"/>
              <w:id w:val="29471429"/>
              <w:placeholder>
                <w:docPart w:val="C04374CD51A040E4BEE1F4C1F29763FE"/>
              </w:placeholder>
              <w:dropDownList>
                <w:listItem w:value="Choose an item."/>
                <w:listItem w:displayText="Governance, Leadership and Accountability" w:value="Governance, Leadership and Accountability"/>
                <w:listItem w:displayText="Person Centred Care" w:value="Person Centred Care"/>
                <w:listItem w:displayText="Theme 1 - Staying Healthy" w:value="Theme 1 - Staying Healthy"/>
                <w:listItem w:displayText="Theme 2 - Safe Care" w:value="Theme 2 - Safe Care"/>
                <w:listItem w:displayText="Theme 3 - Effective Care" w:value="Theme 3 - Effective Care"/>
                <w:listItem w:displayText="Theme 4 - Dignified Care" w:value="Theme 4 - Dignified Care"/>
                <w:listItem w:displayText="Theme 5 - Timely Care" w:value="Theme 5 - Timely Care"/>
                <w:listItem w:displayText="Theme 6 - Individual Care" w:value="Theme 6 - Individual Care"/>
                <w:listItem w:displayText="Theme 7 - Staff and Resources" w:value="Theme 7 - Staff and Resources"/>
                <w:listItem w:displayText="All themes" w:value="All themes"/>
              </w:dropDownList>
            </w:sdtPr>
            <w:sdtEndPr>
              <w:rPr>
                <w:rStyle w:val="DefaultParagraphFont"/>
                <w:sz w:val="22"/>
                <w:szCs w:val="24"/>
              </w:rPr>
            </w:sdtEndPr>
            <w:sdtContent>
              <w:p w14:paraId="361CA5F9" w14:textId="4264D01F" w:rsidR="00E263D4" w:rsidRPr="001C60B5" w:rsidRDefault="008E5907" w:rsidP="00E263D4">
                <w:pPr>
                  <w:ind w:left="436"/>
                  <w:rPr>
                    <w:szCs w:val="24"/>
                  </w:rPr>
                </w:pPr>
                <w:r>
                  <w:rPr>
                    <w:rStyle w:val="Dropdown"/>
                  </w:rPr>
                  <w:t>Governance, Leadership and Accountability</w:t>
                </w:r>
              </w:p>
            </w:sdtContent>
          </w:sdt>
        </w:tc>
      </w:tr>
      <w:tr w:rsidR="00EE7097" w:rsidRPr="001C60B5" w14:paraId="361CA603" w14:textId="77777777" w:rsidTr="007B4060">
        <w:tc>
          <w:tcPr>
            <w:tcW w:w="3192" w:type="dxa"/>
            <w:gridSpan w:val="3"/>
          </w:tcPr>
          <w:p w14:paraId="361CA601" w14:textId="77777777" w:rsidR="00EE7097" w:rsidRPr="001C60B5" w:rsidRDefault="00EE7097">
            <w:pPr>
              <w:rPr>
                <w:b/>
                <w:szCs w:val="24"/>
              </w:rPr>
            </w:pPr>
            <w:r w:rsidRPr="001C60B5">
              <w:rPr>
                <w:b/>
                <w:szCs w:val="24"/>
              </w:rPr>
              <w:t>Financial implications</w:t>
            </w:r>
          </w:p>
        </w:tc>
        <w:tc>
          <w:tcPr>
            <w:tcW w:w="5834" w:type="dxa"/>
            <w:gridSpan w:val="6"/>
          </w:tcPr>
          <w:p w14:paraId="361CA602" w14:textId="4B49FDB5" w:rsidR="00EE7097" w:rsidRPr="00126327" w:rsidRDefault="008E5907" w:rsidP="007D03B8">
            <w:pPr>
              <w:rPr>
                <w:szCs w:val="24"/>
              </w:rPr>
            </w:pPr>
            <w:r>
              <w:rPr>
                <w:szCs w:val="24"/>
              </w:rPr>
              <w:t>N/A</w:t>
            </w:r>
          </w:p>
        </w:tc>
      </w:tr>
      <w:tr w:rsidR="00EE7097" w:rsidRPr="001C60B5" w14:paraId="361CA606" w14:textId="77777777" w:rsidTr="007B4060">
        <w:tc>
          <w:tcPr>
            <w:tcW w:w="3192" w:type="dxa"/>
            <w:gridSpan w:val="3"/>
          </w:tcPr>
          <w:p w14:paraId="361CA604" w14:textId="77777777" w:rsidR="00EE7097" w:rsidRPr="001C60B5" w:rsidRDefault="00EE7097">
            <w:pPr>
              <w:rPr>
                <w:b/>
                <w:szCs w:val="24"/>
              </w:rPr>
            </w:pPr>
            <w:r w:rsidRPr="001C60B5">
              <w:rPr>
                <w:b/>
                <w:szCs w:val="24"/>
              </w:rPr>
              <w:t xml:space="preserve">People implications </w:t>
            </w:r>
          </w:p>
        </w:tc>
        <w:tc>
          <w:tcPr>
            <w:tcW w:w="5834" w:type="dxa"/>
            <w:gridSpan w:val="6"/>
            <w:tcBorders>
              <w:bottom w:val="single" w:sz="4" w:space="0" w:color="auto"/>
            </w:tcBorders>
          </w:tcPr>
          <w:p w14:paraId="361CA605" w14:textId="3F9CF1CA" w:rsidR="00EE7097" w:rsidRPr="00126327" w:rsidRDefault="008E5907" w:rsidP="007D03B8">
            <w:pPr>
              <w:rPr>
                <w:color w:val="FF0000"/>
                <w:szCs w:val="24"/>
              </w:rPr>
            </w:pPr>
            <w:r w:rsidRPr="008E5907">
              <w:rPr>
                <w:szCs w:val="24"/>
              </w:rPr>
              <w:t>N/A</w:t>
            </w:r>
          </w:p>
        </w:tc>
      </w:tr>
    </w:tbl>
    <w:p w14:paraId="361CA607" w14:textId="77777777" w:rsidR="007D03B8" w:rsidRPr="001C60B5" w:rsidRDefault="007D03B8" w:rsidP="006F654D">
      <w:pPr>
        <w:pStyle w:val="ListBullet"/>
        <w:rPr>
          <w:b/>
          <w:color w:val="FF0000"/>
          <w:szCs w:val="24"/>
        </w:rPr>
        <w:sectPr w:rsidR="007D03B8" w:rsidRPr="001C60B5" w:rsidSect="008902AA">
          <w:footerReference w:type="default" r:id="rId15"/>
          <w:pgSz w:w="11906" w:h="16838"/>
          <w:pgMar w:top="1440" w:right="1440" w:bottom="1440" w:left="1440" w:header="708" w:footer="708" w:gutter="0"/>
          <w:cols w:space="708"/>
          <w:docGrid w:linePitch="360"/>
        </w:sectPr>
      </w:pPr>
    </w:p>
    <w:p w14:paraId="7F101337" w14:textId="5660552E" w:rsidR="00D54EFC" w:rsidRDefault="0087331D" w:rsidP="00BF21DF">
      <w:pPr>
        <w:pStyle w:val="Heading1"/>
        <w:numPr>
          <w:ilvl w:val="0"/>
          <w:numId w:val="1"/>
        </w:numPr>
        <w:tabs>
          <w:tab w:val="left" w:pos="567"/>
        </w:tabs>
        <w:ind w:left="567" w:hanging="708"/>
        <w:jc w:val="both"/>
        <w:rPr>
          <w:szCs w:val="24"/>
        </w:rPr>
      </w:pPr>
      <w:r w:rsidRPr="001C60B5">
        <w:rPr>
          <w:szCs w:val="24"/>
        </w:rPr>
        <w:lastRenderedPageBreak/>
        <w:t>Purpose</w:t>
      </w:r>
      <w:r w:rsidR="00051E74" w:rsidRPr="001C60B5">
        <w:rPr>
          <w:szCs w:val="24"/>
        </w:rPr>
        <w:t xml:space="preserve"> / situation</w:t>
      </w:r>
    </w:p>
    <w:p w14:paraId="0B81D986" w14:textId="77777777" w:rsidR="00BF21DF" w:rsidRDefault="00BF21DF" w:rsidP="008E6140">
      <w:pPr>
        <w:jc w:val="both"/>
      </w:pPr>
    </w:p>
    <w:p w14:paraId="5BC14BC9" w14:textId="0045A970" w:rsidR="000D3DE1" w:rsidRPr="008E6140" w:rsidRDefault="000D3DE1" w:rsidP="008E6140">
      <w:pPr>
        <w:jc w:val="both"/>
        <w:rPr>
          <w:szCs w:val="24"/>
        </w:rPr>
      </w:pPr>
      <w:r w:rsidRPr="008E6140">
        <w:rPr>
          <w:szCs w:val="24"/>
        </w:rPr>
        <w:t>Th</w:t>
      </w:r>
      <w:r w:rsidR="0068529F" w:rsidRPr="008E6140">
        <w:rPr>
          <w:szCs w:val="24"/>
        </w:rPr>
        <w:t>e purpose of this report is to recommend</w:t>
      </w:r>
      <w:r w:rsidRPr="008E6140">
        <w:rPr>
          <w:szCs w:val="24"/>
        </w:rPr>
        <w:t xml:space="preserve"> changes to the </w:t>
      </w:r>
      <w:r w:rsidR="0068529F" w:rsidRPr="008E6140">
        <w:rPr>
          <w:szCs w:val="24"/>
        </w:rPr>
        <w:t xml:space="preserve">Board </w:t>
      </w:r>
      <w:r w:rsidRPr="008E6140">
        <w:rPr>
          <w:szCs w:val="24"/>
        </w:rPr>
        <w:t xml:space="preserve">Committee’s terms of reference as part of the annual review, for the Boards approval. </w:t>
      </w:r>
      <w:r w:rsidR="00720EC2">
        <w:rPr>
          <w:szCs w:val="24"/>
        </w:rPr>
        <w:t xml:space="preserve">The All-Wales review of Model Standing Orders (Board agenda item for 27 May 2021, agenda item 5.4) have also informed some of the recommended changes to the terms of reference review. </w:t>
      </w:r>
    </w:p>
    <w:p w14:paraId="361CA60B" w14:textId="7863B2C2" w:rsidR="0087331D" w:rsidRPr="001C60B5" w:rsidRDefault="00022C5B" w:rsidP="008E6140">
      <w:pPr>
        <w:pStyle w:val="Heading1"/>
        <w:numPr>
          <w:ilvl w:val="0"/>
          <w:numId w:val="1"/>
        </w:numPr>
        <w:tabs>
          <w:tab w:val="left" w:pos="567"/>
        </w:tabs>
        <w:ind w:left="426" w:hanging="568"/>
        <w:jc w:val="both"/>
        <w:rPr>
          <w:szCs w:val="24"/>
        </w:rPr>
      </w:pPr>
      <w:r>
        <w:rPr>
          <w:szCs w:val="24"/>
        </w:rPr>
        <w:tab/>
      </w:r>
      <w:r w:rsidR="0087331D" w:rsidRPr="001C60B5">
        <w:rPr>
          <w:szCs w:val="24"/>
        </w:rPr>
        <w:t>Background</w:t>
      </w:r>
    </w:p>
    <w:p w14:paraId="361CA60C" w14:textId="77777777" w:rsidR="0087331D" w:rsidRPr="001C60B5" w:rsidRDefault="0087331D" w:rsidP="008E6140">
      <w:pPr>
        <w:pStyle w:val="ListParagraph"/>
        <w:jc w:val="both"/>
        <w:rPr>
          <w:szCs w:val="24"/>
        </w:rPr>
      </w:pPr>
    </w:p>
    <w:p w14:paraId="7BA09C6C" w14:textId="5202C534" w:rsidR="000D3DE1" w:rsidRPr="00720EC2" w:rsidRDefault="000D3DE1" w:rsidP="00720EC2">
      <w:pPr>
        <w:spacing w:after="200"/>
        <w:jc w:val="both"/>
        <w:rPr>
          <w:szCs w:val="24"/>
        </w:rPr>
      </w:pPr>
      <w:r w:rsidRPr="008E6140">
        <w:rPr>
          <w:szCs w:val="24"/>
        </w:rPr>
        <w:t xml:space="preserve">The Committees Terms of Reference were last reviewed in </w:t>
      </w:r>
      <w:r w:rsidR="00941424" w:rsidRPr="008E6140">
        <w:rPr>
          <w:szCs w:val="24"/>
        </w:rPr>
        <w:t>November 2019</w:t>
      </w:r>
      <w:r w:rsidRPr="008E6140">
        <w:rPr>
          <w:szCs w:val="24"/>
        </w:rPr>
        <w:t>. The Terms of Reference of Committees should be reviewed annu</w:t>
      </w:r>
      <w:r w:rsidR="00561F54" w:rsidRPr="008E6140">
        <w:rPr>
          <w:szCs w:val="24"/>
        </w:rPr>
        <w:t>ally to ensure compliance with Standing O</w:t>
      </w:r>
      <w:r w:rsidR="00720EC2">
        <w:rPr>
          <w:szCs w:val="24"/>
        </w:rPr>
        <w:t>rders.  A</w:t>
      </w:r>
      <w:r w:rsidRPr="008E6140">
        <w:rPr>
          <w:szCs w:val="24"/>
        </w:rPr>
        <w:t xml:space="preserve"> review of the Terms of Reference has taken place and suggested amendments are presented to the Board for approval.  </w:t>
      </w:r>
    </w:p>
    <w:p w14:paraId="6D7EFCB9" w14:textId="77777777" w:rsidR="0016543F" w:rsidRDefault="0016543F" w:rsidP="008E6140">
      <w:pPr>
        <w:widowControl w:val="0"/>
        <w:autoSpaceDE w:val="0"/>
        <w:autoSpaceDN w:val="0"/>
        <w:adjustRightInd w:val="0"/>
        <w:jc w:val="both"/>
        <w:rPr>
          <w:rFonts w:cs="Arial"/>
        </w:rPr>
      </w:pPr>
    </w:p>
    <w:p w14:paraId="0C206078" w14:textId="3548C711" w:rsidR="00F12F90" w:rsidRPr="00937617" w:rsidRDefault="00F12F90" w:rsidP="008E6140">
      <w:pPr>
        <w:pStyle w:val="ListParagraph"/>
        <w:numPr>
          <w:ilvl w:val="0"/>
          <w:numId w:val="1"/>
        </w:numPr>
        <w:ind w:left="567" w:hanging="567"/>
        <w:jc w:val="both"/>
        <w:rPr>
          <w:b/>
        </w:rPr>
      </w:pPr>
      <w:r w:rsidRPr="00937617">
        <w:rPr>
          <w:b/>
        </w:rPr>
        <w:t xml:space="preserve">Summary of </w:t>
      </w:r>
      <w:r w:rsidR="009D501F" w:rsidRPr="00937617">
        <w:rPr>
          <w:b/>
        </w:rPr>
        <w:t xml:space="preserve">changes to Committee Terms of Reference </w:t>
      </w:r>
    </w:p>
    <w:p w14:paraId="4FF312E6" w14:textId="77777777" w:rsidR="008E334A" w:rsidRDefault="008E334A" w:rsidP="008E6140">
      <w:pPr>
        <w:widowControl w:val="0"/>
        <w:autoSpaceDE w:val="0"/>
        <w:autoSpaceDN w:val="0"/>
        <w:adjustRightInd w:val="0"/>
        <w:ind w:left="567" w:hanging="567"/>
        <w:jc w:val="both"/>
        <w:rPr>
          <w:rFonts w:cs="Arial"/>
        </w:rPr>
      </w:pPr>
    </w:p>
    <w:p w14:paraId="1325F05C" w14:textId="77777777" w:rsidR="00BF21DF" w:rsidRDefault="00561F54" w:rsidP="008E6140">
      <w:pPr>
        <w:widowControl w:val="0"/>
        <w:autoSpaceDE w:val="0"/>
        <w:autoSpaceDN w:val="0"/>
        <w:adjustRightInd w:val="0"/>
        <w:ind w:left="567" w:hanging="567"/>
        <w:jc w:val="both"/>
        <w:rPr>
          <w:rFonts w:cs="Arial"/>
        </w:rPr>
      </w:pPr>
      <w:r>
        <w:rPr>
          <w:rFonts w:cs="Arial"/>
        </w:rPr>
        <w:t>The proposed c</w:t>
      </w:r>
      <w:r w:rsidR="008E334A">
        <w:rPr>
          <w:rFonts w:cs="Arial"/>
        </w:rPr>
        <w:t xml:space="preserve">hanges are detailed in the tables below. </w:t>
      </w:r>
      <w:r w:rsidR="0016543F">
        <w:rPr>
          <w:rFonts w:cs="Arial"/>
        </w:rPr>
        <w:t xml:space="preserve"> </w:t>
      </w:r>
      <w:r>
        <w:rPr>
          <w:rFonts w:cs="Arial"/>
        </w:rPr>
        <w:t>Separ</w:t>
      </w:r>
      <w:r w:rsidR="00BF21DF">
        <w:rPr>
          <w:rFonts w:cs="Arial"/>
        </w:rPr>
        <w:t>ate copies of</w:t>
      </w:r>
    </w:p>
    <w:p w14:paraId="0A6BA89D" w14:textId="77777777" w:rsidR="00BF21DF" w:rsidRDefault="00561F54" w:rsidP="008E6140">
      <w:pPr>
        <w:widowControl w:val="0"/>
        <w:autoSpaceDE w:val="0"/>
        <w:autoSpaceDN w:val="0"/>
        <w:adjustRightInd w:val="0"/>
        <w:ind w:left="567" w:hanging="567"/>
        <w:jc w:val="both"/>
        <w:rPr>
          <w:rFonts w:cs="Arial"/>
        </w:rPr>
      </w:pPr>
      <w:r>
        <w:rPr>
          <w:rFonts w:cs="Arial"/>
        </w:rPr>
        <w:t>the full terms of reference are provided as</w:t>
      </w:r>
      <w:r w:rsidR="00BF21DF">
        <w:rPr>
          <w:rFonts w:cs="Arial"/>
        </w:rPr>
        <w:t xml:space="preserve"> appendices to the paper should</w:t>
      </w:r>
    </w:p>
    <w:p w14:paraId="46703336" w14:textId="6FAB2205" w:rsidR="008E334A" w:rsidRDefault="00561F54" w:rsidP="008E6140">
      <w:pPr>
        <w:widowControl w:val="0"/>
        <w:autoSpaceDE w:val="0"/>
        <w:autoSpaceDN w:val="0"/>
        <w:adjustRightInd w:val="0"/>
        <w:ind w:left="567" w:hanging="567"/>
        <w:jc w:val="both"/>
        <w:rPr>
          <w:rFonts w:cs="Arial"/>
        </w:rPr>
      </w:pPr>
      <w:r>
        <w:rPr>
          <w:rFonts w:cs="Arial"/>
        </w:rPr>
        <w:t xml:space="preserve">Board members wish to review the full documents. </w:t>
      </w:r>
    </w:p>
    <w:p w14:paraId="0C88F19A" w14:textId="77777777" w:rsidR="007B4060" w:rsidRDefault="007B4060" w:rsidP="008E6140">
      <w:pPr>
        <w:widowControl w:val="0"/>
        <w:autoSpaceDE w:val="0"/>
        <w:autoSpaceDN w:val="0"/>
        <w:adjustRightInd w:val="0"/>
        <w:ind w:left="567" w:hanging="567"/>
        <w:jc w:val="both"/>
        <w:rPr>
          <w:rFonts w:cs="Arial"/>
        </w:rPr>
      </w:pPr>
    </w:p>
    <w:p w14:paraId="205BF3FF" w14:textId="0501E33E" w:rsidR="0016543F" w:rsidRPr="0016543F" w:rsidRDefault="0016543F" w:rsidP="008E6140">
      <w:pPr>
        <w:pStyle w:val="ListParagraph"/>
        <w:widowControl w:val="0"/>
        <w:numPr>
          <w:ilvl w:val="0"/>
          <w:numId w:val="14"/>
        </w:numPr>
        <w:autoSpaceDE w:val="0"/>
        <w:autoSpaceDN w:val="0"/>
        <w:adjustRightInd w:val="0"/>
        <w:ind w:left="993"/>
        <w:jc w:val="both"/>
        <w:rPr>
          <w:rFonts w:cs="Arial"/>
        </w:rPr>
      </w:pPr>
      <w:r w:rsidRPr="0016543F">
        <w:rPr>
          <w:rFonts w:cs="Arial"/>
          <w:b/>
        </w:rPr>
        <w:t>Appendix 1</w:t>
      </w:r>
      <w:r w:rsidRPr="0016543F">
        <w:rPr>
          <w:rFonts w:cs="Arial"/>
        </w:rPr>
        <w:t xml:space="preserve"> –</w:t>
      </w:r>
      <w:r w:rsidR="0018657C">
        <w:rPr>
          <w:rFonts w:cs="Arial"/>
        </w:rPr>
        <w:t xml:space="preserve"> </w:t>
      </w:r>
      <w:r w:rsidR="007B4060">
        <w:rPr>
          <w:rFonts w:cs="Arial"/>
        </w:rPr>
        <w:t>R</w:t>
      </w:r>
      <w:r w:rsidRPr="0016543F">
        <w:rPr>
          <w:rFonts w:cs="Arial"/>
        </w:rPr>
        <w:t>evised Audit and Corporate Governance Terms of Reference;</w:t>
      </w:r>
    </w:p>
    <w:p w14:paraId="72ACCBC4" w14:textId="2CB3C709" w:rsidR="0016543F" w:rsidRDefault="0016543F" w:rsidP="008E6140">
      <w:pPr>
        <w:pStyle w:val="ListParagraph"/>
        <w:widowControl w:val="0"/>
        <w:numPr>
          <w:ilvl w:val="0"/>
          <w:numId w:val="14"/>
        </w:numPr>
        <w:autoSpaceDE w:val="0"/>
        <w:autoSpaceDN w:val="0"/>
        <w:adjustRightInd w:val="0"/>
        <w:ind w:left="993"/>
        <w:jc w:val="both"/>
        <w:rPr>
          <w:rFonts w:cs="Arial"/>
        </w:rPr>
      </w:pPr>
      <w:r w:rsidRPr="0016543F">
        <w:rPr>
          <w:rFonts w:cs="Arial"/>
          <w:b/>
        </w:rPr>
        <w:t>Appendix 2</w:t>
      </w:r>
      <w:r w:rsidRPr="0016543F">
        <w:rPr>
          <w:rFonts w:cs="Arial"/>
        </w:rPr>
        <w:t xml:space="preserve"> –</w:t>
      </w:r>
      <w:r w:rsidR="0018657C">
        <w:rPr>
          <w:rFonts w:cs="Arial"/>
        </w:rPr>
        <w:t xml:space="preserve"> </w:t>
      </w:r>
      <w:r w:rsidR="007B4060">
        <w:rPr>
          <w:rFonts w:cs="Arial"/>
        </w:rPr>
        <w:t>R</w:t>
      </w:r>
      <w:r w:rsidRPr="0016543F">
        <w:rPr>
          <w:rFonts w:cs="Arial"/>
        </w:rPr>
        <w:t xml:space="preserve">evised Quality, </w:t>
      </w:r>
      <w:r w:rsidR="0018657C" w:rsidRPr="0016543F">
        <w:rPr>
          <w:rFonts w:cs="Arial"/>
        </w:rPr>
        <w:t>Safety,</w:t>
      </w:r>
      <w:r w:rsidRPr="0016543F">
        <w:rPr>
          <w:rFonts w:cs="Arial"/>
        </w:rPr>
        <w:t xml:space="preserve"> and Improvement Committee Terms of Reference. </w:t>
      </w:r>
    </w:p>
    <w:p w14:paraId="22066ED8" w14:textId="4BB80F85" w:rsidR="0018657C" w:rsidRPr="0016543F" w:rsidRDefault="0018657C" w:rsidP="008E6140">
      <w:pPr>
        <w:pStyle w:val="ListParagraph"/>
        <w:widowControl w:val="0"/>
        <w:numPr>
          <w:ilvl w:val="0"/>
          <w:numId w:val="14"/>
        </w:numPr>
        <w:autoSpaceDE w:val="0"/>
        <w:autoSpaceDN w:val="0"/>
        <w:adjustRightInd w:val="0"/>
        <w:spacing w:before="240"/>
        <w:ind w:left="993"/>
        <w:jc w:val="both"/>
        <w:rPr>
          <w:rFonts w:cs="Arial"/>
        </w:rPr>
      </w:pPr>
      <w:r>
        <w:rPr>
          <w:rFonts w:cs="Arial"/>
          <w:b/>
        </w:rPr>
        <w:t xml:space="preserve">Appendix 3 </w:t>
      </w:r>
      <w:r>
        <w:rPr>
          <w:rFonts w:cs="Arial"/>
        </w:rPr>
        <w:t>– Revised Remuneration and Terms of Service Committee Terms of Reference.</w:t>
      </w:r>
    </w:p>
    <w:p w14:paraId="6FF44843" w14:textId="333163D9" w:rsidR="00F12F90" w:rsidRDefault="00F12F90" w:rsidP="008E6140">
      <w:pPr>
        <w:jc w:val="both"/>
        <w:rPr>
          <w:szCs w:val="24"/>
        </w:rPr>
      </w:pPr>
    </w:p>
    <w:p w14:paraId="12AD4C8A" w14:textId="4FB187FC" w:rsidR="007B4060" w:rsidRPr="007B4060" w:rsidRDefault="00BF21DF" w:rsidP="008E6140">
      <w:pPr>
        <w:jc w:val="both"/>
        <w:rPr>
          <w:b/>
        </w:rPr>
      </w:pPr>
      <w:r>
        <w:rPr>
          <w:szCs w:val="24"/>
        </w:rPr>
        <w:t>3.1</w:t>
      </w:r>
      <w:r w:rsidR="007B4060">
        <w:rPr>
          <w:b/>
          <w:szCs w:val="24"/>
        </w:rPr>
        <w:tab/>
      </w:r>
      <w:r w:rsidR="007B4060" w:rsidRPr="007B4060">
        <w:rPr>
          <w:b/>
          <w:szCs w:val="24"/>
        </w:rPr>
        <w:t>Standard Terms of Reference and Operating Arrangements</w:t>
      </w:r>
    </w:p>
    <w:p w14:paraId="50AFEC1C" w14:textId="77777777" w:rsidR="008E6140" w:rsidRDefault="008E6140" w:rsidP="008E6140">
      <w:pPr>
        <w:ind w:left="720"/>
        <w:jc w:val="both"/>
      </w:pPr>
    </w:p>
    <w:p w14:paraId="2117C984" w14:textId="306FEBA5" w:rsidR="0016543F" w:rsidRPr="007B4060" w:rsidRDefault="0016543F" w:rsidP="008E6140">
      <w:pPr>
        <w:ind w:left="720"/>
        <w:jc w:val="both"/>
      </w:pPr>
      <w:r w:rsidRPr="007B4060">
        <w:t xml:space="preserve">No changes are recommended to the </w:t>
      </w:r>
      <w:r w:rsidRPr="007B4060">
        <w:rPr>
          <w:szCs w:val="24"/>
        </w:rPr>
        <w:t>Standard Terms of Reference and Operating Arrangements</w:t>
      </w:r>
      <w:r w:rsidR="007B4060" w:rsidRPr="007B4060">
        <w:t xml:space="preserve"> for Committees.</w:t>
      </w:r>
    </w:p>
    <w:p w14:paraId="289AA1C6" w14:textId="77777777" w:rsidR="0016543F" w:rsidRPr="0016543F" w:rsidRDefault="0016543F" w:rsidP="008E6140">
      <w:pPr>
        <w:ind w:left="567"/>
        <w:jc w:val="both"/>
        <w:rPr>
          <w:b/>
        </w:rPr>
      </w:pPr>
    </w:p>
    <w:p w14:paraId="4F3CF415" w14:textId="1AB148E8" w:rsidR="0016543F" w:rsidRPr="0016543F" w:rsidRDefault="00BF21DF" w:rsidP="008E6140">
      <w:pPr>
        <w:jc w:val="both"/>
        <w:rPr>
          <w:rFonts w:cs="Arial"/>
          <w:b/>
        </w:rPr>
      </w:pPr>
      <w:r>
        <w:rPr>
          <w:rFonts w:cs="Arial"/>
        </w:rPr>
        <w:t>3.2</w:t>
      </w:r>
      <w:r w:rsidR="007B4060">
        <w:rPr>
          <w:rFonts w:cs="Arial"/>
          <w:b/>
        </w:rPr>
        <w:tab/>
      </w:r>
      <w:r w:rsidR="0016543F" w:rsidRPr="0016543F">
        <w:rPr>
          <w:rFonts w:cs="Arial"/>
          <w:b/>
        </w:rPr>
        <w:t xml:space="preserve">People and Organisational Development Committee </w:t>
      </w:r>
    </w:p>
    <w:p w14:paraId="706CAA95" w14:textId="77777777" w:rsidR="0016543F" w:rsidRDefault="0016543F" w:rsidP="0016543F">
      <w:pPr>
        <w:ind w:left="567"/>
        <w:jc w:val="both"/>
        <w:rPr>
          <w:rFonts w:cs="Arial"/>
        </w:rPr>
      </w:pPr>
    </w:p>
    <w:p w14:paraId="13D917FC" w14:textId="77777777" w:rsidR="0016543F" w:rsidRDefault="0016543F" w:rsidP="007B4060">
      <w:pPr>
        <w:ind w:left="720"/>
        <w:jc w:val="both"/>
        <w:rPr>
          <w:rFonts w:cs="Arial"/>
        </w:rPr>
      </w:pPr>
      <w:r>
        <w:rPr>
          <w:rFonts w:cs="Arial"/>
        </w:rPr>
        <w:t xml:space="preserve">The </w:t>
      </w:r>
      <w:r w:rsidRPr="0016543F">
        <w:rPr>
          <w:rFonts w:cs="Arial"/>
        </w:rPr>
        <w:t xml:space="preserve">People and Organisational Development Committee </w:t>
      </w:r>
      <w:r>
        <w:rPr>
          <w:rFonts w:cs="Arial"/>
        </w:rPr>
        <w:t>has been suspended during 2020/21. The Committee has resumed meetings as of April 2021, and a review of the terms of reference is scheduled at the next meeting of the Committees on 8 July 2021.</w:t>
      </w:r>
    </w:p>
    <w:p w14:paraId="0A79C9C9" w14:textId="77777777" w:rsidR="0016543F" w:rsidRPr="0016543F" w:rsidRDefault="0016543F" w:rsidP="007B4060">
      <w:pPr>
        <w:ind w:left="720"/>
        <w:jc w:val="both"/>
        <w:rPr>
          <w:rFonts w:cs="Arial"/>
          <w:b/>
        </w:rPr>
      </w:pPr>
    </w:p>
    <w:p w14:paraId="7D3ED013" w14:textId="77777777" w:rsidR="0016543F" w:rsidRDefault="0016543F" w:rsidP="007B4060">
      <w:pPr>
        <w:widowControl w:val="0"/>
        <w:autoSpaceDE w:val="0"/>
        <w:autoSpaceDN w:val="0"/>
        <w:adjustRightInd w:val="0"/>
        <w:ind w:left="720"/>
        <w:jc w:val="both"/>
        <w:rPr>
          <w:rFonts w:cs="Arial"/>
        </w:rPr>
      </w:pPr>
      <w:r>
        <w:rPr>
          <w:rFonts w:cs="Arial"/>
        </w:rPr>
        <w:t xml:space="preserve">One of the proposed changes to the Quality, Safety, and Improvement Committee is for the Committee to retain the Health and Safety elements, which were temporarily remitted to it whilst the </w:t>
      </w:r>
      <w:r>
        <w:rPr>
          <w:rFonts w:cs="Arial"/>
        </w:rPr>
        <w:lastRenderedPageBreak/>
        <w:t xml:space="preserve">People and Organisational Development Committee was suspended. </w:t>
      </w:r>
    </w:p>
    <w:p w14:paraId="6DC1619C" w14:textId="77777777" w:rsidR="0016543F" w:rsidRDefault="0016543F" w:rsidP="007B4060">
      <w:pPr>
        <w:widowControl w:val="0"/>
        <w:autoSpaceDE w:val="0"/>
        <w:autoSpaceDN w:val="0"/>
        <w:adjustRightInd w:val="0"/>
        <w:ind w:left="720"/>
        <w:jc w:val="both"/>
        <w:rPr>
          <w:rFonts w:cs="Arial"/>
        </w:rPr>
      </w:pPr>
      <w:r w:rsidRPr="0016543F">
        <w:rPr>
          <w:rFonts w:cs="Arial"/>
        </w:rPr>
        <w:t xml:space="preserve"> </w:t>
      </w:r>
    </w:p>
    <w:p w14:paraId="2ECA8F7D" w14:textId="77777777" w:rsidR="0016543F" w:rsidRDefault="0016543F" w:rsidP="007B4060">
      <w:pPr>
        <w:widowControl w:val="0"/>
        <w:autoSpaceDE w:val="0"/>
        <w:autoSpaceDN w:val="0"/>
        <w:adjustRightInd w:val="0"/>
        <w:ind w:left="720"/>
        <w:jc w:val="both"/>
        <w:rPr>
          <w:rFonts w:cs="Arial"/>
        </w:rPr>
      </w:pPr>
      <w:r>
        <w:rPr>
          <w:rFonts w:cs="Arial"/>
        </w:rPr>
        <w:t>I</w:t>
      </w:r>
      <w:r w:rsidRPr="0016543F">
        <w:rPr>
          <w:rFonts w:cs="Arial"/>
        </w:rPr>
        <w:t xml:space="preserve">f </w:t>
      </w:r>
      <w:r>
        <w:rPr>
          <w:rFonts w:cs="Arial"/>
        </w:rPr>
        <w:t xml:space="preserve">this proposed change </w:t>
      </w:r>
      <w:r w:rsidRPr="0016543F">
        <w:rPr>
          <w:rFonts w:cs="Arial"/>
        </w:rPr>
        <w:t>is</w:t>
      </w:r>
      <w:r>
        <w:rPr>
          <w:rFonts w:cs="Arial"/>
        </w:rPr>
        <w:t xml:space="preserve"> approved by the Board, the relevant changes to the People and Organisational Development Committee Terms of Reference will also be made for accuracy. </w:t>
      </w:r>
    </w:p>
    <w:p w14:paraId="2BEF84F4" w14:textId="77777777" w:rsidR="0016543F" w:rsidRDefault="0016543F" w:rsidP="0016543F">
      <w:pPr>
        <w:widowControl w:val="0"/>
        <w:autoSpaceDE w:val="0"/>
        <w:autoSpaceDN w:val="0"/>
        <w:adjustRightInd w:val="0"/>
        <w:rPr>
          <w:rFonts w:cs="Arial"/>
        </w:rPr>
      </w:pPr>
    </w:p>
    <w:p w14:paraId="1ECC569D" w14:textId="77777777" w:rsidR="0016543F" w:rsidRDefault="0016543F" w:rsidP="0016543F">
      <w:pPr>
        <w:ind w:left="567"/>
        <w:rPr>
          <w:rFonts w:cs="Arial"/>
        </w:rPr>
      </w:pPr>
    </w:p>
    <w:p w14:paraId="202393F0" w14:textId="26B3D666" w:rsidR="0016543F" w:rsidRPr="0016543F" w:rsidRDefault="00BF21DF" w:rsidP="007B4060">
      <w:pPr>
        <w:rPr>
          <w:rFonts w:cs="Arial"/>
          <w:b/>
        </w:rPr>
      </w:pPr>
      <w:r>
        <w:rPr>
          <w:rFonts w:cs="Arial"/>
        </w:rPr>
        <w:t>3.3</w:t>
      </w:r>
      <w:r w:rsidR="007B4060">
        <w:rPr>
          <w:rFonts w:cs="Arial"/>
          <w:b/>
        </w:rPr>
        <w:tab/>
      </w:r>
      <w:r w:rsidR="0016543F" w:rsidRPr="0016543F">
        <w:rPr>
          <w:rFonts w:cs="Arial"/>
          <w:b/>
        </w:rPr>
        <w:t>Knowledge, Research and Information Committee</w:t>
      </w:r>
    </w:p>
    <w:p w14:paraId="630F46B6" w14:textId="77777777" w:rsidR="0016543F" w:rsidRDefault="0016543F" w:rsidP="0016543F">
      <w:pPr>
        <w:ind w:left="567"/>
        <w:rPr>
          <w:rFonts w:cs="Arial"/>
        </w:rPr>
      </w:pPr>
    </w:p>
    <w:p w14:paraId="616ADA66" w14:textId="4CE53DEF" w:rsidR="00411269" w:rsidRDefault="0016543F" w:rsidP="00411269">
      <w:pPr>
        <w:ind w:left="720"/>
        <w:jc w:val="both"/>
        <w:rPr>
          <w:rFonts w:cs="Arial"/>
        </w:rPr>
      </w:pPr>
      <w:r>
        <w:rPr>
          <w:rFonts w:cs="Arial"/>
        </w:rPr>
        <w:t xml:space="preserve">The </w:t>
      </w:r>
      <w:r w:rsidRPr="0016543F">
        <w:rPr>
          <w:rFonts w:cs="Arial"/>
        </w:rPr>
        <w:t>Knowledge, Research and Information Committee</w:t>
      </w:r>
      <w:r>
        <w:rPr>
          <w:rFonts w:cs="Arial"/>
        </w:rPr>
        <w:t xml:space="preserve"> has been suspended during 2020/21. The Committee has resumed meetings as of September 2021, and a review of the terms of reference will scheduled following its first meeting on 23 September 2021.</w:t>
      </w:r>
    </w:p>
    <w:p w14:paraId="052847B0" w14:textId="594F3E46" w:rsidR="00411269" w:rsidRDefault="00411269" w:rsidP="00411269">
      <w:pPr>
        <w:jc w:val="both"/>
        <w:rPr>
          <w:rFonts w:cs="Arial"/>
        </w:rPr>
      </w:pPr>
    </w:p>
    <w:p w14:paraId="5014EF7A" w14:textId="4E10EA02" w:rsidR="00411269" w:rsidRDefault="00411269" w:rsidP="00411269">
      <w:pPr>
        <w:jc w:val="both"/>
        <w:rPr>
          <w:rFonts w:cs="Arial"/>
        </w:rPr>
      </w:pPr>
      <w:r>
        <w:rPr>
          <w:rFonts w:cs="Arial"/>
        </w:rPr>
        <w:t>3.4</w:t>
      </w:r>
      <w:r>
        <w:rPr>
          <w:rFonts w:cs="Arial"/>
        </w:rPr>
        <w:tab/>
      </w:r>
      <w:r w:rsidRPr="00411269">
        <w:rPr>
          <w:rFonts w:cs="Arial"/>
          <w:b/>
        </w:rPr>
        <w:t>Local Partnership Forum</w:t>
      </w:r>
    </w:p>
    <w:p w14:paraId="69CEF293" w14:textId="101CBC56" w:rsidR="00411269" w:rsidRDefault="00411269" w:rsidP="00411269">
      <w:pPr>
        <w:jc w:val="both"/>
        <w:rPr>
          <w:rFonts w:cs="Arial"/>
        </w:rPr>
      </w:pPr>
    </w:p>
    <w:p w14:paraId="3971E0C5" w14:textId="734025E2" w:rsidR="00411269" w:rsidRDefault="00411269" w:rsidP="00411269">
      <w:pPr>
        <w:ind w:left="709"/>
        <w:jc w:val="both"/>
        <w:rPr>
          <w:rFonts w:cs="Arial"/>
        </w:rPr>
      </w:pPr>
      <w:r>
        <w:rPr>
          <w:rFonts w:cs="Arial"/>
        </w:rPr>
        <w:t xml:space="preserve">A review of the Local Partnership Forum will be undertaken during 2021/22 and reported to the Board for approval of any changes proposed. </w:t>
      </w:r>
    </w:p>
    <w:p w14:paraId="7D639B4F" w14:textId="6F3F59FC" w:rsidR="00411269" w:rsidRDefault="00411269" w:rsidP="007B4060">
      <w:pPr>
        <w:ind w:left="720"/>
        <w:jc w:val="both"/>
        <w:rPr>
          <w:rFonts w:cs="Arial"/>
        </w:rPr>
      </w:pPr>
    </w:p>
    <w:p w14:paraId="6C6C0C89" w14:textId="77777777" w:rsidR="00411269" w:rsidRDefault="00411269" w:rsidP="007B4060">
      <w:pPr>
        <w:ind w:left="720"/>
        <w:jc w:val="both"/>
        <w:rPr>
          <w:rFonts w:cs="Arial"/>
        </w:rPr>
      </w:pPr>
    </w:p>
    <w:p w14:paraId="7BEF0592" w14:textId="7CCA4319" w:rsidR="008E6140" w:rsidRDefault="008E6140">
      <w:pPr>
        <w:spacing w:after="200" w:line="276" w:lineRule="auto"/>
        <w:rPr>
          <w:rFonts w:cs="Arial"/>
        </w:rPr>
      </w:pPr>
      <w:r>
        <w:rPr>
          <w:rFonts w:cs="Arial"/>
        </w:rPr>
        <w:br w:type="page"/>
      </w:r>
    </w:p>
    <w:p w14:paraId="767D0ECA" w14:textId="77777777" w:rsidR="007B4060" w:rsidRDefault="007B4060" w:rsidP="007B4060">
      <w:pPr>
        <w:jc w:val="both"/>
        <w:rPr>
          <w:rFonts w:cs="Arial"/>
        </w:rPr>
      </w:pPr>
    </w:p>
    <w:p w14:paraId="4A581FB1" w14:textId="59447C90" w:rsidR="00720EC2" w:rsidRPr="007B4060" w:rsidRDefault="00BF21DF" w:rsidP="00720EC2">
      <w:pPr>
        <w:jc w:val="both"/>
        <w:rPr>
          <w:rFonts w:cs="Arial"/>
          <w:b/>
        </w:rPr>
      </w:pPr>
      <w:r>
        <w:rPr>
          <w:rFonts w:cs="Arial"/>
          <w:b/>
        </w:rPr>
        <w:t>3.</w:t>
      </w:r>
      <w:r w:rsidR="00411269">
        <w:rPr>
          <w:rFonts w:cs="Arial"/>
          <w:b/>
        </w:rPr>
        <w:t>5</w:t>
      </w:r>
      <w:r w:rsidR="007B4060" w:rsidRPr="00720EC2">
        <w:rPr>
          <w:b/>
        </w:rPr>
        <w:t xml:space="preserve"> </w:t>
      </w:r>
      <w:r w:rsidR="007B4060" w:rsidRPr="00720EC2">
        <w:rPr>
          <w:b/>
        </w:rPr>
        <w:tab/>
      </w:r>
      <w:r w:rsidR="00720EC2" w:rsidRPr="007B4060">
        <w:rPr>
          <w:rFonts w:cs="Arial"/>
          <w:b/>
        </w:rPr>
        <w:t>Audit and Corporate Governance Committee</w:t>
      </w:r>
    </w:p>
    <w:p w14:paraId="31C4A4F0" w14:textId="4BE41BD6" w:rsidR="00720EC2" w:rsidRDefault="00720EC2" w:rsidP="00720EC2">
      <w:pPr>
        <w:ind w:left="567"/>
        <w:jc w:val="both"/>
        <w:rPr>
          <w:rFonts w:cs="Arial"/>
        </w:rPr>
      </w:pPr>
      <w:r>
        <w:rPr>
          <w:rFonts w:cs="Arial"/>
        </w:rPr>
        <w:t xml:space="preserve"> </w:t>
      </w:r>
    </w:p>
    <w:p w14:paraId="50216C33" w14:textId="7C69DB7B" w:rsidR="00F254D7" w:rsidRPr="002272E4" w:rsidRDefault="00F254D7" w:rsidP="00F254D7">
      <w:pPr>
        <w:ind w:left="720"/>
        <w:jc w:val="both"/>
      </w:pPr>
      <w:r w:rsidRPr="002272E4">
        <w:t xml:space="preserve">As part of the Audit and Governance Committee’s discussion on the terms of reference review, the Committee discussed the removal of the exemption from </w:t>
      </w:r>
      <w:r w:rsidR="002272E4" w:rsidRPr="002272E4">
        <w:t>Standing O</w:t>
      </w:r>
      <w:r w:rsidRPr="002272E4">
        <w:t xml:space="preserve">rders to meet in public. </w:t>
      </w:r>
    </w:p>
    <w:p w14:paraId="2D40B918" w14:textId="77777777" w:rsidR="00F254D7" w:rsidRPr="002272E4" w:rsidRDefault="00F254D7" w:rsidP="00F254D7">
      <w:pPr>
        <w:ind w:left="720"/>
        <w:jc w:val="both"/>
        <w:rPr>
          <w:b/>
        </w:rPr>
      </w:pPr>
    </w:p>
    <w:p w14:paraId="27099C05" w14:textId="4CE613DC" w:rsidR="00F254D7" w:rsidRPr="00F254D7" w:rsidRDefault="00F254D7" w:rsidP="00F254D7">
      <w:pPr>
        <w:ind w:left="720"/>
        <w:jc w:val="both"/>
      </w:pPr>
      <w:r w:rsidRPr="002272E4">
        <w:t>This would mean that Audit and Corporate Governance Committee would operate in line with the other committees, and hold meetings in public with private sessions where necessary. This is currently being explored</w:t>
      </w:r>
      <w:r w:rsidR="007A43DB" w:rsidRPr="002272E4">
        <w:t>,</w:t>
      </w:r>
      <w:r w:rsidRPr="002272E4">
        <w:t xml:space="preserve"> with the view to move to meeting in public from the 15 September 2021, subject to the appropriate a</w:t>
      </w:r>
      <w:bookmarkStart w:id="5" w:name="_GoBack"/>
      <w:bookmarkEnd w:id="5"/>
      <w:r w:rsidRPr="002272E4">
        <w:t>pproval from the Boar</w:t>
      </w:r>
      <w:r w:rsidR="002272E4" w:rsidRPr="002272E4">
        <w:t>d</w:t>
      </w:r>
      <w:r w:rsidRPr="002272E4">
        <w:t xml:space="preserve"> prior to this.</w:t>
      </w:r>
    </w:p>
    <w:p w14:paraId="19EA4A84" w14:textId="77777777" w:rsidR="00F254D7" w:rsidRDefault="00F254D7" w:rsidP="00720EC2">
      <w:pPr>
        <w:ind w:left="567"/>
        <w:jc w:val="both"/>
        <w:rPr>
          <w:rFonts w:cs="Arial"/>
        </w:rPr>
      </w:pPr>
    </w:p>
    <w:p w14:paraId="5FF86AA5" w14:textId="77777777" w:rsidR="00720EC2" w:rsidRDefault="00720EC2" w:rsidP="00F254D7">
      <w:pPr>
        <w:ind w:left="720"/>
        <w:jc w:val="both"/>
        <w:rPr>
          <w:rFonts w:cs="Arial"/>
        </w:rPr>
      </w:pPr>
      <w:r>
        <w:rPr>
          <w:rFonts w:cs="Arial"/>
        </w:rPr>
        <w:t>The following changes are proposed for this Committee’s terms of Reference:</w:t>
      </w:r>
    </w:p>
    <w:tbl>
      <w:tblPr>
        <w:tblStyle w:val="TableGrid"/>
        <w:tblW w:w="0" w:type="auto"/>
        <w:tblInd w:w="562" w:type="dxa"/>
        <w:tblLook w:val="04A0" w:firstRow="1" w:lastRow="0" w:firstColumn="1" w:lastColumn="0" w:noHBand="0" w:noVBand="1"/>
      </w:tblPr>
      <w:tblGrid>
        <w:gridCol w:w="2410"/>
        <w:gridCol w:w="5954"/>
      </w:tblGrid>
      <w:tr w:rsidR="00720EC2" w:rsidRPr="00C0078B" w14:paraId="2843B317" w14:textId="77777777" w:rsidTr="00D13E69">
        <w:trPr>
          <w:tblHeader/>
        </w:trPr>
        <w:tc>
          <w:tcPr>
            <w:tcW w:w="2410" w:type="dxa"/>
            <w:shd w:val="clear" w:color="auto" w:fill="DBE5F1" w:themeFill="accent1" w:themeFillTint="33"/>
          </w:tcPr>
          <w:p w14:paraId="0DF38501" w14:textId="77777777" w:rsidR="00F254D7" w:rsidRDefault="00F254D7" w:rsidP="00D13E69">
            <w:pPr>
              <w:widowControl w:val="0"/>
              <w:autoSpaceDE w:val="0"/>
              <w:autoSpaceDN w:val="0"/>
              <w:adjustRightInd w:val="0"/>
              <w:rPr>
                <w:rFonts w:cs="Arial"/>
                <w:b/>
              </w:rPr>
            </w:pPr>
          </w:p>
          <w:p w14:paraId="644C102B" w14:textId="31D3305F" w:rsidR="00720EC2" w:rsidRPr="00C0078B" w:rsidRDefault="00720EC2" w:rsidP="00D13E69">
            <w:pPr>
              <w:widowControl w:val="0"/>
              <w:autoSpaceDE w:val="0"/>
              <w:autoSpaceDN w:val="0"/>
              <w:adjustRightInd w:val="0"/>
              <w:rPr>
                <w:rFonts w:cs="Arial"/>
                <w:b/>
              </w:rPr>
            </w:pPr>
            <w:r w:rsidRPr="00C0078B">
              <w:rPr>
                <w:rFonts w:cs="Arial"/>
                <w:b/>
              </w:rPr>
              <w:t>Section</w:t>
            </w:r>
          </w:p>
        </w:tc>
        <w:tc>
          <w:tcPr>
            <w:tcW w:w="5954" w:type="dxa"/>
            <w:shd w:val="clear" w:color="auto" w:fill="DBE5F1" w:themeFill="accent1" w:themeFillTint="33"/>
          </w:tcPr>
          <w:p w14:paraId="55152BF2" w14:textId="77777777" w:rsidR="00720EC2" w:rsidRPr="00C0078B" w:rsidRDefault="00720EC2" w:rsidP="00D13E69">
            <w:pPr>
              <w:widowControl w:val="0"/>
              <w:autoSpaceDE w:val="0"/>
              <w:autoSpaceDN w:val="0"/>
              <w:adjustRightInd w:val="0"/>
              <w:rPr>
                <w:rFonts w:cs="Arial"/>
                <w:b/>
              </w:rPr>
            </w:pPr>
            <w:r w:rsidRPr="00C0078B">
              <w:rPr>
                <w:rFonts w:cs="Arial"/>
                <w:b/>
              </w:rPr>
              <w:t>Proposed Amendment</w:t>
            </w:r>
          </w:p>
        </w:tc>
      </w:tr>
      <w:tr w:rsidR="00720EC2" w:rsidRPr="00C0078B" w14:paraId="7C2D1069" w14:textId="77777777" w:rsidTr="00D13E69">
        <w:trPr>
          <w:tblHeader/>
        </w:trPr>
        <w:tc>
          <w:tcPr>
            <w:tcW w:w="2410" w:type="dxa"/>
            <w:shd w:val="clear" w:color="auto" w:fill="auto"/>
          </w:tcPr>
          <w:p w14:paraId="483A3A78" w14:textId="77777777" w:rsidR="00720EC2" w:rsidRDefault="00720EC2" w:rsidP="00D13E69">
            <w:pPr>
              <w:widowControl w:val="0"/>
              <w:autoSpaceDE w:val="0"/>
              <w:autoSpaceDN w:val="0"/>
              <w:adjustRightInd w:val="0"/>
            </w:pPr>
            <w:r>
              <w:t xml:space="preserve">Section 3- </w:t>
            </w:r>
            <w:r w:rsidRPr="0018657C">
              <w:t>Delegated Powers</w:t>
            </w:r>
          </w:p>
        </w:tc>
        <w:tc>
          <w:tcPr>
            <w:tcW w:w="5954" w:type="dxa"/>
            <w:shd w:val="clear" w:color="auto" w:fill="auto"/>
          </w:tcPr>
          <w:p w14:paraId="7CE1E183" w14:textId="77777777" w:rsidR="00720EC2" w:rsidRDefault="00720EC2" w:rsidP="00D13E69">
            <w:pPr>
              <w:jc w:val="both"/>
            </w:pPr>
            <w:r>
              <w:t>‘</w:t>
            </w:r>
            <w:r w:rsidRPr="0018657C">
              <w:rPr>
                <w:i/>
              </w:rPr>
              <w:t>Approval of the arrangements relating to the discharge of the Trust’s responsibility as a Bailee for patients’ property’</w:t>
            </w:r>
            <w:r>
              <w:t xml:space="preserve"> </w:t>
            </w:r>
          </w:p>
          <w:p w14:paraId="00954938" w14:textId="77777777" w:rsidR="00720EC2" w:rsidRDefault="00720EC2" w:rsidP="00D13E69">
            <w:pPr>
              <w:jc w:val="both"/>
            </w:pPr>
          </w:p>
          <w:p w14:paraId="7A2688BC" w14:textId="77777777" w:rsidR="00720EC2" w:rsidRPr="00F565F2" w:rsidRDefault="00720EC2" w:rsidP="00D13E69">
            <w:pPr>
              <w:jc w:val="both"/>
            </w:pPr>
            <w:r>
              <w:t>‘</w:t>
            </w:r>
            <w:r w:rsidRPr="0018657C">
              <w:rPr>
                <w:i/>
              </w:rPr>
              <w:t>Formal consideration of report of Board Secretary on any non-compliance with Standing Orders, making proposals to the Board on any action to be taken</w:t>
            </w:r>
            <w:r>
              <w:t>.’</w:t>
            </w:r>
          </w:p>
          <w:p w14:paraId="3358989F" w14:textId="77777777" w:rsidR="00720EC2" w:rsidRDefault="00720EC2" w:rsidP="00D13E69">
            <w:pPr>
              <w:jc w:val="both"/>
            </w:pPr>
          </w:p>
          <w:p w14:paraId="68E3E898" w14:textId="77777777" w:rsidR="00720EC2" w:rsidRDefault="00720EC2" w:rsidP="00D13E69">
            <w:pPr>
              <w:jc w:val="both"/>
            </w:pPr>
            <w:r>
              <w:t>These two paragraphs have has been added in line with the amendments made to the model scheme of delegation.</w:t>
            </w:r>
          </w:p>
          <w:p w14:paraId="0A5F1173" w14:textId="77777777" w:rsidR="00720EC2" w:rsidRDefault="00720EC2" w:rsidP="00D13E69">
            <w:pPr>
              <w:widowControl w:val="0"/>
              <w:autoSpaceDE w:val="0"/>
              <w:autoSpaceDN w:val="0"/>
              <w:adjustRightInd w:val="0"/>
            </w:pPr>
          </w:p>
        </w:tc>
      </w:tr>
      <w:tr w:rsidR="00720EC2" w:rsidRPr="00C0078B" w14:paraId="4D9B10D5" w14:textId="77777777" w:rsidTr="00D13E69">
        <w:trPr>
          <w:tblHeader/>
        </w:trPr>
        <w:tc>
          <w:tcPr>
            <w:tcW w:w="2410" w:type="dxa"/>
            <w:shd w:val="clear" w:color="auto" w:fill="auto"/>
          </w:tcPr>
          <w:p w14:paraId="67DB8FB7" w14:textId="77777777" w:rsidR="00720EC2" w:rsidRPr="00C0078B" w:rsidRDefault="00720EC2" w:rsidP="00D13E69">
            <w:pPr>
              <w:widowControl w:val="0"/>
              <w:autoSpaceDE w:val="0"/>
              <w:autoSpaceDN w:val="0"/>
              <w:adjustRightInd w:val="0"/>
              <w:rPr>
                <w:rFonts w:cs="Arial"/>
                <w:b/>
              </w:rPr>
            </w:pPr>
            <w:r>
              <w:t>Section  5 - Attendees</w:t>
            </w:r>
          </w:p>
        </w:tc>
        <w:tc>
          <w:tcPr>
            <w:tcW w:w="5954" w:type="dxa"/>
            <w:shd w:val="clear" w:color="auto" w:fill="auto"/>
          </w:tcPr>
          <w:p w14:paraId="6D255E2F" w14:textId="77777777" w:rsidR="00720EC2" w:rsidRPr="00C0078B" w:rsidRDefault="00720EC2" w:rsidP="00D13E69">
            <w:pPr>
              <w:widowControl w:val="0"/>
              <w:autoSpaceDE w:val="0"/>
              <w:autoSpaceDN w:val="0"/>
              <w:adjustRightInd w:val="0"/>
              <w:rPr>
                <w:rFonts w:cs="Arial"/>
                <w:b/>
              </w:rPr>
            </w:pPr>
            <w:r>
              <w:t>Amendment to correct title for Executive Director of Quality, Nursing and Allied Health Professionals</w:t>
            </w:r>
          </w:p>
        </w:tc>
      </w:tr>
    </w:tbl>
    <w:p w14:paraId="76170115" w14:textId="54D6F430" w:rsidR="00720EC2" w:rsidRPr="00F254D7" w:rsidRDefault="00720EC2" w:rsidP="007B4060">
      <w:pPr>
        <w:jc w:val="both"/>
      </w:pPr>
    </w:p>
    <w:p w14:paraId="2E00D03A" w14:textId="6C678798" w:rsidR="00F254D7" w:rsidRDefault="00F254D7">
      <w:pPr>
        <w:spacing w:after="200" w:line="276" w:lineRule="auto"/>
        <w:rPr>
          <w:b/>
        </w:rPr>
      </w:pPr>
      <w:r>
        <w:rPr>
          <w:b/>
        </w:rPr>
        <w:br w:type="page"/>
      </w:r>
    </w:p>
    <w:p w14:paraId="115B812F" w14:textId="3114736E" w:rsidR="00720EC2" w:rsidRDefault="00BF21DF" w:rsidP="00720EC2">
      <w:pPr>
        <w:jc w:val="both"/>
        <w:rPr>
          <w:rFonts w:cs="Arial"/>
        </w:rPr>
      </w:pPr>
      <w:r>
        <w:rPr>
          <w:b/>
        </w:rPr>
        <w:lastRenderedPageBreak/>
        <w:t>3.</w:t>
      </w:r>
      <w:r w:rsidR="00411269">
        <w:rPr>
          <w:b/>
        </w:rPr>
        <w:t>6</w:t>
      </w:r>
      <w:r w:rsidR="00720EC2">
        <w:rPr>
          <w:b/>
        </w:rPr>
        <w:t xml:space="preserve"> </w:t>
      </w:r>
      <w:r w:rsidR="00720EC2">
        <w:rPr>
          <w:b/>
        </w:rPr>
        <w:tab/>
      </w:r>
      <w:r w:rsidR="00720EC2" w:rsidRPr="00D04D31">
        <w:rPr>
          <w:rFonts w:cs="Arial"/>
          <w:b/>
        </w:rPr>
        <w:t>Quality, Safety and Improvement Committee</w:t>
      </w:r>
      <w:r w:rsidR="00720EC2">
        <w:rPr>
          <w:rFonts w:cs="Arial"/>
        </w:rPr>
        <w:t xml:space="preserve"> </w:t>
      </w:r>
    </w:p>
    <w:p w14:paraId="7E77A31D" w14:textId="77777777" w:rsidR="00720EC2" w:rsidRDefault="00720EC2" w:rsidP="00720EC2">
      <w:pPr>
        <w:ind w:left="720"/>
        <w:jc w:val="both"/>
        <w:rPr>
          <w:rFonts w:cs="Arial"/>
        </w:rPr>
      </w:pPr>
      <w:r>
        <w:rPr>
          <w:rFonts w:cs="Arial"/>
        </w:rPr>
        <w:t>The following changes are proposed for this Committee’s terms of Reference:</w:t>
      </w:r>
    </w:p>
    <w:tbl>
      <w:tblPr>
        <w:tblStyle w:val="TableGrid"/>
        <w:tblW w:w="9214" w:type="dxa"/>
        <w:tblInd w:w="-5" w:type="dxa"/>
        <w:shd w:val="clear" w:color="auto" w:fill="DBE5F1" w:themeFill="accent1" w:themeFillTint="33"/>
        <w:tblLook w:val="04A0" w:firstRow="1" w:lastRow="0" w:firstColumn="1" w:lastColumn="0" w:noHBand="0" w:noVBand="1"/>
      </w:tblPr>
      <w:tblGrid>
        <w:gridCol w:w="1434"/>
        <w:gridCol w:w="7780"/>
      </w:tblGrid>
      <w:tr w:rsidR="00720EC2" w:rsidRPr="007B4060" w14:paraId="5E5EF1B4" w14:textId="77777777" w:rsidTr="00D13E69">
        <w:tc>
          <w:tcPr>
            <w:tcW w:w="1418" w:type="dxa"/>
            <w:shd w:val="clear" w:color="auto" w:fill="DBE5F1" w:themeFill="accent1" w:themeFillTint="33"/>
          </w:tcPr>
          <w:p w14:paraId="4EB994D5" w14:textId="77777777" w:rsidR="00720EC2" w:rsidRPr="007B4060" w:rsidRDefault="00720EC2" w:rsidP="00D13E69">
            <w:pPr>
              <w:widowControl w:val="0"/>
              <w:autoSpaceDE w:val="0"/>
              <w:autoSpaceDN w:val="0"/>
              <w:adjustRightInd w:val="0"/>
              <w:rPr>
                <w:rFonts w:cs="Arial"/>
                <w:b/>
              </w:rPr>
            </w:pPr>
            <w:r w:rsidRPr="007B4060">
              <w:rPr>
                <w:rFonts w:cs="Arial"/>
                <w:b/>
              </w:rPr>
              <w:t>Section</w:t>
            </w:r>
          </w:p>
        </w:tc>
        <w:tc>
          <w:tcPr>
            <w:tcW w:w="7796" w:type="dxa"/>
            <w:shd w:val="clear" w:color="auto" w:fill="DBE5F1" w:themeFill="accent1" w:themeFillTint="33"/>
          </w:tcPr>
          <w:p w14:paraId="408F8E9D" w14:textId="77777777" w:rsidR="00720EC2" w:rsidRPr="007B4060" w:rsidRDefault="00720EC2" w:rsidP="00D13E69">
            <w:pPr>
              <w:widowControl w:val="0"/>
              <w:autoSpaceDE w:val="0"/>
              <w:autoSpaceDN w:val="0"/>
              <w:adjustRightInd w:val="0"/>
              <w:rPr>
                <w:rFonts w:cs="Arial"/>
                <w:b/>
              </w:rPr>
            </w:pPr>
            <w:r w:rsidRPr="007B4060">
              <w:rPr>
                <w:rFonts w:cs="Arial"/>
                <w:b/>
              </w:rPr>
              <w:t>Proposed Amendment</w:t>
            </w:r>
          </w:p>
        </w:tc>
      </w:tr>
      <w:tr w:rsidR="00720EC2" w14:paraId="63D5EF1C" w14:textId="77777777" w:rsidTr="00D13E69">
        <w:trPr>
          <w:tblHeader/>
        </w:trPr>
        <w:tc>
          <w:tcPr>
            <w:tcW w:w="1418" w:type="dxa"/>
            <w:shd w:val="clear" w:color="auto" w:fill="FFFFFF" w:themeFill="background1"/>
          </w:tcPr>
          <w:p w14:paraId="7B6B69F8" w14:textId="77777777" w:rsidR="00720EC2" w:rsidRPr="00C0078B" w:rsidRDefault="00720EC2" w:rsidP="00D13E69">
            <w:pPr>
              <w:widowControl w:val="0"/>
              <w:autoSpaceDE w:val="0"/>
              <w:autoSpaceDN w:val="0"/>
              <w:adjustRightInd w:val="0"/>
              <w:rPr>
                <w:rFonts w:cs="Arial"/>
                <w:b/>
              </w:rPr>
            </w:pPr>
            <w:r>
              <w:t>Purpose</w:t>
            </w:r>
          </w:p>
        </w:tc>
        <w:tc>
          <w:tcPr>
            <w:tcW w:w="7796" w:type="dxa"/>
            <w:shd w:val="clear" w:color="auto" w:fill="FFFFFF" w:themeFill="background1"/>
          </w:tcPr>
          <w:p w14:paraId="62CD384B" w14:textId="77777777" w:rsidR="00720EC2" w:rsidRPr="007B4060" w:rsidRDefault="00720EC2" w:rsidP="00D13E69">
            <w:pPr>
              <w:pStyle w:val="StyleOutlinenumberedArialOutlinenumberedArial11Outli"/>
              <w:rPr>
                <w:rFonts w:ascii="Verdana" w:hAnsi="Verdana"/>
                <w:b w:val="0"/>
              </w:rPr>
            </w:pPr>
            <w:r w:rsidRPr="007B4060">
              <w:rPr>
                <w:rFonts w:ascii="Verdana" w:hAnsi="Verdana"/>
                <w:b w:val="0"/>
              </w:rPr>
              <w:t>Addition of:</w:t>
            </w:r>
          </w:p>
          <w:p w14:paraId="75F56FFB" w14:textId="77777777" w:rsidR="00720EC2" w:rsidRPr="007B4060" w:rsidRDefault="00720EC2" w:rsidP="00D13E69">
            <w:pPr>
              <w:pStyle w:val="StyleOutlinenumberedArialOutlinenumberedArial11Outli"/>
              <w:rPr>
                <w:rFonts w:ascii="Verdana" w:hAnsi="Verdana"/>
                <w:b w:val="0"/>
                <w:i/>
              </w:rPr>
            </w:pPr>
            <w:r w:rsidRPr="00AA752B">
              <w:rPr>
                <w:rFonts w:ascii="Verdana" w:hAnsi="Verdana"/>
                <w:i/>
              </w:rPr>
              <w:t>‘</w:t>
            </w:r>
            <w:r w:rsidRPr="00BF21DF">
              <w:rPr>
                <w:rFonts w:ascii="Verdana" w:hAnsi="Verdana"/>
                <w:b w:val="0"/>
                <w:i/>
              </w:rPr>
              <w:t>assurance</w:t>
            </w:r>
            <w:r w:rsidRPr="00AA752B">
              <w:rPr>
                <w:rFonts w:ascii="Verdana" w:hAnsi="Verdana"/>
                <w:i/>
              </w:rPr>
              <w:t xml:space="preserve"> </w:t>
            </w:r>
            <w:r w:rsidRPr="00AA752B">
              <w:rPr>
                <w:rFonts w:ascii="Verdana" w:hAnsi="Verdana"/>
                <w:b w:val="0"/>
                <w:i/>
              </w:rPr>
              <w:t xml:space="preserve">to the Board in relation to the effectiveness of the arrangements in place to ensure organisational wide compliance with the health, safety and welfare requirements.’ </w:t>
            </w:r>
          </w:p>
        </w:tc>
      </w:tr>
      <w:tr w:rsidR="00720EC2" w14:paraId="6AE2B519" w14:textId="77777777" w:rsidTr="00D13E69">
        <w:trPr>
          <w:tblHeader/>
        </w:trPr>
        <w:tc>
          <w:tcPr>
            <w:tcW w:w="1418" w:type="dxa"/>
            <w:vMerge w:val="restart"/>
            <w:shd w:val="clear" w:color="auto" w:fill="FFFFFF" w:themeFill="background1"/>
          </w:tcPr>
          <w:p w14:paraId="2142F9FD" w14:textId="77777777" w:rsidR="00720EC2" w:rsidRDefault="00720EC2" w:rsidP="00D13E69">
            <w:pPr>
              <w:widowControl w:val="0"/>
              <w:autoSpaceDE w:val="0"/>
              <w:autoSpaceDN w:val="0"/>
              <w:adjustRightInd w:val="0"/>
            </w:pPr>
            <w:r>
              <w:t>Delegated powers</w:t>
            </w:r>
          </w:p>
        </w:tc>
        <w:tc>
          <w:tcPr>
            <w:tcW w:w="7796" w:type="dxa"/>
            <w:shd w:val="clear" w:color="auto" w:fill="FFFFFF" w:themeFill="background1"/>
          </w:tcPr>
          <w:p w14:paraId="217D1935" w14:textId="77777777" w:rsidR="00720EC2" w:rsidRDefault="00720EC2" w:rsidP="00D13E69">
            <w:pPr>
              <w:pStyle w:val="StyleOutlinenumberedArialOutlinenumberedArial11Outli"/>
              <w:rPr>
                <w:rFonts w:ascii="Verdana" w:hAnsi="Verdana"/>
                <w:b w:val="0"/>
              </w:rPr>
            </w:pPr>
            <w:r>
              <w:rPr>
                <w:rFonts w:ascii="Verdana" w:hAnsi="Verdana"/>
                <w:b w:val="0"/>
              </w:rPr>
              <w:t>Update of text:</w:t>
            </w:r>
          </w:p>
          <w:p w14:paraId="573CC5DE" w14:textId="77777777" w:rsidR="00720EC2" w:rsidRPr="006F7F9E" w:rsidRDefault="00720EC2" w:rsidP="00D13E69">
            <w:pPr>
              <w:pStyle w:val="StyleOutlinenumberedArialOutlinenumberedArial11Outli"/>
              <w:numPr>
                <w:ilvl w:val="0"/>
                <w:numId w:val="12"/>
              </w:numPr>
              <w:rPr>
                <w:rFonts w:ascii="Verdana" w:hAnsi="Verdana" w:cs="Lucida Sans Unicode"/>
                <w:b w:val="0"/>
              </w:rPr>
            </w:pPr>
            <w:r>
              <w:rPr>
                <w:rFonts w:ascii="Verdana" w:hAnsi="Verdana"/>
                <w:b w:val="0"/>
              </w:rPr>
              <w:t>R</w:t>
            </w:r>
            <w:r w:rsidRPr="006F7F9E">
              <w:rPr>
                <w:rFonts w:ascii="Verdana" w:hAnsi="Verdana"/>
                <w:b w:val="0"/>
              </w:rPr>
              <w:t xml:space="preserve">eference </w:t>
            </w:r>
            <w:r w:rsidRPr="006F7F9E">
              <w:rPr>
                <w:rFonts w:ascii="Verdana" w:hAnsi="Verdana" w:cs="Lucida Sans Unicode"/>
                <w:b w:val="0"/>
              </w:rPr>
              <w:t xml:space="preserve">the Health and Social Care (Quality and Engagement) (Wales) Act. </w:t>
            </w:r>
          </w:p>
          <w:p w14:paraId="517FB7A7" w14:textId="77777777" w:rsidR="00720EC2" w:rsidRPr="006F7F9E" w:rsidRDefault="00720EC2" w:rsidP="00D13E69">
            <w:pPr>
              <w:pStyle w:val="StyleOutlinenumberedArialOutlinenumberedArial11Outli"/>
              <w:numPr>
                <w:ilvl w:val="0"/>
                <w:numId w:val="12"/>
              </w:numPr>
              <w:rPr>
                <w:rFonts w:ascii="Verdana" w:hAnsi="Verdana" w:cs="Lucida Sans Unicode"/>
              </w:rPr>
            </w:pPr>
            <w:r w:rsidRPr="006F7F9E">
              <w:rPr>
                <w:rFonts w:ascii="Verdana" w:hAnsi="Verdana" w:cs="Lucida Sans Unicode"/>
                <w:b w:val="0"/>
              </w:rPr>
              <w:t>Inclusion of ‘</w:t>
            </w:r>
            <w:r w:rsidRPr="006F7F9E">
              <w:rPr>
                <w:rFonts w:ascii="Verdana" w:hAnsi="Verdana" w:cs="Lucida Sans Unicode"/>
              </w:rPr>
              <w:t>or similar quality and improvement strategies,’</w:t>
            </w:r>
          </w:p>
          <w:p w14:paraId="2BB571FD" w14:textId="77777777" w:rsidR="00720EC2" w:rsidRPr="008E6140" w:rsidRDefault="00720EC2" w:rsidP="00D13E69">
            <w:pPr>
              <w:pStyle w:val="StyleOutlinenumberedArialOutlinenumberedArial11Outli"/>
              <w:numPr>
                <w:ilvl w:val="0"/>
                <w:numId w:val="12"/>
              </w:numPr>
              <w:jc w:val="both"/>
              <w:rPr>
                <w:rFonts w:ascii="Verdana" w:hAnsi="Verdana" w:cs="Lucida Sans Unicode"/>
                <w:b w:val="0"/>
              </w:rPr>
            </w:pPr>
            <w:r w:rsidRPr="006F7F9E">
              <w:rPr>
                <w:rFonts w:ascii="Verdana" w:hAnsi="Verdana" w:cs="Lucida Sans Unicode"/>
                <w:b w:val="0"/>
              </w:rPr>
              <w:t xml:space="preserve">‘Ensure there are arrangements in place to monitor the voice of the service user…Provided through a range of sources such as </w:t>
            </w:r>
            <w:r w:rsidRPr="006F7F9E">
              <w:rPr>
                <w:rFonts w:ascii="Verdana" w:hAnsi="Verdana" w:cs="Lucida Sans Unicode"/>
              </w:rPr>
              <w:t>engagement. surveys</w:t>
            </w:r>
            <w:r w:rsidRPr="006F7F9E">
              <w:rPr>
                <w:rFonts w:ascii="Verdana" w:hAnsi="Verdana" w:cs="Lucida Sans Unicode"/>
                <w:b w:val="0"/>
              </w:rPr>
              <w:t>, concerns, incidents and proactive arrangements to gain feedback’</w:t>
            </w:r>
          </w:p>
        </w:tc>
      </w:tr>
      <w:tr w:rsidR="00720EC2" w14:paraId="7DEDF62D" w14:textId="77777777" w:rsidTr="00D13E69">
        <w:trPr>
          <w:tblHeader/>
        </w:trPr>
        <w:tc>
          <w:tcPr>
            <w:tcW w:w="1418" w:type="dxa"/>
            <w:vMerge/>
            <w:shd w:val="clear" w:color="auto" w:fill="FFFFFF" w:themeFill="background1"/>
          </w:tcPr>
          <w:p w14:paraId="164A7725" w14:textId="77777777" w:rsidR="00720EC2" w:rsidRDefault="00720EC2" w:rsidP="00D13E69">
            <w:pPr>
              <w:widowControl w:val="0"/>
              <w:autoSpaceDE w:val="0"/>
              <w:autoSpaceDN w:val="0"/>
              <w:adjustRightInd w:val="0"/>
            </w:pPr>
          </w:p>
        </w:tc>
        <w:tc>
          <w:tcPr>
            <w:tcW w:w="7796" w:type="dxa"/>
            <w:shd w:val="clear" w:color="auto" w:fill="FFFFFF" w:themeFill="background1"/>
          </w:tcPr>
          <w:p w14:paraId="41C9920B" w14:textId="77777777" w:rsidR="00720EC2" w:rsidRPr="006F7F9E" w:rsidRDefault="00720EC2" w:rsidP="00D13E69">
            <w:pPr>
              <w:pStyle w:val="StyleOutlinenumberedArialOutlinenumberedArial11Outli"/>
              <w:rPr>
                <w:rFonts w:ascii="Verdana" w:hAnsi="Verdana"/>
              </w:rPr>
            </w:pPr>
            <w:r w:rsidRPr="006F7F9E">
              <w:rPr>
                <w:rFonts w:ascii="Verdana" w:hAnsi="Verdana"/>
              </w:rPr>
              <w:t xml:space="preserve">Addition of: </w:t>
            </w:r>
          </w:p>
          <w:p w14:paraId="6CF49466" w14:textId="77777777" w:rsidR="00720EC2" w:rsidRPr="008E6140" w:rsidRDefault="00720EC2" w:rsidP="00D13E69">
            <w:pPr>
              <w:pStyle w:val="StyleOutlinenumberedArialOutlinenumberedArial11Outli"/>
              <w:rPr>
                <w:rFonts w:ascii="Verdana" w:hAnsi="Verdana"/>
                <w:b w:val="0"/>
                <w:i/>
              </w:rPr>
            </w:pPr>
            <w:r w:rsidRPr="006F7F9E">
              <w:rPr>
                <w:rFonts w:ascii="Verdana" w:hAnsi="Verdana"/>
                <w:b w:val="0"/>
              </w:rPr>
              <w:t>‘</w:t>
            </w:r>
            <w:r w:rsidRPr="006F7F9E">
              <w:rPr>
                <w:rFonts w:ascii="Verdana" w:hAnsi="Verdana"/>
                <w:b w:val="0"/>
                <w:i/>
              </w:rPr>
              <w:t>seek assurances that there is the appropriate culture and arrangements to allow the Trust to discharge its statutory and mandatory responsibilities with regard to health, safety and welfare.’</w:t>
            </w:r>
          </w:p>
        </w:tc>
      </w:tr>
      <w:tr w:rsidR="00720EC2" w14:paraId="74BEB22C" w14:textId="77777777" w:rsidTr="00D13E69">
        <w:trPr>
          <w:tblHeader/>
        </w:trPr>
        <w:tc>
          <w:tcPr>
            <w:tcW w:w="1418" w:type="dxa"/>
            <w:vMerge/>
            <w:shd w:val="clear" w:color="auto" w:fill="FFFFFF" w:themeFill="background1"/>
          </w:tcPr>
          <w:p w14:paraId="2D0A168F" w14:textId="77777777" w:rsidR="00720EC2" w:rsidRDefault="00720EC2" w:rsidP="00D13E69">
            <w:pPr>
              <w:widowControl w:val="0"/>
              <w:autoSpaceDE w:val="0"/>
              <w:autoSpaceDN w:val="0"/>
              <w:adjustRightInd w:val="0"/>
            </w:pPr>
          </w:p>
        </w:tc>
        <w:tc>
          <w:tcPr>
            <w:tcW w:w="7796" w:type="dxa"/>
            <w:shd w:val="clear" w:color="auto" w:fill="FFFFFF" w:themeFill="background1"/>
          </w:tcPr>
          <w:p w14:paraId="77102950" w14:textId="77777777" w:rsidR="00720EC2" w:rsidRDefault="00720EC2" w:rsidP="00D13E69">
            <w:pPr>
              <w:pStyle w:val="StyleOutlinenumberedArialOutlinenumberedArial11Outli"/>
              <w:rPr>
                <w:rFonts w:ascii="Verdana" w:hAnsi="Verdana"/>
              </w:rPr>
            </w:pPr>
            <w:r>
              <w:rPr>
                <w:rFonts w:ascii="Verdana" w:hAnsi="Verdana"/>
              </w:rPr>
              <w:t xml:space="preserve">Addition of: </w:t>
            </w:r>
          </w:p>
          <w:p w14:paraId="420DD933" w14:textId="77777777" w:rsidR="00720EC2" w:rsidRDefault="00720EC2" w:rsidP="00D13E69">
            <w:r>
              <w:t>‘</w:t>
            </w:r>
            <w:r w:rsidRPr="00AA752B">
              <w:rPr>
                <w:i/>
              </w:rPr>
              <w:t>Receive reports of near misses, incidents, serious adverse incidents and claims relating to the health, safety and welfare of staff.’</w:t>
            </w:r>
            <w:r>
              <w:t xml:space="preserve"> </w:t>
            </w:r>
          </w:p>
          <w:p w14:paraId="28524C2D" w14:textId="77777777" w:rsidR="00720EC2" w:rsidRDefault="00720EC2" w:rsidP="00D13E69"/>
          <w:p w14:paraId="78411B3C" w14:textId="77777777" w:rsidR="00720EC2" w:rsidRPr="007B4060" w:rsidRDefault="00720EC2" w:rsidP="00D13E69">
            <w:pPr>
              <w:rPr>
                <w:i/>
              </w:rPr>
            </w:pPr>
            <w:r w:rsidRPr="007B4060">
              <w:rPr>
                <w:i/>
              </w:rPr>
              <w:t>(Note - this has been transferred from the People and Organisational Development Terms of reference, to include consideration of Health and Safety related incidents.)</w:t>
            </w:r>
          </w:p>
        </w:tc>
      </w:tr>
      <w:tr w:rsidR="00720EC2" w14:paraId="08AFA464" w14:textId="77777777" w:rsidTr="00D13E69">
        <w:trPr>
          <w:tblHeader/>
        </w:trPr>
        <w:tc>
          <w:tcPr>
            <w:tcW w:w="1418" w:type="dxa"/>
            <w:shd w:val="clear" w:color="auto" w:fill="FFFFFF" w:themeFill="background1"/>
          </w:tcPr>
          <w:p w14:paraId="52C6390B" w14:textId="77777777" w:rsidR="00720EC2" w:rsidRDefault="00720EC2" w:rsidP="00D13E69">
            <w:pPr>
              <w:widowControl w:val="0"/>
              <w:autoSpaceDE w:val="0"/>
              <w:autoSpaceDN w:val="0"/>
              <w:adjustRightInd w:val="0"/>
            </w:pPr>
            <w:r>
              <w:t>6.2 Attendees</w:t>
            </w:r>
          </w:p>
        </w:tc>
        <w:tc>
          <w:tcPr>
            <w:tcW w:w="7796" w:type="dxa"/>
            <w:shd w:val="clear" w:color="auto" w:fill="FFFFFF" w:themeFill="background1"/>
          </w:tcPr>
          <w:p w14:paraId="19874CF7" w14:textId="77777777" w:rsidR="00720EC2" w:rsidRDefault="00720EC2" w:rsidP="00D13E69">
            <w:pPr>
              <w:pStyle w:val="BodyText"/>
              <w:ind w:right="-46"/>
              <w:rPr>
                <w:rFonts w:cs="Lucida Sans Unicode"/>
              </w:rPr>
            </w:pPr>
            <w:r>
              <w:t xml:space="preserve">Revised title: </w:t>
            </w:r>
            <w:r w:rsidRPr="00AA752B">
              <w:rPr>
                <w:rFonts w:cs="Lucida Sans Unicode"/>
                <w:i/>
              </w:rPr>
              <w:t>National Director of Health Protection and Screening Services/Medical Director</w:t>
            </w:r>
            <w:r>
              <w:rPr>
                <w:rFonts w:cs="Lucida Sans Unicode"/>
              </w:rPr>
              <w:t xml:space="preserve"> to replace Executive Director Public Health Services / Medical Director. (Joint Lead Executive)</w:t>
            </w:r>
          </w:p>
          <w:p w14:paraId="76A05DC5" w14:textId="77777777" w:rsidR="00720EC2" w:rsidRDefault="00720EC2" w:rsidP="00D13E69">
            <w:pPr>
              <w:pStyle w:val="BodyText"/>
              <w:ind w:right="-46"/>
              <w:rPr>
                <w:rFonts w:cs="Lucida Sans Unicode"/>
              </w:rPr>
            </w:pPr>
          </w:p>
          <w:p w14:paraId="013A37B2" w14:textId="77777777" w:rsidR="00720EC2" w:rsidRPr="00AA752B" w:rsidRDefault="00720EC2" w:rsidP="00D13E69">
            <w:pPr>
              <w:pStyle w:val="BodyText"/>
              <w:ind w:right="-46"/>
              <w:rPr>
                <w:rFonts w:cs="Lucida Sans Unicode"/>
              </w:rPr>
            </w:pPr>
            <w:r>
              <w:rPr>
                <w:rFonts w:cs="Lucida Sans Unicode"/>
              </w:rPr>
              <w:t xml:space="preserve">Addition of reference to the joint executive leads for this Committee. </w:t>
            </w:r>
          </w:p>
          <w:p w14:paraId="31775526" w14:textId="77777777" w:rsidR="00720EC2" w:rsidRDefault="00720EC2" w:rsidP="00D13E69">
            <w:pPr>
              <w:pStyle w:val="BodyText"/>
              <w:ind w:right="-46"/>
              <w:rPr>
                <w:rFonts w:cs="Lucida Sans Unicode"/>
              </w:rPr>
            </w:pPr>
          </w:p>
          <w:p w14:paraId="4A0A5019" w14:textId="77777777" w:rsidR="00720EC2" w:rsidRPr="008E6140" w:rsidRDefault="00720EC2" w:rsidP="00D13E69">
            <w:pPr>
              <w:rPr>
                <w:rFonts w:cs="Lucida Sans Unicode"/>
              </w:rPr>
            </w:pPr>
            <w:r w:rsidRPr="007B4060">
              <w:rPr>
                <w:rFonts w:eastAsia="Verdana" w:cs="Lucida Sans Unicode"/>
                <w:i/>
                <w:szCs w:val="24"/>
                <w:lang w:eastAsia="en-GB" w:bidi="en-GB"/>
              </w:rPr>
              <w:t>Addition of: Deputy Chief Executive and Executive Director of Operations and Finance (Executive Lead for Health and Safety) or nominated deputy</w:t>
            </w:r>
            <w:r>
              <w:rPr>
                <w:rFonts w:cs="Lucida Sans Unicode"/>
              </w:rPr>
              <w:t xml:space="preserve">. </w:t>
            </w:r>
          </w:p>
        </w:tc>
      </w:tr>
    </w:tbl>
    <w:p w14:paraId="55424F44" w14:textId="77777777" w:rsidR="00720EC2" w:rsidRPr="007B4060" w:rsidRDefault="00720EC2" w:rsidP="00720EC2">
      <w:pPr>
        <w:pStyle w:val="Heading2"/>
        <w:ind w:left="709" w:firstLine="731"/>
        <w:rPr>
          <w:i/>
          <w:szCs w:val="24"/>
        </w:rPr>
      </w:pPr>
    </w:p>
    <w:p w14:paraId="6BE7D3B8" w14:textId="7BBB7CD4" w:rsidR="00720EC2" w:rsidRDefault="00720EC2" w:rsidP="00720EC2">
      <w:pPr>
        <w:jc w:val="both"/>
        <w:rPr>
          <w:i/>
        </w:rPr>
      </w:pPr>
      <w:r w:rsidRPr="007B4060">
        <w:rPr>
          <w:b/>
          <w:i/>
        </w:rPr>
        <w:t>Note:</w:t>
      </w:r>
      <w:r w:rsidRPr="007B4060">
        <w:rPr>
          <w:i/>
        </w:rPr>
        <w:t xml:space="preserve"> If these changes are accepted by the Board, the People and Organisational Committee terms of reference </w:t>
      </w:r>
      <w:r>
        <w:rPr>
          <w:i/>
        </w:rPr>
        <w:t xml:space="preserve">will </w:t>
      </w:r>
      <w:r w:rsidRPr="007B4060">
        <w:rPr>
          <w:i/>
        </w:rPr>
        <w:t xml:space="preserve">also be amended to remove the content above relating to health and safety. </w:t>
      </w:r>
    </w:p>
    <w:p w14:paraId="62B0D2B7" w14:textId="77777777" w:rsidR="00720EC2" w:rsidRPr="007B4060" w:rsidRDefault="00720EC2" w:rsidP="00720EC2">
      <w:pPr>
        <w:jc w:val="both"/>
        <w:rPr>
          <w:i/>
        </w:rPr>
      </w:pPr>
    </w:p>
    <w:p w14:paraId="78A3434A" w14:textId="77777777" w:rsidR="00720EC2" w:rsidRDefault="00720EC2" w:rsidP="007B4060">
      <w:pPr>
        <w:jc w:val="both"/>
        <w:rPr>
          <w:b/>
        </w:rPr>
      </w:pPr>
    </w:p>
    <w:p w14:paraId="65CF8B93" w14:textId="4D27C610" w:rsidR="0018657C" w:rsidRDefault="00BF21DF" w:rsidP="007B4060">
      <w:pPr>
        <w:jc w:val="both"/>
        <w:rPr>
          <w:b/>
        </w:rPr>
      </w:pPr>
      <w:r>
        <w:rPr>
          <w:b/>
        </w:rPr>
        <w:lastRenderedPageBreak/>
        <w:t>3.</w:t>
      </w:r>
      <w:r w:rsidR="00411269">
        <w:rPr>
          <w:b/>
        </w:rPr>
        <w:t>7</w:t>
      </w:r>
      <w:r w:rsidR="00720EC2">
        <w:rPr>
          <w:b/>
        </w:rPr>
        <w:t xml:space="preserve"> </w:t>
      </w:r>
      <w:r w:rsidR="00720EC2">
        <w:rPr>
          <w:b/>
        </w:rPr>
        <w:tab/>
      </w:r>
      <w:r w:rsidR="0018657C">
        <w:rPr>
          <w:b/>
        </w:rPr>
        <w:t>Remuneration and Terms of Service Committee</w:t>
      </w:r>
    </w:p>
    <w:p w14:paraId="0C836FC2" w14:textId="77777777" w:rsidR="0018657C" w:rsidRDefault="0018657C" w:rsidP="007B4060">
      <w:pPr>
        <w:jc w:val="both"/>
        <w:rPr>
          <w:b/>
        </w:rPr>
      </w:pPr>
    </w:p>
    <w:p w14:paraId="2AFACC43" w14:textId="6951E6E5" w:rsidR="0018657C" w:rsidRDefault="0018657C" w:rsidP="0018657C">
      <w:pPr>
        <w:ind w:left="720"/>
        <w:jc w:val="both"/>
      </w:pPr>
      <w:r w:rsidRPr="00720EC2">
        <w:t>T</w:t>
      </w:r>
      <w:r>
        <w:t>he Remuneration and Terms of Service Committee Terms of Reference have been updated following the Welsh Government review of the model scheme of delegation. The following changes are proposed for this Committee’s terms of reference;</w:t>
      </w:r>
    </w:p>
    <w:p w14:paraId="3A39AD49" w14:textId="04643178" w:rsidR="0018657C" w:rsidRDefault="0018657C" w:rsidP="007B4060">
      <w:pPr>
        <w:jc w:val="both"/>
        <w:rPr>
          <w:b/>
        </w:rPr>
      </w:pPr>
    </w:p>
    <w:tbl>
      <w:tblPr>
        <w:tblStyle w:val="TableGrid"/>
        <w:tblW w:w="0" w:type="auto"/>
        <w:tblInd w:w="562" w:type="dxa"/>
        <w:tblLook w:val="04A0" w:firstRow="1" w:lastRow="0" w:firstColumn="1" w:lastColumn="0" w:noHBand="0" w:noVBand="1"/>
      </w:tblPr>
      <w:tblGrid>
        <w:gridCol w:w="2410"/>
        <w:gridCol w:w="5954"/>
      </w:tblGrid>
      <w:tr w:rsidR="0018657C" w:rsidRPr="00C0078B" w14:paraId="74E21C2E" w14:textId="77777777" w:rsidTr="00393172">
        <w:trPr>
          <w:tblHeader/>
        </w:trPr>
        <w:tc>
          <w:tcPr>
            <w:tcW w:w="2410" w:type="dxa"/>
            <w:shd w:val="clear" w:color="auto" w:fill="DBE5F1" w:themeFill="accent1" w:themeFillTint="33"/>
          </w:tcPr>
          <w:p w14:paraId="2944F770" w14:textId="77777777" w:rsidR="0018657C" w:rsidRPr="00C0078B" w:rsidRDefault="0018657C" w:rsidP="00393172">
            <w:pPr>
              <w:widowControl w:val="0"/>
              <w:autoSpaceDE w:val="0"/>
              <w:autoSpaceDN w:val="0"/>
              <w:adjustRightInd w:val="0"/>
              <w:rPr>
                <w:rFonts w:cs="Arial"/>
                <w:b/>
              </w:rPr>
            </w:pPr>
            <w:r w:rsidRPr="00C0078B">
              <w:rPr>
                <w:rFonts w:cs="Arial"/>
                <w:b/>
              </w:rPr>
              <w:t>Section</w:t>
            </w:r>
          </w:p>
        </w:tc>
        <w:tc>
          <w:tcPr>
            <w:tcW w:w="5954" w:type="dxa"/>
            <w:shd w:val="clear" w:color="auto" w:fill="DBE5F1" w:themeFill="accent1" w:themeFillTint="33"/>
          </w:tcPr>
          <w:p w14:paraId="55D559C7" w14:textId="77777777" w:rsidR="0018657C" w:rsidRPr="00C0078B" w:rsidRDefault="0018657C" w:rsidP="00393172">
            <w:pPr>
              <w:widowControl w:val="0"/>
              <w:autoSpaceDE w:val="0"/>
              <w:autoSpaceDN w:val="0"/>
              <w:adjustRightInd w:val="0"/>
              <w:rPr>
                <w:rFonts w:cs="Arial"/>
                <w:b/>
              </w:rPr>
            </w:pPr>
            <w:r w:rsidRPr="00C0078B">
              <w:rPr>
                <w:rFonts w:cs="Arial"/>
                <w:b/>
              </w:rPr>
              <w:t>Proposed Amendment</w:t>
            </w:r>
          </w:p>
        </w:tc>
      </w:tr>
      <w:tr w:rsidR="0018657C" w:rsidRPr="00C0078B" w14:paraId="2758B51D" w14:textId="77777777" w:rsidTr="0018657C">
        <w:trPr>
          <w:tblHeader/>
        </w:trPr>
        <w:tc>
          <w:tcPr>
            <w:tcW w:w="2410" w:type="dxa"/>
            <w:vMerge w:val="restart"/>
            <w:shd w:val="clear" w:color="auto" w:fill="auto"/>
          </w:tcPr>
          <w:p w14:paraId="4CC0C5A7" w14:textId="28DD24B6" w:rsidR="0018657C" w:rsidRPr="00C0078B" w:rsidRDefault="0018657C" w:rsidP="00393172">
            <w:pPr>
              <w:widowControl w:val="0"/>
              <w:autoSpaceDE w:val="0"/>
              <w:autoSpaceDN w:val="0"/>
              <w:adjustRightInd w:val="0"/>
              <w:rPr>
                <w:rFonts w:cs="Arial"/>
                <w:b/>
              </w:rPr>
            </w:pPr>
            <w:r>
              <w:t xml:space="preserve">Section 3- </w:t>
            </w:r>
            <w:r w:rsidRPr="0018657C">
              <w:t>Delegated Powers</w:t>
            </w:r>
          </w:p>
        </w:tc>
        <w:tc>
          <w:tcPr>
            <w:tcW w:w="5954" w:type="dxa"/>
            <w:shd w:val="clear" w:color="auto" w:fill="auto"/>
          </w:tcPr>
          <w:p w14:paraId="5F17AB45" w14:textId="0C848A03" w:rsidR="0018657C" w:rsidRDefault="0018657C" w:rsidP="0018657C">
            <w:pPr>
              <w:tabs>
                <w:tab w:val="left" w:pos="-1440"/>
              </w:tabs>
              <w:jc w:val="both"/>
              <w:rPr>
                <w:i/>
              </w:rPr>
            </w:pPr>
            <w:r>
              <w:rPr>
                <w:rFonts w:cs="Arial"/>
              </w:rPr>
              <w:t>‘</w:t>
            </w:r>
            <w:r w:rsidRPr="0018657C">
              <w:rPr>
                <w:rFonts w:cs="Arial"/>
                <w:i/>
              </w:rPr>
              <w:t>Ratify</w:t>
            </w:r>
            <w:r w:rsidRPr="0018657C">
              <w:rPr>
                <w:i/>
              </w:rPr>
              <w:t xml:space="preserve"> the appointment, appraisal, discipline and dismissal of the Executive Directors and any other Board level appointments and other senior employees, in accordance with Ministerial Instructions, e.g., the Board Secretary’</w:t>
            </w:r>
          </w:p>
          <w:p w14:paraId="53AF5753" w14:textId="77777777" w:rsidR="0018657C" w:rsidRDefault="0018657C" w:rsidP="0018657C">
            <w:pPr>
              <w:tabs>
                <w:tab w:val="left" w:pos="-1440"/>
              </w:tabs>
              <w:jc w:val="both"/>
            </w:pPr>
          </w:p>
          <w:p w14:paraId="03FF092D" w14:textId="3787C13E" w:rsidR="0018657C" w:rsidRDefault="0018657C" w:rsidP="0018657C">
            <w:pPr>
              <w:jc w:val="both"/>
            </w:pPr>
            <w:r>
              <w:t>This paragraph has been added in line with the amendments made to the model scheme of delegation.</w:t>
            </w:r>
          </w:p>
          <w:p w14:paraId="1A6B7448" w14:textId="77777777" w:rsidR="0018657C" w:rsidRPr="00C0078B" w:rsidRDefault="0018657C" w:rsidP="0018657C">
            <w:pPr>
              <w:widowControl w:val="0"/>
              <w:autoSpaceDE w:val="0"/>
              <w:autoSpaceDN w:val="0"/>
              <w:adjustRightInd w:val="0"/>
              <w:jc w:val="both"/>
              <w:rPr>
                <w:rFonts w:cs="Arial"/>
                <w:b/>
              </w:rPr>
            </w:pPr>
          </w:p>
        </w:tc>
      </w:tr>
      <w:tr w:rsidR="0018657C" w:rsidRPr="00C0078B" w14:paraId="13D21D49" w14:textId="77777777" w:rsidTr="0018657C">
        <w:trPr>
          <w:tblHeader/>
        </w:trPr>
        <w:tc>
          <w:tcPr>
            <w:tcW w:w="2410" w:type="dxa"/>
            <w:vMerge/>
            <w:shd w:val="clear" w:color="auto" w:fill="auto"/>
          </w:tcPr>
          <w:p w14:paraId="66FA7DD0" w14:textId="77777777" w:rsidR="0018657C" w:rsidRDefault="0018657C" w:rsidP="00393172">
            <w:pPr>
              <w:widowControl w:val="0"/>
              <w:autoSpaceDE w:val="0"/>
              <w:autoSpaceDN w:val="0"/>
              <w:adjustRightInd w:val="0"/>
            </w:pPr>
          </w:p>
        </w:tc>
        <w:tc>
          <w:tcPr>
            <w:tcW w:w="5954" w:type="dxa"/>
            <w:shd w:val="clear" w:color="auto" w:fill="auto"/>
          </w:tcPr>
          <w:p w14:paraId="309DA88F" w14:textId="77777777" w:rsidR="0018657C" w:rsidRPr="0018657C" w:rsidRDefault="0018657C" w:rsidP="0018657C">
            <w:pPr>
              <w:jc w:val="both"/>
              <w:rPr>
                <w:rFonts w:cs="Lucida Sans Unicode"/>
                <w:strike/>
              </w:rPr>
            </w:pPr>
            <w:r w:rsidRPr="0018657C">
              <w:rPr>
                <w:rFonts w:cs="Lucida Sans Unicode"/>
                <w:strike/>
              </w:rPr>
              <w:t>proposals regarding termination arrangements, including those under the Voluntary Early Release Scheme, ensuring the proper calculation and scrutiny of termination payments in accordance with the relevant Welsh Government guidance.</w:t>
            </w:r>
          </w:p>
          <w:p w14:paraId="24AD6AE2" w14:textId="1D4AD1BD" w:rsidR="0018657C" w:rsidRDefault="0018657C" w:rsidP="0018657C">
            <w:pPr>
              <w:jc w:val="both"/>
            </w:pPr>
          </w:p>
          <w:p w14:paraId="5A5D1228" w14:textId="531ABEC7" w:rsidR="0018657C" w:rsidRDefault="008E6140" w:rsidP="0018657C">
            <w:pPr>
              <w:jc w:val="both"/>
            </w:pPr>
            <w:r>
              <w:t xml:space="preserve">This paragraph </w:t>
            </w:r>
            <w:r w:rsidR="00BF21DF">
              <w:t>h</w:t>
            </w:r>
            <w:r w:rsidR="0018657C">
              <w:t>as been replace</w:t>
            </w:r>
            <w:r>
              <w:t>d with the wording in the revised</w:t>
            </w:r>
            <w:r w:rsidR="0018657C">
              <w:t xml:space="preserve"> model scheme of delegations: </w:t>
            </w:r>
          </w:p>
          <w:p w14:paraId="0421551C" w14:textId="77777777" w:rsidR="0018657C" w:rsidRDefault="0018657C" w:rsidP="0018657C">
            <w:pPr>
              <w:jc w:val="both"/>
            </w:pPr>
          </w:p>
          <w:p w14:paraId="00D14554" w14:textId="629E61A7" w:rsidR="0018657C" w:rsidRPr="0018657C" w:rsidRDefault="0018657C" w:rsidP="0018657C">
            <w:pPr>
              <w:jc w:val="both"/>
              <w:rPr>
                <w:rFonts w:cs="Lucida Sans Unicode"/>
              </w:rPr>
            </w:pPr>
            <w:r>
              <w:t>‘</w:t>
            </w:r>
            <w:r w:rsidRPr="0018657C">
              <w:rPr>
                <w:i/>
              </w:rPr>
              <w:t>Consider and approve redundancy and Early Release Applications, noting that where the settlement is £50,000 or above subsequent agreement of Welsh Government is required</w:t>
            </w:r>
            <w:r w:rsidRPr="00851871">
              <w:t>.</w:t>
            </w:r>
            <w:r>
              <w:t>’</w:t>
            </w:r>
          </w:p>
          <w:p w14:paraId="32B98FE5" w14:textId="657CF1B0" w:rsidR="0018657C" w:rsidRDefault="0018657C" w:rsidP="0018657C">
            <w:pPr>
              <w:tabs>
                <w:tab w:val="left" w:pos="-1440"/>
              </w:tabs>
              <w:jc w:val="both"/>
              <w:rPr>
                <w:rFonts w:cs="Arial"/>
              </w:rPr>
            </w:pPr>
          </w:p>
        </w:tc>
      </w:tr>
      <w:tr w:rsidR="0018657C" w:rsidRPr="00C0078B" w14:paraId="61A884DD" w14:textId="77777777" w:rsidTr="0018657C">
        <w:trPr>
          <w:tblHeader/>
        </w:trPr>
        <w:tc>
          <w:tcPr>
            <w:tcW w:w="2410" w:type="dxa"/>
            <w:vMerge/>
            <w:shd w:val="clear" w:color="auto" w:fill="auto"/>
          </w:tcPr>
          <w:p w14:paraId="4CFDA815" w14:textId="77777777" w:rsidR="0018657C" w:rsidRDefault="0018657C" w:rsidP="00393172">
            <w:pPr>
              <w:widowControl w:val="0"/>
              <w:autoSpaceDE w:val="0"/>
              <w:autoSpaceDN w:val="0"/>
              <w:adjustRightInd w:val="0"/>
            </w:pPr>
          </w:p>
        </w:tc>
        <w:tc>
          <w:tcPr>
            <w:tcW w:w="5954" w:type="dxa"/>
            <w:shd w:val="clear" w:color="auto" w:fill="auto"/>
          </w:tcPr>
          <w:p w14:paraId="69AD9C99" w14:textId="07FA96FD" w:rsidR="0018657C" w:rsidRDefault="0018657C" w:rsidP="0018657C">
            <w:pPr>
              <w:tabs>
                <w:tab w:val="left" w:pos="-1440"/>
              </w:tabs>
              <w:jc w:val="both"/>
              <w:rPr>
                <w:i/>
              </w:rPr>
            </w:pPr>
            <w:r>
              <w:t>‘</w:t>
            </w:r>
            <w:r w:rsidRPr="0018657C">
              <w:rPr>
                <w:i/>
              </w:rPr>
              <w:t>Termination of appointment and suspension officer members in accordance with the provisions of Regulations’</w:t>
            </w:r>
          </w:p>
          <w:p w14:paraId="337F261A" w14:textId="15B9B401" w:rsidR="0018657C" w:rsidRDefault="0018657C" w:rsidP="0018657C">
            <w:pPr>
              <w:tabs>
                <w:tab w:val="left" w:pos="-1440"/>
              </w:tabs>
              <w:jc w:val="both"/>
              <w:rPr>
                <w:i/>
              </w:rPr>
            </w:pPr>
          </w:p>
          <w:p w14:paraId="7575DA96" w14:textId="2DE6F756" w:rsidR="0018657C" w:rsidRDefault="0018657C" w:rsidP="0018657C">
            <w:pPr>
              <w:jc w:val="both"/>
            </w:pPr>
            <w:r>
              <w:t xml:space="preserve">This </w:t>
            </w:r>
            <w:r w:rsidR="008E6140">
              <w:t xml:space="preserve">paragraph </w:t>
            </w:r>
            <w:r>
              <w:t>has been added in line with the amendments made to the model scheme of delegation.</w:t>
            </w:r>
          </w:p>
          <w:p w14:paraId="3A2612B5" w14:textId="77777777" w:rsidR="0018657C" w:rsidRPr="0018657C" w:rsidRDefault="0018657C" w:rsidP="0018657C">
            <w:pPr>
              <w:jc w:val="both"/>
              <w:rPr>
                <w:rFonts w:cs="Lucida Sans Unicode"/>
                <w:strike/>
              </w:rPr>
            </w:pPr>
          </w:p>
        </w:tc>
      </w:tr>
    </w:tbl>
    <w:p w14:paraId="12CA8AD5" w14:textId="6F685A04" w:rsidR="0018657C" w:rsidRDefault="0018657C" w:rsidP="007B4060">
      <w:pPr>
        <w:jc w:val="both"/>
        <w:rPr>
          <w:b/>
        </w:rPr>
      </w:pPr>
    </w:p>
    <w:p w14:paraId="10E4C796" w14:textId="36CB006A" w:rsidR="00170372" w:rsidRPr="00720EC2" w:rsidRDefault="00170372" w:rsidP="00720EC2">
      <w:pPr>
        <w:spacing w:after="200" w:line="276" w:lineRule="auto"/>
        <w:rPr>
          <w:b/>
        </w:rPr>
      </w:pPr>
      <w:r w:rsidRPr="007B4060">
        <w:rPr>
          <w:i/>
        </w:rPr>
        <w:t xml:space="preserve"> </w:t>
      </w:r>
    </w:p>
    <w:p w14:paraId="361CA632" w14:textId="565FAF51" w:rsidR="00E07F66" w:rsidRPr="001C60B5" w:rsidRDefault="008E6140" w:rsidP="00937617">
      <w:pPr>
        <w:pStyle w:val="Heading1"/>
        <w:rPr>
          <w:szCs w:val="24"/>
        </w:rPr>
      </w:pPr>
      <w:r>
        <w:rPr>
          <w:szCs w:val="24"/>
        </w:rPr>
        <w:lastRenderedPageBreak/>
        <w:t>4.</w:t>
      </w:r>
      <w:r>
        <w:rPr>
          <w:szCs w:val="24"/>
        </w:rPr>
        <w:tab/>
      </w:r>
      <w:r w:rsidR="00E07F66" w:rsidRPr="001C60B5">
        <w:rPr>
          <w:szCs w:val="24"/>
        </w:rPr>
        <w:t>Recommendation</w:t>
      </w:r>
    </w:p>
    <w:p w14:paraId="59F73668" w14:textId="77777777" w:rsidR="00131826" w:rsidRDefault="00131826" w:rsidP="00E07F66">
      <w:pPr>
        <w:rPr>
          <w:szCs w:val="24"/>
        </w:rPr>
      </w:pPr>
    </w:p>
    <w:p w14:paraId="16ECFA34" w14:textId="77777777" w:rsidR="007B4060" w:rsidRDefault="007B4060" w:rsidP="007B4060">
      <w:pPr>
        <w:rPr>
          <w:szCs w:val="24"/>
        </w:rPr>
      </w:pPr>
      <w:r>
        <w:rPr>
          <w:szCs w:val="24"/>
        </w:rPr>
        <w:t xml:space="preserve">The Board </w:t>
      </w:r>
      <w:r w:rsidRPr="00851721">
        <w:rPr>
          <w:szCs w:val="24"/>
        </w:rPr>
        <w:t xml:space="preserve">is </w:t>
      </w:r>
      <w:r w:rsidRPr="001C60B5">
        <w:rPr>
          <w:szCs w:val="24"/>
        </w:rPr>
        <w:t xml:space="preserve">asked to: </w:t>
      </w:r>
    </w:p>
    <w:p w14:paraId="1C475371" w14:textId="77777777" w:rsidR="007B4060" w:rsidRDefault="007B4060" w:rsidP="007B4060">
      <w:pPr>
        <w:rPr>
          <w:szCs w:val="24"/>
        </w:rPr>
      </w:pPr>
    </w:p>
    <w:p w14:paraId="7758D284" w14:textId="77777777" w:rsidR="007B4060" w:rsidRPr="007B4060" w:rsidRDefault="007B4060" w:rsidP="007B4060">
      <w:pPr>
        <w:pStyle w:val="ListParagraph"/>
        <w:numPr>
          <w:ilvl w:val="0"/>
          <w:numId w:val="2"/>
        </w:numPr>
        <w:ind w:left="592" w:hanging="425"/>
        <w:rPr>
          <w:szCs w:val="24"/>
        </w:rPr>
      </w:pPr>
      <w:r>
        <w:rPr>
          <w:b/>
          <w:szCs w:val="24"/>
        </w:rPr>
        <w:t xml:space="preserve">Approve </w:t>
      </w:r>
      <w:r>
        <w:rPr>
          <w:szCs w:val="24"/>
        </w:rPr>
        <w:t xml:space="preserve">the proposed amendments to the </w:t>
      </w:r>
      <w:r w:rsidRPr="007B4060">
        <w:rPr>
          <w:rFonts w:cs="Arial"/>
        </w:rPr>
        <w:t>Audit and Corporate Governance Committee (</w:t>
      </w:r>
      <w:r w:rsidRPr="007B4060">
        <w:rPr>
          <w:rFonts w:cs="Arial"/>
          <w:b/>
        </w:rPr>
        <w:t>Appendix 1</w:t>
      </w:r>
      <w:r w:rsidRPr="007B4060">
        <w:rPr>
          <w:rFonts w:cs="Arial"/>
        </w:rPr>
        <w:t>)</w:t>
      </w:r>
      <w:r>
        <w:rPr>
          <w:rFonts w:cs="Arial"/>
          <w:b/>
        </w:rPr>
        <w:t>;</w:t>
      </w:r>
    </w:p>
    <w:p w14:paraId="25910233" w14:textId="77777777" w:rsidR="007B4060" w:rsidRPr="007B4060" w:rsidRDefault="007B4060" w:rsidP="007B4060">
      <w:pPr>
        <w:pStyle w:val="ListParagraph"/>
        <w:ind w:left="592"/>
        <w:rPr>
          <w:szCs w:val="24"/>
        </w:rPr>
      </w:pPr>
    </w:p>
    <w:p w14:paraId="470E15E6" w14:textId="6650FBD8" w:rsidR="007B4060" w:rsidRDefault="007B4060" w:rsidP="007B4060">
      <w:pPr>
        <w:pStyle w:val="ListParagraph"/>
        <w:widowControl w:val="0"/>
        <w:numPr>
          <w:ilvl w:val="0"/>
          <w:numId w:val="2"/>
        </w:numPr>
        <w:autoSpaceDE w:val="0"/>
        <w:autoSpaceDN w:val="0"/>
        <w:adjustRightInd w:val="0"/>
        <w:ind w:left="596" w:hanging="425"/>
        <w:jc w:val="both"/>
        <w:rPr>
          <w:rFonts w:cs="Arial"/>
        </w:rPr>
      </w:pPr>
      <w:r w:rsidRPr="007B4060">
        <w:rPr>
          <w:b/>
          <w:szCs w:val="24"/>
        </w:rPr>
        <w:t xml:space="preserve">Approve </w:t>
      </w:r>
      <w:r w:rsidRPr="007B4060">
        <w:rPr>
          <w:szCs w:val="24"/>
        </w:rPr>
        <w:t xml:space="preserve">the proposed amendments to the </w:t>
      </w:r>
      <w:r w:rsidRPr="007B4060">
        <w:rPr>
          <w:rFonts w:cs="Arial"/>
        </w:rPr>
        <w:t>Quality, Safety and Improvement Committee (</w:t>
      </w:r>
      <w:r w:rsidRPr="007B4060">
        <w:rPr>
          <w:rFonts w:cs="Arial"/>
          <w:b/>
        </w:rPr>
        <w:t>Appendix 2</w:t>
      </w:r>
      <w:r w:rsidRPr="007B4060">
        <w:rPr>
          <w:rFonts w:cs="Arial"/>
        </w:rPr>
        <w:t xml:space="preserve">), </w:t>
      </w:r>
      <w:r>
        <w:rPr>
          <w:rFonts w:cs="Arial"/>
        </w:rPr>
        <w:t>noting t</w:t>
      </w:r>
      <w:r w:rsidRPr="007B4060">
        <w:rPr>
          <w:rFonts w:cs="Arial"/>
        </w:rPr>
        <w:t xml:space="preserve">hat the necessary changes will </w:t>
      </w:r>
      <w:r>
        <w:rPr>
          <w:rFonts w:cs="Arial"/>
        </w:rPr>
        <w:t xml:space="preserve">also </w:t>
      </w:r>
      <w:r w:rsidRPr="007B4060">
        <w:rPr>
          <w:rFonts w:cs="Arial"/>
        </w:rPr>
        <w:t>be made to the People and Organisational Development Committee Terms of Reference to reflect the changes</w:t>
      </w:r>
      <w:r>
        <w:rPr>
          <w:rFonts w:cs="Arial"/>
        </w:rPr>
        <w:t xml:space="preserve"> regarding Health and Safety;</w:t>
      </w:r>
    </w:p>
    <w:p w14:paraId="07940EEA" w14:textId="77777777" w:rsidR="0018657C" w:rsidRPr="0018657C" w:rsidRDefault="0018657C" w:rsidP="0018657C">
      <w:pPr>
        <w:pStyle w:val="ListParagraph"/>
        <w:rPr>
          <w:rFonts w:cs="Arial"/>
        </w:rPr>
      </w:pPr>
    </w:p>
    <w:p w14:paraId="560CD84F" w14:textId="77777777" w:rsidR="0018657C" w:rsidRPr="007B4060" w:rsidRDefault="0018657C" w:rsidP="0018657C">
      <w:pPr>
        <w:pStyle w:val="ListParagraph"/>
        <w:widowControl w:val="0"/>
        <w:numPr>
          <w:ilvl w:val="0"/>
          <w:numId w:val="2"/>
        </w:numPr>
        <w:autoSpaceDE w:val="0"/>
        <w:autoSpaceDN w:val="0"/>
        <w:adjustRightInd w:val="0"/>
        <w:ind w:left="596" w:hanging="425"/>
        <w:jc w:val="both"/>
        <w:rPr>
          <w:rFonts w:cs="Arial"/>
        </w:rPr>
      </w:pPr>
      <w:r w:rsidRPr="0018657C">
        <w:rPr>
          <w:rFonts w:cs="Arial"/>
          <w:b/>
        </w:rPr>
        <w:t>Approve</w:t>
      </w:r>
      <w:r>
        <w:rPr>
          <w:rFonts w:cs="Arial"/>
        </w:rPr>
        <w:t xml:space="preserve"> the proposed amendments to the Remuneration and Terms of Service Committee Terms of Reference (</w:t>
      </w:r>
      <w:r w:rsidRPr="0018657C">
        <w:rPr>
          <w:rFonts w:cs="Arial"/>
          <w:b/>
        </w:rPr>
        <w:t>Appendix 3</w:t>
      </w:r>
      <w:r>
        <w:rPr>
          <w:rFonts w:cs="Arial"/>
        </w:rPr>
        <w:t>);</w:t>
      </w:r>
    </w:p>
    <w:p w14:paraId="026AFB50" w14:textId="77777777" w:rsidR="007B4060" w:rsidRDefault="007B4060" w:rsidP="007B4060">
      <w:pPr>
        <w:pStyle w:val="ListParagraph"/>
        <w:rPr>
          <w:rFonts w:cs="Arial"/>
          <w:b/>
        </w:rPr>
      </w:pPr>
    </w:p>
    <w:p w14:paraId="656B738A" w14:textId="4CC7B4EA" w:rsidR="007B4060" w:rsidRDefault="007B4060" w:rsidP="007B4060">
      <w:pPr>
        <w:widowControl w:val="0"/>
        <w:numPr>
          <w:ilvl w:val="0"/>
          <w:numId w:val="2"/>
        </w:numPr>
        <w:autoSpaceDE w:val="0"/>
        <w:autoSpaceDN w:val="0"/>
        <w:adjustRightInd w:val="0"/>
        <w:ind w:left="596" w:hanging="425"/>
        <w:jc w:val="both"/>
        <w:rPr>
          <w:rFonts w:cs="Arial"/>
        </w:rPr>
      </w:pPr>
      <w:r w:rsidRPr="00941424">
        <w:rPr>
          <w:rFonts w:cs="Arial"/>
          <w:b/>
        </w:rPr>
        <w:t>Note</w:t>
      </w:r>
      <w:r>
        <w:rPr>
          <w:rFonts w:cs="Arial"/>
        </w:rPr>
        <w:t xml:space="preserve"> that no changes are proposed for the Standard Terms of Reference and Operating Arrangements;</w:t>
      </w:r>
    </w:p>
    <w:p w14:paraId="3FFCC23F" w14:textId="77777777" w:rsidR="007B4060" w:rsidRDefault="007B4060" w:rsidP="007B4060">
      <w:pPr>
        <w:pStyle w:val="ListParagraph"/>
        <w:rPr>
          <w:rFonts w:cs="Arial"/>
          <w:b/>
        </w:rPr>
      </w:pPr>
    </w:p>
    <w:p w14:paraId="72836DB0" w14:textId="2D0CF6F9" w:rsidR="003865B6" w:rsidRPr="007B4060" w:rsidRDefault="007B4060" w:rsidP="007B4060">
      <w:pPr>
        <w:widowControl w:val="0"/>
        <w:numPr>
          <w:ilvl w:val="0"/>
          <w:numId w:val="2"/>
        </w:numPr>
        <w:autoSpaceDE w:val="0"/>
        <w:autoSpaceDN w:val="0"/>
        <w:adjustRightInd w:val="0"/>
        <w:ind w:left="596" w:hanging="425"/>
        <w:jc w:val="both"/>
        <w:rPr>
          <w:rFonts w:cs="Arial"/>
        </w:rPr>
      </w:pPr>
      <w:r w:rsidRPr="007B4060">
        <w:rPr>
          <w:rFonts w:cs="Arial"/>
          <w:b/>
        </w:rPr>
        <w:t>Note</w:t>
      </w:r>
      <w:r w:rsidRPr="007B4060">
        <w:rPr>
          <w:rFonts w:cs="Arial"/>
        </w:rPr>
        <w:t xml:space="preserve"> a full review of the People and Organisational Development Committee and the Knowledge, Research and Information Committee will take place in 2021.</w:t>
      </w:r>
    </w:p>
    <w:sectPr w:rsidR="003865B6" w:rsidRPr="007B4060" w:rsidSect="00E240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5BC3F" w14:textId="77777777" w:rsidR="009725B2" w:rsidRDefault="009725B2" w:rsidP="00497F39">
      <w:r>
        <w:separator/>
      </w:r>
    </w:p>
  </w:endnote>
  <w:endnote w:type="continuationSeparator" w:id="0">
    <w:p w14:paraId="1E48E9DF" w14:textId="77777777" w:rsidR="009725B2" w:rsidRDefault="009725B2" w:rsidP="0049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014"/>
      <w:gridCol w:w="3002"/>
    </w:tblGrid>
    <w:tr w:rsidR="007623DA" w:rsidRPr="00511AFF" w14:paraId="361CA64F" w14:textId="77777777" w:rsidTr="003B7361">
      <w:tc>
        <w:tcPr>
          <w:tcW w:w="3100" w:type="dxa"/>
        </w:tcPr>
        <w:p w14:paraId="361CA64C" w14:textId="59853B0C" w:rsidR="007623DA" w:rsidRPr="00131826" w:rsidRDefault="007623DA" w:rsidP="00941424">
          <w:pPr>
            <w:pStyle w:val="Footer"/>
            <w:tabs>
              <w:tab w:val="right" w:pos="9090"/>
            </w:tabs>
            <w:jc w:val="center"/>
            <w:rPr>
              <w:b/>
              <w:sz w:val="20"/>
            </w:rPr>
          </w:pPr>
          <w:r w:rsidRPr="00131826">
            <w:rPr>
              <w:b/>
              <w:sz w:val="20"/>
            </w:rPr>
            <w:t xml:space="preserve">Date: </w:t>
          </w:r>
          <w:r w:rsidRPr="00131826">
            <w:rPr>
              <w:sz w:val="20"/>
            </w:rPr>
            <w:t xml:space="preserve"> </w:t>
          </w:r>
          <w:r w:rsidR="00941424">
            <w:rPr>
              <w:sz w:val="20"/>
            </w:rPr>
            <w:t>27 May 2021</w:t>
          </w:r>
        </w:p>
      </w:tc>
      <w:tc>
        <w:tcPr>
          <w:tcW w:w="3100" w:type="dxa"/>
        </w:tcPr>
        <w:p w14:paraId="361CA64D" w14:textId="6B3F31B7" w:rsidR="007623DA" w:rsidRPr="00131826" w:rsidRDefault="007623DA" w:rsidP="00F12F90">
          <w:pPr>
            <w:pStyle w:val="Footer"/>
            <w:tabs>
              <w:tab w:val="center" w:pos="1433"/>
              <w:tab w:val="right" w:pos="2866"/>
              <w:tab w:val="right" w:pos="9090"/>
            </w:tabs>
            <w:jc w:val="center"/>
            <w:rPr>
              <w:b/>
              <w:sz w:val="20"/>
            </w:rPr>
          </w:pPr>
          <w:r w:rsidRPr="00131826">
            <w:rPr>
              <w:b/>
              <w:sz w:val="20"/>
            </w:rPr>
            <w:t>Version:</w:t>
          </w:r>
          <w:r w:rsidRPr="00131826">
            <w:rPr>
              <w:sz w:val="20"/>
            </w:rPr>
            <w:t xml:space="preserve"> </w:t>
          </w:r>
          <w:r w:rsidR="00F12F90" w:rsidRPr="00131826">
            <w:rPr>
              <w:sz w:val="20"/>
            </w:rPr>
            <w:t>V0.1</w:t>
          </w:r>
        </w:p>
      </w:tc>
      <w:tc>
        <w:tcPr>
          <w:tcW w:w="3101" w:type="dxa"/>
        </w:tcPr>
        <w:p w14:paraId="361CA64E" w14:textId="3601CDC9" w:rsidR="007623DA" w:rsidRPr="00511AFF" w:rsidRDefault="007623DA" w:rsidP="003B7361">
          <w:pPr>
            <w:pStyle w:val="Footer"/>
            <w:tabs>
              <w:tab w:val="clear" w:pos="4513"/>
              <w:tab w:val="center" w:pos="4500"/>
              <w:tab w:val="right" w:pos="9090"/>
            </w:tabs>
            <w:jc w:val="center"/>
            <w:rPr>
              <w:b/>
              <w:sz w:val="20"/>
            </w:rPr>
          </w:pPr>
          <w:r w:rsidRPr="00511AFF">
            <w:rPr>
              <w:b/>
              <w:sz w:val="20"/>
            </w:rPr>
            <w:t xml:space="preserve">Page: </w:t>
          </w:r>
          <w:r w:rsidRPr="00511AFF">
            <w:rPr>
              <w:rStyle w:val="PageNumber"/>
              <w:sz w:val="20"/>
            </w:rPr>
            <w:fldChar w:fldCharType="begin"/>
          </w:r>
          <w:r w:rsidRPr="00511AFF">
            <w:rPr>
              <w:rStyle w:val="PageNumber"/>
              <w:sz w:val="20"/>
            </w:rPr>
            <w:instrText xml:space="preserve"> PAGE </w:instrText>
          </w:r>
          <w:r w:rsidRPr="00511AFF">
            <w:rPr>
              <w:rStyle w:val="PageNumber"/>
              <w:sz w:val="20"/>
            </w:rPr>
            <w:fldChar w:fldCharType="separate"/>
          </w:r>
          <w:r w:rsidR="002272E4">
            <w:rPr>
              <w:rStyle w:val="PageNumber"/>
              <w:noProof/>
              <w:sz w:val="20"/>
            </w:rPr>
            <w:t>5</w:t>
          </w:r>
          <w:r w:rsidRPr="00511AFF">
            <w:rPr>
              <w:rStyle w:val="PageNumber"/>
              <w:sz w:val="20"/>
            </w:rPr>
            <w:fldChar w:fldCharType="end"/>
          </w:r>
          <w:r w:rsidRPr="00511AFF">
            <w:rPr>
              <w:rStyle w:val="PageNumber"/>
              <w:sz w:val="20"/>
            </w:rPr>
            <w:t xml:space="preserve"> of </w:t>
          </w:r>
          <w:r w:rsidRPr="00511AFF">
            <w:rPr>
              <w:rStyle w:val="PageNumber"/>
              <w:sz w:val="20"/>
            </w:rPr>
            <w:fldChar w:fldCharType="begin"/>
          </w:r>
          <w:r w:rsidRPr="00511AFF">
            <w:rPr>
              <w:rStyle w:val="PageNumber"/>
              <w:sz w:val="20"/>
            </w:rPr>
            <w:instrText xml:space="preserve"> NUMPAGES </w:instrText>
          </w:r>
          <w:r w:rsidRPr="00511AFF">
            <w:rPr>
              <w:rStyle w:val="PageNumber"/>
              <w:sz w:val="20"/>
            </w:rPr>
            <w:fldChar w:fldCharType="separate"/>
          </w:r>
          <w:r w:rsidR="002272E4">
            <w:rPr>
              <w:rStyle w:val="PageNumber"/>
              <w:noProof/>
              <w:sz w:val="20"/>
            </w:rPr>
            <w:t>8</w:t>
          </w:r>
          <w:r w:rsidRPr="00511AFF">
            <w:rPr>
              <w:rStyle w:val="PageNumber"/>
              <w:sz w:val="20"/>
            </w:rPr>
            <w:fldChar w:fldCharType="end"/>
          </w:r>
        </w:p>
      </w:tc>
    </w:tr>
  </w:tbl>
  <w:p w14:paraId="361CA650" w14:textId="77777777" w:rsidR="007623DA" w:rsidRPr="00FA7943" w:rsidRDefault="007623D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53513" w14:textId="77777777" w:rsidR="009725B2" w:rsidRDefault="009725B2" w:rsidP="00497F39">
      <w:r>
        <w:separator/>
      </w:r>
    </w:p>
  </w:footnote>
  <w:footnote w:type="continuationSeparator" w:id="0">
    <w:p w14:paraId="78906008" w14:textId="77777777" w:rsidR="009725B2" w:rsidRDefault="009725B2" w:rsidP="00497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45E1"/>
    <w:multiLevelType w:val="hybridMultilevel"/>
    <w:tmpl w:val="22B29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85B6C"/>
    <w:multiLevelType w:val="hybridMultilevel"/>
    <w:tmpl w:val="84D0B1E2"/>
    <w:lvl w:ilvl="0" w:tplc="7E3E733E">
      <w:numFmt w:val="bullet"/>
      <w:lvlText w:val="-"/>
      <w:lvlJc w:val="left"/>
      <w:pPr>
        <w:ind w:left="440" w:hanging="360"/>
      </w:pPr>
      <w:rPr>
        <w:rFonts w:ascii="Verdana" w:eastAsiaTheme="minorHAnsi" w:hAnsi="Verdana" w:cs="Arial"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2" w15:restartNumberingAfterBreak="0">
    <w:nsid w:val="19772213"/>
    <w:multiLevelType w:val="multilevel"/>
    <w:tmpl w:val="BE78996A"/>
    <w:lvl w:ilvl="0">
      <w:start w:val="1"/>
      <w:numFmt w:val="bullet"/>
      <w:lvlText w:val=""/>
      <w:lvlJc w:val="left"/>
      <w:pPr>
        <w:ind w:left="720" w:hanging="360"/>
      </w:pPr>
      <w:rPr>
        <w:rFonts w:ascii="Symbol" w:hAnsi="Symbol" w:hint="default"/>
        <w:b/>
      </w:rPr>
    </w:lvl>
    <w:lvl w:ilvl="1">
      <w:start w:val="4"/>
      <w:numFmt w:val="decimal"/>
      <w:isLgl/>
      <w:lvlText w:val="%1.%2"/>
      <w:lvlJc w:val="left"/>
      <w:pPr>
        <w:ind w:left="1110" w:hanging="75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 w15:restartNumberingAfterBreak="0">
    <w:nsid w:val="2183612A"/>
    <w:multiLevelType w:val="hybridMultilevel"/>
    <w:tmpl w:val="A9444A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3971261"/>
    <w:multiLevelType w:val="hybridMultilevel"/>
    <w:tmpl w:val="C158E1A2"/>
    <w:lvl w:ilvl="0" w:tplc="4144302E">
      <w:start w:val="1"/>
      <w:numFmt w:val="bullet"/>
      <w:lvlText w:val="-"/>
      <w:lvlJc w:val="left"/>
      <w:pPr>
        <w:ind w:left="720" w:hanging="360"/>
      </w:pPr>
      <w:rPr>
        <w:rFonts w:ascii="Verdana" w:eastAsiaTheme="minorHAnsi"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051A1"/>
    <w:multiLevelType w:val="hybridMultilevel"/>
    <w:tmpl w:val="D87E154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423D2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D817B9"/>
    <w:multiLevelType w:val="multilevel"/>
    <w:tmpl w:val="92D22412"/>
    <w:lvl w:ilvl="0">
      <w:start w:val="1"/>
      <w:numFmt w:val="decimal"/>
      <w:lvlText w:val="%1."/>
      <w:lvlJc w:val="left"/>
      <w:pPr>
        <w:ind w:left="756" w:hanging="360"/>
      </w:pPr>
      <w:rPr>
        <w:rFonts w:hint="default"/>
      </w:rPr>
    </w:lvl>
    <w:lvl w:ilvl="1">
      <w:start w:val="7"/>
      <w:numFmt w:val="decimal"/>
      <w:isLgl/>
      <w:lvlText w:val="%1.%2"/>
      <w:lvlJc w:val="left"/>
      <w:pPr>
        <w:ind w:left="1146" w:hanging="750"/>
      </w:pPr>
      <w:rPr>
        <w:rFonts w:hint="default"/>
      </w:rPr>
    </w:lvl>
    <w:lvl w:ilvl="2">
      <w:start w:val="1"/>
      <w:numFmt w:val="decimal"/>
      <w:isLgl/>
      <w:lvlText w:val="%1.%2.%3"/>
      <w:lvlJc w:val="left"/>
      <w:pPr>
        <w:ind w:left="1476" w:hanging="1080"/>
      </w:pPr>
      <w:rPr>
        <w:rFonts w:hint="default"/>
      </w:rPr>
    </w:lvl>
    <w:lvl w:ilvl="3">
      <w:start w:val="1"/>
      <w:numFmt w:val="decimal"/>
      <w:isLgl/>
      <w:lvlText w:val="%1.%2.%3.%4"/>
      <w:lvlJc w:val="left"/>
      <w:pPr>
        <w:ind w:left="1476" w:hanging="1080"/>
      </w:pPr>
      <w:rPr>
        <w:rFonts w:hint="default"/>
      </w:rPr>
    </w:lvl>
    <w:lvl w:ilvl="4">
      <w:start w:val="1"/>
      <w:numFmt w:val="decimal"/>
      <w:isLgl/>
      <w:lvlText w:val="%1.%2.%3.%4.%5"/>
      <w:lvlJc w:val="left"/>
      <w:pPr>
        <w:ind w:left="1836" w:hanging="1440"/>
      </w:pPr>
      <w:rPr>
        <w:rFonts w:hint="default"/>
      </w:rPr>
    </w:lvl>
    <w:lvl w:ilvl="5">
      <w:start w:val="1"/>
      <w:numFmt w:val="decimal"/>
      <w:isLgl/>
      <w:lvlText w:val="%1.%2.%3.%4.%5.%6"/>
      <w:lvlJc w:val="left"/>
      <w:pPr>
        <w:ind w:left="2196" w:hanging="1800"/>
      </w:pPr>
      <w:rPr>
        <w:rFonts w:hint="default"/>
      </w:rPr>
    </w:lvl>
    <w:lvl w:ilvl="6">
      <w:start w:val="1"/>
      <w:numFmt w:val="decimal"/>
      <w:isLgl/>
      <w:lvlText w:val="%1.%2.%3.%4.%5.%6.%7"/>
      <w:lvlJc w:val="left"/>
      <w:pPr>
        <w:ind w:left="2556" w:hanging="2160"/>
      </w:pPr>
      <w:rPr>
        <w:rFonts w:hint="default"/>
      </w:rPr>
    </w:lvl>
    <w:lvl w:ilvl="7">
      <w:start w:val="1"/>
      <w:numFmt w:val="decimal"/>
      <w:isLgl/>
      <w:lvlText w:val="%1.%2.%3.%4.%5.%6.%7.%8"/>
      <w:lvlJc w:val="left"/>
      <w:pPr>
        <w:ind w:left="2916" w:hanging="2520"/>
      </w:pPr>
      <w:rPr>
        <w:rFonts w:hint="default"/>
      </w:rPr>
    </w:lvl>
    <w:lvl w:ilvl="8">
      <w:start w:val="1"/>
      <w:numFmt w:val="decimal"/>
      <w:isLgl/>
      <w:lvlText w:val="%1.%2.%3.%4.%5.%6.%7.%8.%9"/>
      <w:lvlJc w:val="left"/>
      <w:pPr>
        <w:ind w:left="2916" w:hanging="2520"/>
      </w:pPr>
      <w:rPr>
        <w:rFonts w:hint="default"/>
      </w:rPr>
    </w:lvl>
  </w:abstractNum>
  <w:abstractNum w:abstractNumId="8" w15:restartNumberingAfterBreak="0">
    <w:nsid w:val="3B9A4E46"/>
    <w:multiLevelType w:val="hybridMultilevel"/>
    <w:tmpl w:val="26A866E6"/>
    <w:lvl w:ilvl="0" w:tplc="613801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E812DC"/>
    <w:multiLevelType w:val="hybridMultilevel"/>
    <w:tmpl w:val="5398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322CDA"/>
    <w:multiLevelType w:val="hybridMultilevel"/>
    <w:tmpl w:val="DBD630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D15F1A"/>
    <w:multiLevelType w:val="multilevel"/>
    <w:tmpl w:val="AC2CA644"/>
    <w:styleLink w:val="OutlinenumberedArialOutlinenumberedArial11"/>
    <w:lvl w:ilvl="0">
      <w:start w:val="1"/>
      <w:numFmt w:val="decimal"/>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Arial" w:hAnsi="Arial"/>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01A132D"/>
    <w:multiLevelType w:val="hybridMultilevel"/>
    <w:tmpl w:val="F282E6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F7F3D10"/>
    <w:multiLevelType w:val="hybridMultilevel"/>
    <w:tmpl w:val="2F4240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2673AAD"/>
    <w:multiLevelType w:val="hybridMultilevel"/>
    <w:tmpl w:val="8D740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E252E9"/>
    <w:multiLevelType w:val="hybridMultilevel"/>
    <w:tmpl w:val="FE8614F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F15BDC"/>
    <w:multiLevelType w:val="hybridMultilevel"/>
    <w:tmpl w:val="923A6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5"/>
  </w:num>
  <w:num w:numId="4">
    <w:abstractNumId w:val="11"/>
  </w:num>
  <w:num w:numId="5">
    <w:abstractNumId w:val="10"/>
  </w:num>
  <w:num w:numId="6">
    <w:abstractNumId w:val="15"/>
  </w:num>
  <w:num w:numId="7">
    <w:abstractNumId w:val="13"/>
  </w:num>
  <w:num w:numId="8">
    <w:abstractNumId w:val="8"/>
  </w:num>
  <w:num w:numId="9">
    <w:abstractNumId w:val="4"/>
  </w:num>
  <w:num w:numId="10">
    <w:abstractNumId w:val="16"/>
  </w:num>
  <w:num w:numId="11">
    <w:abstractNumId w:val="7"/>
  </w:num>
  <w:num w:numId="12">
    <w:abstractNumId w:val="9"/>
  </w:num>
  <w:num w:numId="13">
    <w:abstractNumId w:val="3"/>
  </w:num>
  <w:num w:numId="14">
    <w:abstractNumId w:val="0"/>
  </w:num>
  <w:num w:numId="15">
    <w:abstractNumId w:val="1"/>
  </w:num>
  <w:num w:numId="16">
    <w:abstractNumId w:val="2"/>
  </w:num>
  <w:num w:numId="17">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1A5"/>
    <w:rsid w:val="000037FD"/>
    <w:rsid w:val="0000561A"/>
    <w:rsid w:val="00022C5B"/>
    <w:rsid w:val="00033F78"/>
    <w:rsid w:val="00051CDC"/>
    <w:rsid w:val="00051E74"/>
    <w:rsid w:val="0005502D"/>
    <w:rsid w:val="00056DC2"/>
    <w:rsid w:val="00057CFB"/>
    <w:rsid w:val="00080FDF"/>
    <w:rsid w:val="00095710"/>
    <w:rsid w:val="0009647F"/>
    <w:rsid w:val="00097ACD"/>
    <w:rsid w:val="000B1D28"/>
    <w:rsid w:val="000B306B"/>
    <w:rsid w:val="000D3DE1"/>
    <w:rsid w:val="000F24D2"/>
    <w:rsid w:val="000F46F4"/>
    <w:rsid w:val="000F5A72"/>
    <w:rsid w:val="001107EE"/>
    <w:rsid w:val="00121679"/>
    <w:rsid w:val="00123FD2"/>
    <w:rsid w:val="00126327"/>
    <w:rsid w:val="001272F6"/>
    <w:rsid w:val="0013075E"/>
    <w:rsid w:val="00131826"/>
    <w:rsid w:val="00133373"/>
    <w:rsid w:val="00141FC5"/>
    <w:rsid w:val="0016543F"/>
    <w:rsid w:val="00170372"/>
    <w:rsid w:val="00177EC6"/>
    <w:rsid w:val="0018657C"/>
    <w:rsid w:val="001913AB"/>
    <w:rsid w:val="001B2A97"/>
    <w:rsid w:val="001B3428"/>
    <w:rsid w:val="001B6245"/>
    <w:rsid w:val="001C02C6"/>
    <w:rsid w:val="001C305C"/>
    <w:rsid w:val="001C60B5"/>
    <w:rsid w:val="001E5B78"/>
    <w:rsid w:val="00202AB8"/>
    <w:rsid w:val="00211B9D"/>
    <w:rsid w:val="00214BA4"/>
    <w:rsid w:val="0022713F"/>
    <w:rsid w:val="002272E4"/>
    <w:rsid w:val="00250088"/>
    <w:rsid w:val="0025109C"/>
    <w:rsid w:val="00257CD2"/>
    <w:rsid w:val="00262C9F"/>
    <w:rsid w:val="00272C29"/>
    <w:rsid w:val="00273D26"/>
    <w:rsid w:val="0028571A"/>
    <w:rsid w:val="0029024F"/>
    <w:rsid w:val="002B0BC9"/>
    <w:rsid w:val="002B712E"/>
    <w:rsid w:val="002C0A83"/>
    <w:rsid w:val="002C170B"/>
    <w:rsid w:val="002D11B1"/>
    <w:rsid w:val="002E6258"/>
    <w:rsid w:val="002F22A2"/>
    <w:rsid w:val="003018F5"/>
    <w:rsid w:val="00303D21"/>
    <w:rsid w:val="00303F2C"/>
    <w:rsid w:val="00304FD0"/>
    <w:rsid w:val="00305721"/>
    <w:rsid w:val="00322D2E"/>
    <w:rsid w:val="00326EC6"/>
    <w:rsid w:val="00337864"/>
    <w:rsid w:val="00345CAF"/>
    <w:rsid w:val="003461AF"/>
    <w:rsid w:val="00371966"/>
    <w:rsid w:val="003865B6"/>
    <w:rsid w:val="003A3414"/>
    <w:rsid w:val="003B40BB"/>
    <w:rsid w:val="003B4F18"/>
    <w:rsid w:val="003B7361"/>
    <w:rsid w:val="003B7B09"/>
    <w:rsid w:val="003C6952"/>
    <w:rsid w:val="003D3671"/>
    <w:rsid w:val="003F3D59"/>
    <w:rsid w:val="003F3E7F"/>
    <w:rsid w:val="0040037A"/>
    <w:rsid w:val="00407604"/>
    <w:rsid w:val="004100D7"/>
    <w:rsid w:val="00411269"/>
    <w:rsid w:val="0042637D"/>
    <w:rsid w:val="00427779"/>
    <w:rsid w:val="004375CA"/>
    <w:rsid w:val="00455E24"/>
    <w:rsid w:val="0046169C"/>
    <w:rsid w:val="00480353"/>
    <w:rsid w:val="00493078"/>
    <w:rsid w:val="004939C2"/>
    <w:rsid w:val="00496B4F"/>
    <w:rsid w:val="00497F39"/>
    <w:rsid w:val="004A1249"/>
    <w:rsid w:val="004A4626"/>
    <w:rsid w:val="004A6253"/>
    <w:rsid w:val="004B31A5"/>
    <w:rsid w:val="004D632B"/>
    <w:rsid w:val="004E38CC"/>
    <w:rsid w:val="004F24A1"/>
    <w:rsid w:val="00504A87"/>
    <w:rsid w:val="00506C55"/>
    <w:rsid w:val="0052328C"/>
    <w:rsid w:val="00536FA4"/>
    <w:rsid w:val="00544C9E"/>
    <w:rsid w:val="00554429"/>
    <w:rsid w:val="0055720E"/>
    <w:rsid w:val="00561F54"/>
    <w:rsid w:val="00563B5C"/>
    <w:rsid w:val="00564789"/>
    <w:rsid w:val="005767ED"/>
    <w:rsid w:val="00577744"/>
    <w:rsid w:val="00590736"/>
    <w:rsid w:val="005932A7"/>
    <w:rsid w:val="00593A31"/>
    <w:rsid w:val="005B4E75"/>
    <w:rsid w:val="005C7D40"/>
    <w:rsid w:val="005D5FC4"/>
    <w:rsid w:val="005E33CB"/>
    <w:rsid w:val="00600BE6"/>
    <w:rsid w:val="00607476"/>
    <w:rsid w:val="00611958"/>
    <w:rsid w:val="006310BB"/>
    <w:rsid w:val="00657B25"/>
    <w:rsid w:val="00660772"/>
    <w:rsid w:val="00672175"/>
    <w:rsid w:val="00674776"/>
    <w:rsid w:val="00680248"/>
    <w:rsid w:val="00680CAE"/>
    <w:rsid w:val="006826C6"/>
    <w:rsid w:val="0068275A"/>
    <w:rsid w:val="0068334E"/>
    <w:rsid w:val="0068529F"/>
    <w:rsid w:val="006C4A51"/>
    <w:rsid w:val="006D0542"/>
    <w:rsid w:val="006E5611"/>
    <w:rsid w:val="006F654D"/>
    <w:rsid w:val="006F77A4"/>
    <w:rsid w:val="0071099D"/>
    <w:rsid w:val="00720EC2"/>
    <w:rsid w:val="00737008"/>
    <w:rsid w:val="007501DA"/>
    <w:rsid w:val="00754449"/>
    <w:rsid w:val="00756049"/>
    <w:rsid w:val="007623DA"/>
    <w:rsid w:val="00765DF2"/>
    <w:rsid w:val="007764AF"/>
    <w:rsid w:val="007774C7"/>
    <w:rsid w:val="00793C02"/>
    <w:rsid w:val="007A43DB"/>
    <w:rsid w:val="007A47F5"/>
    <w:rsid w:val="007B4060"/>
    <w:rsid w:val="007C45CC"/>
    <w:rsid w:val="007D01C9"/>
    <w:rsid w:val="007D03B8"/>
    <w:rsid w:val="007D04C7"/>
    <w:rsid w:val="007D79E4"/>
    <w:rsid w:val="007E45DA"/>
    <w:rsid w:val="007F7158"/>
    <w:rsid w:val="007F7EA7"/>
    <w:rsid w:val="008036D5"/>
    <w:rsid w:val="00805FAF"/>
    <w:rsid w:val="008123E5"/>
    <w:rsid w:val="00824D05"/>
    <w:rsid w:val="00833AA5"/>
    <w:rsid w:val="00851721"/>
    <w:rsid w:val="008524C0"/>
    <w:rsid w:val="00857182"/>
    <w:rsid w:val="008653E0"/>
    <w:rsid w:val="00872DD5"/>
    <w:rsid w:val="0087331D"/>
    <w:rsid w:val="00880111"/>
    <w:rsid w:val="008902AA"/>
    <w:rsid w:val="00890A9D"/>
    <w:rsid w:val="00893619"/>
    <w:rsid w:val="00897F8D"/>
    <w:rsid w:val="008A2D5F"/>
    <w:rsid w:val="008C12E0"/>
    <w:rsid w:val="008C745A"/>
    <w:rsid w:val="008D4CCD"/>
    <w:rsid w:val="008E334A"/>
    <w:rsid w:val="008E5907"/>
    <w:rsid w:val="008E6140"/>
    <w:rsid w:val="008F1F7E"/>
    <w:rsid w:val="008F5F50"/>
    <w:rsid w:val="00911572"/>
    <w:rsid w:val="00912C7B"/>
    <w:rsid w:val="00916053"/>
    <w:rsid w:val="00921F72"/>
    <w:rsid w:val="009220C8"/>
    <w:rsid w:val="009233B4"/>
    <w:rsid w:val="00923A14"/>
    <w:rsid w:val="009328E2"/>
    <w:rsid w:val="00937617"/>
    <w:rsid w:val="00941424"/>
    <w:rsid w:val="009539A0"/>
    <w:rsid w:val="00961E2C"/>
    <w:rsid w:val="009725B2"/>
    <w:rsid w:val="00980587"/>
    <w:rsid w:val="00980F99"/>
    <w:rsid w:val="00981592"/>
    <w:rsid w:val="0098365C"/>
    <w:rsid w:val="00985A3A"/>
    <w:rsid w:val="009878C1"/>
    <w:rsid w:val="00987E54"/>
    <w:rsid w:val="009B0176"/>
    <w:rsid w:val="009B2519"/>
    <w:rsid w:val="009C0B0C"/>
    <w:rsid w:val="009D501F"/>
    <w:rsid w:val="009F7F6B"/>
    <w:rsid w:val="00A06B87"/>
    <w:rsid w:val="00A10A29"/>
    <w:rsid w:val="00A13215"/>
    <w:rsid w:val="00A250EA"/>
    <w:rsid w:val="00A258A8"/>
    <w:rsid w:val="00A25B36"/>
    <w:rsid w:val="00A279F5"/>
    <w:rsid w:val="00A34009"/>
    <w:rsid w:val="00A41559"/>
    <w:rsid w:val="00A435F1"/>
    <w:rsid w:val="00A53AC9"/>
    <w:rsid w:val="00A56D26"/>
    <w:rsid w:val="00A60C7E"/>
    <w:rsid w:val="00A60D6C"/>
    <w:rsid w:val="00AB112A"/>
    <w:rsid w:val="00AC0FCB"/>
    <w:rsid w:val="00AC45EB"/>
    <w:rsid w:val="00AC5841"/>
    <w:rsid w:val="00AD5A9E"/>
    <w:rsid w:val="00AD7227"/>
    <w:rsid w:val="00AE3D01"/>
    <w:rsid w:val="00AF3146"/>
    <w:rsid w:val="00AF47A0"/>
    <w:rsid w:val="00B00419"/>
    <w:rsid w:val="00B40F2B"/>
    <w:rsid w:val="00B41B6B"/>
    <w:rsid w:val="00B47936"/>
    <w:rsid w:val="00B509E3"/>
    <w:rsid w:val="00B52B29"/>
    <w:rsid w:val="00B71698"/>
    <w:rsid w:val="00B80218"/>
    <w:rsid w:val="00B832D1"/>
    <w:rsid w:val="00B936DE"/>
    <w:rsid w:val="00B94BB0"/>
    <w:rsid w:val="00BA3E2A"/>
    <w:rsid w:val="00BA5A60"/>
    <w:rsid w:val="00BB3531"/>
    <w:rsid w:val="00BB45CB"/>
    <w:rsid w:val="00BB7C8C"/>
    <w:rsid w:val="00BC39AE"/>
    <w:rsid w:val="00BC5B9C"/>
    <w:rsid w:val="00BC5FF9"/>
    <w:rsid w:val="00BF21DF"/>
    <w:rsid w:val="00BF3E39"/>
    <w:rsid w:val="00BF6C74"/>
    <w:rsid w:val="00C0078B"/>
    <w:rsid w:val="00C05D9F"/>
    <w:rsid w:val="00C1444B"/>
    <w:rsid w:val="00C17DDB"/>
    <w:rsid w:val="00C45255"/>
    <w:rsid w:val="00C51451"/>
    <w:rsid w:val="00C84EE5"/>
    <w:rsid w:val="00C87F23"/>
    <w:rsid w:val="00C90ED6"/>
    <w:rsid w:val="00C9163D"/>
    <w:rsid w:val="00C94A10"/>
    <w:rsid w:val="00C96458"/>
    <w:rsid w:val="00CA4D3A"/>
    <w:rsid w:val="00CA4DA9"/>
    <w:rsid w:val="00CA5841"/>
    <w:rsid w:val="00CA7E0D"/>
    <w:rsid w:val="00CB0E6B"/>
    <w:rsid w:val="00CC764D"/>
    <w:rsid w:val="00CD6990"/>
    <w:rsid w:val="00CE6807"/>
    <w:rsid w:val="00CE6EB8"/>
    <w:rsid w:val="00CF7674"/>
    <w:rsid w:val="00D132DA"/>
    <w:rsid w:val="00D24595"/>
    <w:rsid w:val="00D258B8"/>
    <w:rsid w:val="00D25D84"/>
    <w:rsid w:val="00D26E48"/>
    <w:rsid w:val="00D34F08"/>
    <w:rsid w:val="00D41503"/>
    <w:rsid w:val="00D42345"/>
    <w:rsid w:val="00D45A01"/>
    <w:rsid w:val="00D54EFC"/>
    <w:rsid w:val="00D55785"/>
    <w:rsid w:val="00D572F6"/>
    <w:rsid w:val="00D60F40"/>
    <w:rsid w:val="00D64BA8"/>
    <w:rsid w:val="00D713DC"/>
    <w:rsid w:val="00D7168A"/>
    <w:rsid w:val="00D74461"/>
    <w:rsid w:val="00D87080"/>
    <w:rsid w:val="00DA2383"/>
    <w:rsid w:val="00DA7330"/>
    <w:rsid w:val="00DB6CBF"/>
    <w:rsid w:val="00DC499F"/>
    <w:rsid w:val="00DC594E"/>
    <w:rsid w:val="00DE2218"/>
    <w:rsid w:val="00DE7DF5"/>
    <w:rsid w:val="00E01426"/>
    <w:rsid w:val="00E02A10"/>
    <w:rsid w:val="00E07F66"/>
    <w:rsid w:val="00E11F44"/>
    <w:rsid w:val="00E20917"/>
    <w:rsid w:val="00E24001"/>
    <w:rsid w:val="00E263D4"/>
    <w:rsid w:val="00E333F3"/>
    <w:rsid w:val="00E34127"/>
    <w:rsid w:val="00E343B1"/>
    <w:rsid w:val="00E34CEC"/>
    <w:rsid w:val="00E371EA"/>
    <w:rsid w:val="00E37B54"/>
    <w:rsid w:val="00E40307"/>
    <w:rsid w:val="00E42467"/>
    <w:rsid w:val="00E56DBB"/>
    <w:rsid w:val="00E57231"/>
    <w:rsid w:val="00E805CD"/>
    <w:rsid w:val="00E85420"/>
    <w:rsid w:val="00EA23FA"/>
    <w:rsid w:val="00EA4379"/>
    <w:rsid w:val="00EB0841"/>
    <w:rsid w:val="00EB383D"/>
    <w:rsid w:val="00EC6188"/>
    <w:rsid w:val="00EE1810"/>
    <w:rsid w:val="00EE565B"/>
    <w:rsid w:val="00EE7097"/>
    <w:rsid w:val="00EF229F"/>
    <w:rsid w:val="00EF2460"/>
    <w:rsid w:val="00F1076C"/>
    <w:rsid w:val="00F12F90"/>
    <w:rsid w:val="00F254D7"/>
    <w:rsid w:val="00F2582A"/>
    <w:rsid w:val="00F31C10"/>
    <w:rsid w:val="00F43ED8"/>
    <w:rsid w:val="00F47896"/>
    <w:rsid w:val="00F479A1"/>
    <w:rsid w:val="00F555A4"/>
    <w:rsid w:val="00F73280"/>
    <w:rsid w:val="00F95B15"/>
    <w:rsid w:val="00FA1E5C"/>
    <w:rsid w:val="00FA6227"/>
    <w:rsid w:val="00FA62CB"/>
    <w:rsid w:val="00FA7943"/>
    <w:rsid w:val="00FB67EB"/>
    <w:rsid w:val="00FC2859"/>
    <w:rsid w:val="00FC7FAE"/>
    <w:rsid w:val="00FD1D43"/>
    <w:rsid w:val="00FF1936"/>
    <w:rsid w:val="00FF1F6D"/>
    <w:rsid w:val="00FF256C"/>
    <w:rsid w:val="00FF6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61CA599"/>
  <w15:docId w15:val="{27A0FE94-4202-45C9-BFBB-19717749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CAE"/>
    <w:pPr>
      <w:spacing w:after="0" w:line="240" w:lineRule="auto"/>
    </w:pPr>
    <w:rPr>
      <w:rFonts w:ascii="Verdana" w:hAnsi="Verdana"/>
      <w:sz w:val="24"/>
    </w:rPr>
  </w:style>
  <w:style w:type="paragraph" w:styleId="Heading1">
    <w:name w:val="heading 1"/>
    <w:basedOn w:val="Normal"/>
    <w:next w:val="Normal"/>
    <w:link w:val="Heading1Char"/>
    <w:uiPriority w:val="9"/>
    <w:qFormat/>
    <w:rsid w:val="00051E74"/>
    <w:pPr>
      <w:keepNext/>
      <w:keepLines/>
      <w:spacing w:before="48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6F654D"/>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674"/>
    <w:rPr>
      <w:rFonts w:ascii="Tahoma" w:hAnsi="Tahoma" w:cs="Tahoma"/>
      <w:sz w:val="16"/>
      <w:szCs w:val="16"/>
    </w:rPr>
  </w:style>
  <w:style w:type="character" w:customStyle="1" w:styleId="BalloonTextChar">
    <w:name w:val="Balloon Text Char"/>
    <w:basedOn w:val="DefaultParagraphFont"/>
    <w:link w:val="BalloonText"/>
    <w:uiPriority w:val="99"/>
    <w:semiHidden/>
    <w:rsid w:val="00CF7674"/>
    <w:rPr>
      <w:rFonts w:ascii="Tahoma" w:hAnsi="Tahoma" w:cs="Tahoma"/>
      <w:sz w:val="16"/>
      <w:szCs w:val="16"/>
    </w:rPr>
  </w:style>
  <w:style w:type="character" w:styleId="Hyperlink">
    <w:name w:val="Hyperlink"/>
    <w:basedOn w:val="DefaultParagraphFont"/>
    <w:uiPriority w:val="99"/>
    <w:unhideWhenUsed/>
    <w:rsid w:val="00544C9E"/>
    <w:rPr>
      <w:color w:val="0000FF" w:themeColor="hyperlink"/>
      <w:u w:val="single"/>
    </w:rPr>
  </w:style>
  <w:style w:type="paragraph" w:styleId="ListParagraph">
    <w:name w:val="List Paragraph"/>
    <w:basedOn w:val="Normal"/>
    <w:link w:val="ListParagraphChar"/>
    <w:uiPriority w:val="34"/>
    <w:qFormat/>
    <w:rsid w:val="0087331D"/>
    <w:pPr>
      <w:ind w:left="720"/>
      <w:contextualSpacing/>
    </w:pPr>
  </w:style>
  <w:style w:type="character" w:customStyle="1" w:styleId="Heading1Char">
    <w:name w:val="Heading 1 Char"/>
    <w:basedOn w:val="DefaultParagraphFont"/>
    <w:link w:val="Heading1"/>
    <w:uiPriority w:val="9"/>
    <w:rsid w:val="00051E74"/>
    <w:rPr>
      <w:rFonts w:ascii="Verdana" w:eastAsiaTheme="majorEastAsia" w:hAnsi="Verdana" w:cstheme="majorBidi"/>
      <w:b/>
      <w:bCs/>
      <w:sz w:val="24"/>
      <w:szCs w:val="28"/>
    </w:rPr>
  </w:style>
  <w:style w:type="paragraph" w:styleId="Header">
    <w:name w:val="header"/>
    <w:basedOn w:val="Normal"/>
    <w:link w:val="HeaderChar"/>
    <w:uiPriority w:val="99"/>
    <w:unhideWhenUsed/>
    <w:rsid w:val="00497F39"/>
    <w:pPr>
      <w:tabs>
        <w:tab w:val="center" w:pos="4513"/>
        <w:tab w:val="right" w:pos="9026"/>
      </w:tabs>
    </w:pPr>
  </w:style>
  <w:style w:type="character" w:customStyle="1" w:styleId="HeaderChar">
    <w:name w:val="Header Char"/>
    <w:basedOn w:val="DefaultParagraphFont"/>
    <w:link w:val="Header"/>
    <w:uiPriority w:val="99"/>
    <w:rsid w:val="00497F39"/>
  </w:style>
  <w:style w:type="paragraph" w:styleId="Footer">
    <w:name w:val="footer"/>
    <w:basedOn w:val="Normal"/>
    <w:link w:val="FooterChar"/>
    <w:uiPriority w:val="99"/>
    <w:unhideWhenUsed/>
    <w:rsid w:val="00497F39"/>
    <w:pPr>
      <w:tabs>
        <w:tab w:val="center" w:pos="4513"/>
        <w:tab w:val="right" w:pos="9026"/>
      </w:tabs>
    </w:pPr>
  </w:style>
  <w:style w:type="character" w:customStyle="1" w:styleId="FooterChar">
    <w:name w:val="Footer Char"/>
    <w:basedOn w:val="DefaultParagraphFont"/>
    <w:link w:val="Footer"/>
    <w:uiPriority w:val="99"/>
    <w:rsid w:val="00497F39"/>
  </w:style>
  <w:style w:type="paragraph" w:styleId="ListBullet">
    <w:name w:val="List Bullet"/>
    <w:basedOn w:val="Normal"/>
    <w:autoRedefine/>
    <w:rsid w:val="006F654D"/>
    <w:pPr>
      <w:ind w:left="53"/>
    </w:pPr>
    <w:rPr>
      <w:rFonts w:eastAsia="Times New Roman" w:cs="Times New Roman"/>
    </w:rPr>
  </w:style>
  <w:style w:type="character" w:styleId="PageNumber">
    <w:name w:val="page number"/>
    <w:basedOn w:val="DefaultParagraphFont"/>
    <w:rsid w:val="008524C0"/>
  </w:style>
  <w:style w:type="character" w:styleId="CommentReference">
    <w:name w:val="annotation reference"/>
    <w:basedOn w:val="DefaultParagraphFont"/>
    <w:uiPriority w:val="99"/>
    <w:semiHidden/>
    <w:unhideWhenUsed/>
    <w:rsid w:val="00F47896"/>
    <w:rPr>
      <w:sz w:val="16"/>
      <w:szCs w:val="16"/>
    </w:rPr>
  </w:style>
  <w:style w:type="paragraph" w:styleId="CommentText">
    <w:name w:val="annotation text"/>
    <w:basedOn w:val="Normal"/>
    <w:link w:val="CommentTextChar"/>
    <w:uiPriority w:val="99"/>
    <w:unhideWhenUsed/>
    <w:rsid w:val="00F47896"/>
    <w:rPr>
      <w:sz w:val="20"/>
      <w:szCs w:val="20"/>
    </w:rPr>
  </w:style>
  <w:style w:type="character" w:customStyle="1" w:styleId="CommentTextChar">
    <w:name w:val="Comment Text Char"/>
    <w:basedOn w:val="DefaultParagraphFont"/>
    <w:link w:val="CommentText"/>
    <w:uiPriority w:val="99"/>
    <w:rsid w:val="00F47896"/>
    <w:rPr>
      <w:sz w:val="20"/>
      <w:szCs w:val="20"/>
    </w:rPr>
  </w:style>
  <w:style w:type="paragraph" w:styleId="CommentSubject">
    <w:name w:val="annotation subject"/>
    <w:basedOn w:val="CommentText"/>
    <w:next w:val="CommentText"/>
    <w:link w:val="CommentSubjectChar"/>
    <w:uiPriority w:val="99"/>
    <w:semiHidden/>
    <w:unhideWhenUsed/>
    <w:rsid w:val="00F47896"/>
    <w:rPr>
      <w:b/>
      <w:bCs/>
    </w:rPr>
  </w:style>
  <w:style w:type="character" w:customStyle="1" w:styleId="CommentSubjectChar">
    <w:name w:val="Comment Subject Char"/>
    <w:basedOn w:val="CommentTextChar"/>
    <w:link w:val="CommentSubject"/>
    <w:uiPriority w:val="99"/>
    <w:semiHidden/>
    <w:rsid w:val="00F47896"/>
    <w:rPr>
      <w:b/>
      <w:bCs/>
      <w:sz w:val="20"/>
      <w:szCs w:val="20"/>
    </w:rPr>
  </w:style>
  <w:style w:type="character" w:styleId="FollowedHyperlink">
    <w:name w:val="FollowedHyperlink"/>
    <w:basedOn w:val="DefaultParagraphFont"/>
    <w:uiPriority w:val="99"/>
    <w:semiHidden/>
    <w:unhideWhenUsed/>
    <w:rsid w:val="00F47896"/>
    <w:rPr>
      <w:color w:val="800080" w:themeColor="followedHyperlink"/>
      <w:u w:val="single"/>
    </w:rPr>
  </w:style>
  <w:style w:type="character" w:customStyle="1" w:styleId="Heading2Char">
    <w:name w:val="Heading 2 Char"/>
    <w:basedOn w:val="DefaultParagraphFont"/>
    <w:link w:val="Heading2"/>
    <w:uiPriority w:val="9"/>
    <w:rsid w:val="006F654D"/>
    <w:rPr>
      <w:rFonts w:ascii="Verdana" w:eastAsiaTheme="majorEastAsia" w:hAnsi="Verdana" w:cstheme="majorBidi"/>
      <w:b/>
      <w:bCs/>
      <w:sz w:val="24"/>
      <w:szCs w:val="26"/>
    </w:rPr>
  </w:style>
  <w:style w:type="character" w:styleId="PlaceholderText">
    <w:name w:val="Placeholder Text"/>
    <w:basedOn w:val="DefaultParagraphFont"/>
    <w:uiPriority w:val="99"/>
    <w:semiHidden/>
    <w:rsid w:val="00D87080"/>
    <w:rPr>
      <w:color w:val="808080"/>
    </w:rPr>
  </w:style>
  <w:style w:type="paragraph" w:styleId="Date">
    <w:name w:val="Date"/>
    <w:basedOn w:val="Normal"/>
    <w:next w:val="Normal"/>
    <w:link w:val="DateChar"/>
    <w:uiPriority w:val="99"/>
    <w:unhideWhenUsed/>
    <w:rsid w:val="00EE7097"/>
  </w:style>
  <w:style w:type="character" w:customStyle="1" w:styleId="DateChar">
    <w:name w:val="Date Char"/>
    <w:basedOn w:val="DefaultParagraphFont"/>
    <w:link w:val="Date"/>
    <w:uiPriority w:val="99"/>
    <w:rsid w:val="00EE7097"/>
    <w:rPr>
      <w:rFonts w:ascii="Verdana" w:hAnsi="Verdana"/>
      <w:sz w:val="24"/>
    </w:rPr>
  </w:style>
  <w:style w:type="character" w:customStyle="1" w:styleId="Dropdown">
    <w:name w:val="Dropdown"/>
    <w:basedOn w:val="DefaultParagraphFont"/>
    <w:uiPriority w:val="1"/>
    <w:rsid w:val="007D79E4"/>
    <w:rPr>
      <w:rFonts w:ascii="Verdana" w:hAnsi="Verdana"/>
      <w:color w:val="auto"/>
      <w:sz w:val="24"/>
    </w:rPr>
  </w:style>
  <w:style w:type="paragraph" w:customStyle="1" w:styleId="Default">
    <w:name w:val="Default"/>
    <w:rsid w:val="005B4E75"/>
    <w:pPr>
      <w:autoSpaceDE w:val="0"/>
      <w:autoSpaceDN w:val="0"/>
      <w:adjustRightInd w:val="0"/>
      <w:spacing w:after="0" w:line="240" w:lineRule="auto"/>
    </w:pPr>
    <w:rPr>
      <w:rFonts w:ascii="Verdana" w:hAnsi="Verdana" w:cs="Verdana"/>
      <w:color w:val="000000"/>
      <w:sz w:val="24"/>
      <w:szCs w:val="24"/>
    </w:rPr>
  </w:style>
  <w:style w:type="paragraph" w:customStyle="1" w:styleId="CoverSheet">
    <w:name w:val="Cover Sheet"/>
    <w:basedOn w:val="Normal"/>
    <w:rsid w:val="00851721"/>
    <w:pPr>
      <w:spacing w:before="120"/>
    </w:pPr>
    <w:rPr>
      <w:rFonts w:ascii="Arial" w:eastAsia="Times New Roman" w:hAnsi="Arial" w:cs="Arial"/>
      <w:szCs w:val="20"/>
    </w:rPr>
  </w:style>
  <w:style w:type="paragraph" w:customStyle="1" w:styleId="StyleOutlinenumberedArialOutlinenumberedArial11Outli">
    <w:name w:val="Style Outline numbered Arial + Outline numbered Arial 1...1 + Outli..."/>
    <w:basedOn w:val="Normal"/>
    <w:rsid w:val="00DB6CBF"/>
    <w:pPr>
      <w:widowControl w:val="0"/>
      <w:autoSpaceDE w:val="0"/>
      <w:autoSpaceDN w:val="0"/>
      <w:adjustRightInd w:val="0"/>
    </w:pPr>
    <w:rPr>
      <w:rFonts w:ascii="Arial" w:eastAsia="Times New Roman" w:hAnsi="Arial" w:cs="Arial"/>
      <w:b/>
      <w:bCs/>
      <w:szCs w:val="24"/>
    </w:rPr>
  </w:style>
  <w:style w:type="numbering" w:customStyle="1" w:styleId="OutlinenumberedArialOutlinenumberedArial11">
    <w:name w:val="Outline numbered Arial + Outline numbered Arial 1...1"/>
    <w:basedOn w:val="NoList"/>
    <w:rsid w:val="00E20917"/>
    <w:pPr>
      <w:numPr>
        <w:numId w:val="4"/>
      </w:numPr>
    </w:pPr>
  </w:style>
  <w:style w:type="paragraph" w:styleId="BodyText">
    <w:name w:val="Body Text"/>
    <w:basedOn w:val="Normal"/>
    <w:link w:val="BodyTextChar"/>
    <w:uiPriority w:val="1"/>
    <w:qFormat/>
    <w:rsid w:val="00170372"/>
    <w:pPr>
      <w:widowControl w:val="0"/>
      <w:autoSpaceDE w:val="0"/>
      <w:autoSpaceDN w:val="0"/>
    </w:pPr>
    <w:rPr>
      <w:rFonts w:eastAsia="Verdana" w:cs="Verdana"/>
      <w:szCs w:val="24"/>
      <w:lang w:eastAsia="en-GB" w:bidi="en-GB"/>
    </w:rPr>
  </w:style>
  <w:style w:type="character" w:customStyle="1" w:styleId="BodyTextChar">
    <w:name w:val="Body Text Char"/>
    <w:basedOn w:val="DefaultParagraphFont"/>
    <w:link w:val="BodyText"/>
    <w:uiPriority w:val="1"/>
    <w:rsid w:val="00170372"/>
    <w:rPr>
      <w:rFonts w:ascii="Verdana" w:eastAsia="Verdana" w:hAnsi="Verdana" w:cs="Verdana"/>
      <w:sz w:val="24"/>
      <w:szCs w:val="24"/>
      <w:lang w:eastAsia="en-GB" w:bidi="en-GB"/>
    </w:rPr>
  </w:style>
  <w:style w:type="paragraph" w:customStyle="1" w:styleId="TableParagraph">
    <w:name w:val="Table Paragraph"/>
    <w:basedOn w:val="Normal"/>
    <w:uiPriority w:val="1"/>
    <w:qFormat/>
    <w:rsid w:val="00170372"/>
    <w:pPr>
      <w:widowControl w:val="0"/>
      <w:autoSpaceDE w:val="0"/>
      <w:autoSpaceDN w:val="0"/>
    </w:pPr>
    <w:rPr>
      <w:rFonts w:eastAsia="Verdana" w:cs="Verdana"/>
      <w:sz w:val="22"/>
      <w:lang w:eastAsia="en-GB" w:bidi="en-GB"/>
    </w:rPr>
  </w:style>
  <w:style w:type="character" w:customStyle="1" w:styleId="ListParagraphChar">
    <w:name w:val="List Paragraph Char"/>
    <w:basedOn w:val="DefaultParagraphFont"/>
    <w:link w:val="ListParagraph"/>
    <w:uiPriority w:val="34"/>
    <w:locked/>
    <w:rsid w:val="00170372"/>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13064">
      <w:bodyDiv w:val="1"/>
      <w:marLeft w:val="0"/>
      <w:marRight w:val="0"/>
      <w:marTop w:val="0"/>
      <w:marBottom w:val="0"/>
      <w:divBdr>
        <w:top w:val="none" w:sz="0" w:space="0" w:color="auto"/>
        <w:left w:val="none" w:sz="0" w:space="0" w:color="auto"/>
        <w:bottom w:val="none" w:sz="0" w:space="0" w:color="auto"/>
        <w:right w:val="none" w:sz="0" w:space="0" w:color="auto"/>
      </w:divBdr>
    </w:div>
    <w:div w:id="1041782752">
      <w:bodyDiv w:val="1"/>
      <w:marLeft w:val="0"/>
      <w:marRight w:val="0"/>
      <w:marTop w:val="0"/>
      <w:marBottom w:val="0"/>
      <w:divBdr>
        <w:top w:val="none" w:sz="0" w:space="0" w:color="auto"/>
        <w:left w:val="none" w:sz="0" w:space="0" w:color="auto"/>
        <w:bottom w:val="none" w:sz="0" w:space="0" w:color="auto"/>
        <w:right w:val="none" w:sz="0" w:space="0" w:color="auto"/>
      </w:divBdr>
    </w:div>
    <w:div w:id="1461917595">
      <w:bodyDiv w:val="1"/>
      <w:marLeft w:val="0"/>
      <w:marRight w:val="0"/>
      <w:marTop w:val="0"/>
      <w:marBottom w:val="0"/>
      <w:divBdr>
        <w:top w:val="none" w:sz="0" w:space="0" w:color="auto"/>
        <w:left w:val="none" w:sz="0" w:space="0" w:color="auto"/>
        <w:bottom w:val="none" w:sz="0" w:space="0" w:color="auto"/>
        <w:right w:val="none" w:sz="0" w:space="0" w:color="auto"/>
      </w:divBdr>
    </w:div>
    <w:div w:id="185541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howis.wales.nhs.uk/sitesplus/888/page/6454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ales.nhs.uk/governance-emanual/how-the-health-and-care-standards-are-s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1CEBAFED744FBDBE7668212525C5EB"/>
        <w:category>
          <w:name w:val="General"/>
          <w:gallery w:val="placeholder"/>
        </w:category>
        <w:types>
          <w:type w:val="bbPlcHdr"/>
        </w:types>
        <w:behaviors>
          <w:behavior w:val="content"/>
        </w:behaviors>
        <w:guid w:val="{2941FFAD-DA6B-4E5F-9405-F00BD91B0A46}"/>
      </w:docPartPr>
      <w:docPartBody>
        <w:p w:rsidR="00942F3C" w:rsidRDefault="0098440F" w:rsidP="0098440F">
          <w:pPr>
            <w:pStyle w:val="B71CEBAFED744FBDBE7668212525C5EB1"/>
          </w:pPr>
          <w:r w:rsidRPr="007D79E4">
            <w:rPr>
              <w:rStyle w:val="PlaceholderText"/>
              <w:szCs w:val="24"/>
            </w:rPr>
            <w:t>Choose an item.</w:t>
          </w:r>
        </w:p>
      </w:docPartBody>
    </w:docPart>
    <w:docPart>
      <w:docPartPr>
        <w:name w:val="0E25CCC5DD4F43AAA642CDCC18DDB6A6"/>
        <w:category>
          <w:name w:val="General"/>
          <w:gallery w:val="placeholder"/>
        </w:category>
        <w:types>
          <w:type w:val="bbPlcHdr"/>
        </w:types>
        <w:behaviors>
          <w:behavior w:val="content"/>
        </w:behaviors>
        <w:guid w:val="{42DF29C5-85B6-4F9E-8653-A0627D765C50}"/>
      </w:docPartPr>
      <w:docPartBody>
        <w:p w:rsidR="00942F3C" w:rsidRDefault="0098440F" w:rsidP="0098440F">
          <w:pPr>
            <w:pStyle w:val="0E25CCC5DD4F43AAA642CDCC18DDB6A61"/>
          </w:pPr>
          <w:r w:rsidRPr="0013075E">
            <w:rPr>
              <w:rStyle w:val="PlaceholderText"/>
              <w:szCs w:val="24"/>
            </w:rPr>
            <w:t>Choose an item.</w:t>
          </w:r>
        </w:p>
      </w:docPartBody>
    </w:docPart>
    <w:docPart>
      <w:docPartPr>
        <w:name w:val="C04374CD51A040E4BEE1F4C1F29763FE"/>
        <w:category>
          <w:name w:val="General"/>
          <w:gallery w:val="placeholder"/>
        </w:category>
        <w:types>
          <w:type w:val="bbPlcHdr"/>
        </w:types>
        <w:behaviors>
          <w:behavior w:val="content"/>
        </w:behaviors>
        <w:guid w:val="{7659C9B2-A251-47BA-B74D-C69A3BDD1888}"/>
      </w:docPartPr>
      <w:docPartBody>
        <w:p w:rsidR="00FF34A5" w:rsidRDefault="00AA293F" w:rsidP="00AA293F">
          <w:pPr>
            <w:pStyle w:val="C04374CD51A040E4BEE1F4C1F29763FE"/>
          </w:pPr>
          <w:r w:rsidRPr="001C60B5">
            <w:rPr>
              <w:rStyle w:val="PlaceholderText"/>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942F3C"/>
    <w:rsid w:val="003D3909"/>
    <w:rsid w:val="003F4544"/>
    <w:rsid w:val="0045397F"/>
    <w:rsid w:val="004838BF"/>
    <w:rsid w:val="005A164A"/>
    <w:rsid w:val="005A5737"/>
    <w:rsid w:val="00760EAF"/>
    <w:rsid w:val="00884126"/>
    <w:rsid w:val="00895D61"/>
    <w:rsid w:val="008A7CA3"/>
    <w:rsid w:val="00942F3C"/>
    <w:rsid w:val="0095505F"/>
    <w:rsid w:val="0098440F"/>
    <w:rsid w:val="00A12BED"/>
    <w:rsid w:val="00AA293F"/>
    <w:rsid w:val="00B518DF"/>
    <w:rsid w:val="00B661DB"/>
    <w:rsid w:val="00CF449E"/>
    <w:rsid w:val="00E861E6"/>
    <w:rsid w:val="00F66F0C"/>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F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505F"/>
    <w:rPr>
      <w:color w:val="808080"/>
    </w:rPr>
  </w:style>
  <w:style w:type="paragraph" w:customStyle="1" w:styleId="B71CEBAFED744FBDBE7668212525C5EB">
    <w:name w:val="B71CEBAFED744FBDBE7668212525C5EB"/>
    <w:rsid w:val="00942F3C"/>
  </w:style>
  <w:style w:type="paragraph" w:customStyle="1" w:styleId="0E25CCC5DD4F43AAA642CDCC18DDB6A6">
    <w:name w:val="0E25CCC5DD4F43AAA642CDCC18DDB6A6"/>
    <w:rsid w:val="00942F3C"/>
  </w:style>
  <w:style w:type="paragraph" w:customStyle="1" w:styleId="E728F56A42F140A7861FAC2D6EC403FB">
    <w:name w:val="E728F56A42F140A7861FAC2D6EC403FB"/>
    <w:rsid w:val="00942F3C"/>
  </w:style>
  <w:style w:type="paragraph" w:customStyle="1" w:styleId="C3826F269E5A473DAA5766AD56AE5566">
    <w:name w:val="C3826F269E5A473DAA5766AD56AE5566"/>
    <w:rsid w:val="00942F3C"/>
  </w:style>
  <w:style w:type="paragraph" w:customStyle="1" w:styleId="B75A7526F7D84CA2961C6F54688F4FA1">
    <w:name w:val="B75A7526F7D84CA2961C6F54688F4FA1"/>
    <w:rsid w:val="00942F3C"/>
  </w:style>
  <w:style w:type="paragraph" w:customStyle="1" w:styleId="9B8CED89FE6E489186EB32EA798E74F5">
    <w:name w:val="9B8CED89FE6E489186EB32EA798E74F5"/>
    <w:rsid w:val="00942F3C"/>
  </w:style>
  <w:style w:type="paragraph" w:customStyle="1" w:styleId="19A444ACBEA34578BA0CB31422DD2377">
    <w:name w:val="19A444ACBEA34578BA0CB31422DD2377"/>
    <w:rsid w:val="00942F3C"/>
  </w:style>
  <w:style w:type="paragraph" w:customStyle="1" w:styleId="6E50E95D2E43462FBFE7700481AFD396">
    <w:name w:val="6E50E95D2E43462FBFE7700481AFD396"/>
    <w:rsid w:val="00942F3C"/>
  </w:style>
  <w:style w:type="paragraph" w:customStyle="1" w:styleId="909A9F0FBCB944E9A4061B5A549C2BCF">
    <w:name w:val="909A9F0FBCB944E9A4061B5A549C2BCF"/>
    <w:rsid w:val="00942F3C"/>
  </w:style>
  <w:style w:type="paragraph" w:customStyle="1" w:styleId="F6834E3914FE4DD799970AFA163D778F">
    <w:name w:val="F6834E3914FE4DD799970AFA163D778F"/>
    <w:rsid w:val="00942F3C"/>
  </w:style>
  <w:style w:type="paragraph" w:customStyle="1" w:styleId="913BF181E62D408491740A566E17A0A4">
    <w:name w:val="913BF181E62D408491740A566E17A0A4"/>
    <w:rsid w:val="00942F3C"/>
  </w:style>
  <w:style w:type="paragraph" w:customStyle="1" w:styleId="B5E75E7293A34274978C09F7D4B5735C">
    <w:name w:val="B5E75E7293A34274978C09F7D4B5735C"/>
    <w:rsid w:val="00942F3C"/>
  </w:style>
  <w:style w:type="paragraph" w:customStyle="1" w:styleId="E478EFCE71904737AFBE49A1FD0AA882">
    <w:name w:val="E478EFCE71904737AFBE49A1FD0AA882"/>
    <w:rsid w:val="00942F3C"/>
  </w:style>
  <w:style w:type="paragraph" w:customStyle="1" w:styleId="7DDA5CB04D724A5ABF7EAC622872D4FA">
    <w:name w:val="7DDA5CB04D724A5ABF7EAC622872D4FA"/>
    <w:rsid w:val="00942F3C"/>
  </w:style>
  <w:style w:type="paragraph" w:customStyle="1" w:styleId="E58BB02786A64DC3902FB28155850BE6">
    <w:name w:val="E58BB02786A64DC3902FB28155850BE6"/>
    <w:rsid w:val="00942F3C"/>
  </w:style>
  <w:style w:type="paragraph" w:customStyle="1" w:styleId="8952B08D80D8485F8616604608967B5A">
    <w:name w:val="8952B08D80D8485F8616604608967B5A"/>
    <w:rsid w:val="0098440F"/>
    <w:pPr>
      <w:spacing w:after="160" w:line="259" w:lineRule="auto"/>
    </w:pPr>
  </w:style>
  <w:style w:type="paragraph" w:customStyle="1" w:styleId="9CC72616DDE34070956E56C2D18E4A4C">
    <w:name w:val="9CC72616DDE34070956E56C2D18E4A4C"/>
    <w:rsid w:val="0098440F"/>
    <w:pPr>
      <w:spacing w:after="160" w:line="259" w:lineRule="auto"/>
    </w:pPr>
  </w:style>
  <w:style w:type="paragraph" w:customStyle="1" w:styleId="2A98DF3B7D804AE5BB859F2C34349FD5">
    <w:name w:val="2A98DF3B7D804AE5BB859F2C34349FD5"/>
    <w:rsid w:val="0098440F"/>
    <w:pPr>
      <w:spacing w:after="160" w:line="259" w:lineRule="auto"/>
    </w:pPr>
  </w:style>
  <w:style w:type="paragraph" w:customStyle="1" w:styleId="80D911A8548C4A20B0918E044529BA12">
    <w:name w:val="80D911A8548C4A20B0918E044529BA12"/>
    <w:rsid w:val="0098440F"/>
    <w:pPr>
      <w:spacing w:after="160" w:line="259" w:lineRule="auto"/>
    </w:pPr>
  </w:style>
  <w:style w:type="paragraph" w:customStyle="1" w:styleId="398517B14D714148931AD0451FF0A872">
    <w:name w:val="398517B14D714148931AD0451FF0A872"/>
    <w:rsid w:val="0098440F"/>
    <w:pPr>
      <w:spacing w:after="160" w:line="259" w:lineRule="auto"/>
    </w:pPr>
  </w:style>
  <w:style w:type="paragraph" w:customStyle="1" w:styleId="B71CEBAFED744FBDBE7668212525C5EB1">
    <w:name w:val="B71CEBAFED744FBDBE7668212525C5EB1"/>
    <w:rsid w:val="0098440F"/>
    <w:pPr>
      <w:spacing w:after="0" w:line="240" w:lineRule="auto"/>
    </w:pPr>
    <w:rPr>
      <w:rFonts w:ascii="Verdana" w:eastAsiaTheme="minorHAnsi" w:hAnsi="Verdana"/>
      <w:sz w:val="24"/>
      <w:lang w:eastAsia="en-US"/>
    </w:rPr>
  </w:style>
  <w:style w:type="paragraph" w:customStyle="1" w:styleId="0E25CCC5DD4F43AAA642CDCC18DDB6A61">
    <w:name w:val="0E25CCC5DD4F43AAA642CDCC18DDB6A61"/>
    <w:rsid w:val="0098440F"/>
    <w:pPr>
      <w:spacing w:after="0" w:line="240" w:lineRule="auto"/>
    </w:pPr>
    <w:rPr>
      <w:rFonts w:ascii="Verdana" w:eastAsiaTheme="minorHAnsi" w:hAnsi="Verdana"/>
      <w:sz w:val="24"/>
      <w:lang w:eastAsia="en-US"/>
    </w:rPr>
  </w:style>
  <w:style w:type="paragraph" w:customStyle="1" w:styleId="E728F56A42F140A7861FAC2D6EC403FB1">
    <w:name w:val="E728F56A42F140A7861FAC2D6EC403FB1"/>
    <w:rsid w:val="0098440F"/>
    <w:pPr>
      <w:spacing w:after="0" w:line="240" w:lineRule="auto"/>
    </w:pPr>
    <w:rPr>
      <w:rFonts w:ascii="Verdana" w:eastAsiaTheme="minorHAnsi" w:hAnsi="Verdana"/>
      <w:sz w:val="24"/>
      <w:lang w:eastAsia="en-US"/>
    </w:rPr>
  </w:style>
  <w:style w:type="paragraph" w:customStyle="1" w:styleId="C3826F269E5A473DAA5766AD56AE55661">
    <w:name w:val="C3826F269E5A473DAA5766AD56AE55661"/>
    <w:rsid w:val="0098440F"/>
    <w:pPr>
      <w:spacing w:after="0" w:line="240" w:lineRule="auto"/>
    </w:pPr>
    <w:rPr>
      <w:rFonts w:ascii="Verdana" w:eastAsiaTheme="minorHAnsi" w:hAnsi="Verdana"/>
      <w:sz w:val="24"/>
      <w:lang w:eastAsia="en-US"/>
    </w:rPr>
  </w:style>
  <w:style w:type="paragraph" w:customStyle="1" w:styleId="B5E75E7293A34274978C09F7D4B5735C1">
    <w:name w:val="B5E75E7293A34274978C09F7D4B5735C1"/>
    <w:rsid w:val="0098440F"/>
    <w:pPr>
      <w:spacing w:after="0" w:line="240" w:lineRule="auto"/>
    </w:pPr>
    <w:rPr>
      <w:rFonts w:ascii="Verdana" w:eastAsiaTheme="minorHAnsi" w:hAnsi="Verdana"/>
      <w:sz w:val="24"/>
      <w:lang w:eastAsia="en-US"/>
    </w:rPr>
  </w:style>
  <w:style w:type="paragraph" w:customStyle="1" w:styleId="9B8CED89FE6E489186EB32EA798E74F51">
    <w:name w:val="9B8CED89FE6E489186EB32EA798E74F51"/>
    <w:rsid w:val="0098440F"/>
    <w:pPr>
      <w:spacing w:after="0" w:line="240" w:lineRule="auto"/>
    </w:pPr>
    <w:rPr>
      <w:rFonts w:ascii="Verdana" w:eastAsiaTheme="minorHAnsi" w:hAnsi="Verdana"/>
      <w:sz w:val="24"/>
      <w:lang w:eastAsia="en-US"/>
    </w:rPr>
  </w:style>
  <w:style w:type="paragraph" w:customStyle="1" w:styleId="19A444ACBEA34578BA0CB31422DD23771">
    <w:name w:val="19A444ACBEA34578BA0CB31422DD23771"/>
    <w:rsid w:val="0098440F"/>
    <w:pPr>
      <w:spacing w:after="0" w:line="240" w:lineRule="auto"/>
    </w:pPr>
    <w:rPr>
      <w:rFonts w:ascii="Verdana" w:eastAsiaTheme="minorHAnsi" w:hAnsi="Verdana"/>
      <w:sz w:val="24"/>
      <w:lang w:eastAsia="en-US"/>
    </w:rPr>
  </w:style>
  <w:style w:type="paragraph" w:customStyle="1" w:styleId="8952B08D80D8485F8616604608967B5A1">
    <w:name w:val="8952B08D80D8485F8616604608967B5A1"/>
    <w:rsid w:val="0098440F"/>
    <w:pPr>
      <w:spacing w:after="0" w:line="240" w:lineRule="auto"/>
    </w:pPr>
    <w:rPr>
      <w:rFonts w:ascii="Verdana" w:eastAsiaTheme="minorHAnsi" w:hAnsi="Verdana"/>
      <w:sz w:val="24"/>
      <w:lang w:eastAsia="en-US"/>
    </w:rPr>
  </w:style>
  <w:style w:type="paragraph" w:customStyle="1" w:styleId="80D911A8548C4A20B0918E044529BA121">
    <w:name w:val="80D911A8548C4A20B0918E044529BA121"/>
    <w:rsid w:val="0098440F"/>
    <w:pPr>
      <w:spacing w:after="0" w:line="240" w:lineRule="auto"/>
    </w:pPr>
    <w:rPr>
      <w:rFonts w:ascii="Verdana" w:eastAsiaTheme="minorHAnsi" w:hAnsi="Verdana"/>
      <w:sz w:val="24"/>
      <w:lang w:eastAsia="en-US"/>
    </w:rPr>
  </w:style>
  <w:style w:type="paragraph" w:customStyle="1" w:styleId="398517B14D714148931AD0451FF0A8721">
    <w:name w:val="398517B14D714148931AD0451FF0A8721"/>
    <w:rsid w:val="0098440F"/>
    <w:pPr>
      <w:spacing w:after="0" w:line="240" w:lineRule="auto"/>
    </w:pPr>
    <w:rPr>
      <w:rFonts w:ascii="Verdana" w:eastAsiaTheme="minorHAnsi" w:hAnsi="Verdana"/>
      <w:sz w:val="24"/>
      <w:lang w:eastAsia="en-US"/>
    </w:rPr>
  </w:style>
  <w:style w:type="paragraph" w:customStyle="1" w:styleId="4C6AAE8593DC4F618353CDFCD416CA79">
    <w:name w:val="4C6AAE8593DC4F618353CDFCD416CA79"/>
    <w:rsid w:val="00760EAF"/>
    <w:pPr>
      <w:spacing w:after="160" w:line="259" w:lineRule="auto"/>
    </w:pPr>
  </w:style>
  <w:style w:type="paragraph" w:customStyle="1" w:styleId="04161E0AAEEB4A8D8206571FD0CE6466">
    <w:name w:val="04161E0AAEEB4A8D8206571FD0CE6466"/>
    <w:rsid w:val="00760EAF"/>
    <w:pPr>
      <w:spacing w:after="160" w:line="259" w:lineRule="auto"/>
    </w:pPr>
  </w:style>
  <w:style w:type="paragraph" w:customStyle="1" w:styleId="81B00BAB8DF44AD2AB7819CCAAFC9EC8">
    <w:name w:val="81B00BAB8DF44AD2AB7819CCAAFC9EC8"/>
    <w:rsid w:val="00760EAF"/>
    <w:pPr>
      <w:spacing w:after="160" w:line="259" w:lineRule="auto"/>
    </w:pPr>
  </w:style>
  <w:style w:type="paragraph" w:customStyle="1" w:styleId="0ECE6A1159A64539822741CFAE2C9B30">
    <w:name w:val="0ECE6A1159A64539822741CFAE2C9B30"/>
    <w:rsid w:val="00760EAF"/>
    <w:pPr>
      <w:spacing w:after="160" w:line="259" w:lineRule="auto"/>
    </w:pPr>
  </w:style>
  <w:style w:type="paragraph" w:customStyle="1" w:styleId="5A5F231099F942BDB087759F1EF38FEA">
    <w:name w:val="5A5F231099F942BDB087759F1EF38FEA"/>
    <w:rsid w:val="00760EAF"/>
    <w:pPr>
      <w:spacing w:after="160" w:line="259" w:lineRule="auto"/>
    </w:pPr>
  </w:style>
  <w:style w:type="paragraph" w:customStyle="1" w:styleId="95C6797B0A2E4F0B84E72883EFECD809">
    <w:name w:val="95C6797B0A2E4F0B84E72883EFECD809"/>
    <w:rsid w:val="00760EAF"/>
    <w:pPr>
      <w:spacing w:after="160" w:line="259" w:lineRule="auto"/>
    </w:pPr>
  </w:style>
  <w:style w:type="paragraph" w:customStyle="1" w:styleId="C04374CD51A040E4BEE1F4C1F29763FE">
    <w:name w:val="C04374CD51A040E4BEE1F4C1F29763FE"/>
    <w:rsid w:val="00AA293F"/>
    <w:pPr>
      <w:spacing w:after="160" w:line="259" w:lineRule="auto"/>
    </w:pPr>
  </w:style>
  <w:style w:type="paragraph" w:customStyle="1" w:styleId="5725F11CA3AB4BF7861CEAA56AA1D24C">
    <w:name w:val="5725F11CA3AB4BF7861CEAA56AA1D24C"/>
    <w:rsid w:val="0045397F"/>
    <w:pPr>
      <w:spacing w:after="160" w:line="259" w:lineRule="auto"/>
    </w:pPr>
  </w:style>
  <w:style w:type="paragraph" w:customStyle="1" w:styleId="7F00E96D11CF4307AC6771E4BB14B953">
    <w:name w:val="7F00E96D11CF4307AC6771E4BB14B953"/>
    <w:rsid w:val="0045397F"/>
    <w:pPr>
      <w:spacing w:after="160" w:line="259" w:lineRule="auto"/>
    </w:pPr>
  </w:style>
  <w:style w:type="paragraph" w:customStyle="1" w:styleId="5A753FB1D9E14086A408EB643958D1AA">
    <w:name w:val="5A753FB1D9E14086A408EB643958D1AA"/>
    <w:rsid w:val="004838BF"/>
    <w:pPr>
      <w:spacing w:after="160" w:line="259" w:lineRule="auto"/>
    </w:pPr>
  </w:style>
  <w:style w:type="paragraph" w:customStyle="1" w:styleId="F93CAFC8B8E34EB6A8C84A0546774BB5">
    <w:name w:val="F93CAFC8B8E34EB6A8C84A0546774BB5"/>
    <w:rsid w:val="004838BF"/>
    <w:pPr>
      <w:spacing w:after="160" w:line="259" w:lineRule="auto"/>
    </w:pPr>
  </w:style>
  <w:style w:type="paragraph" w:customStyle="1" w:styleId="E19A39A2DC34427782303866B501EF52">
    <w:name w:val="E19A39A2DC34427782303866B501EF52"/>
    <w:rsid w:val="004838BF"/>
    <w:pPr>
      <w:spacing w:after="160" w:line="259" w:lineRule="auto"/>
    </w:pPr>
  </w:style>
  <w:style w:type="paragraph" w:customStyle="1" w:styleId="4037A60F381647269327C3491F818BF7">
    <w:name w:val="4037A60F381647269327C3491F818BF7"/>
    <w:rsid w:val="004838BF"/>
    <w:pPr>
      <w:spacing w:after="160" w:line="259" w:lineRule="auto"/>
    </w:pPr>
  </w:style>
  <w:style w:type="paragraph" w:customStyle="1" w:styleId="D15E54ABA34E4E0F99D5B908B10F2AB7">
    <w:name w:val="D15E54ABA34E4E0F99D5B908B10F2AB7"/>
    <w:rsid w:val="0095505F"/>
    <w:pPr>
      <w:spacing w:after="160" w:line="259" w:lineRule="auto"/>
    </w:pPr>
  </w:style>
  <w:style w:type="paragraph" w:customStyle="1" w:styleId="B26E0693171846A09B7692244F099471">
    <w:name w:val="B26E0693171846A09B7692244F099471"/>
    <w:rsid w:val="0095505F"/>
    <w:pPr>
      <w:spacing w:after="160" w:line="259" w:lineRule="auto"/>
    </w:pPr>
  </w:style>
  <w:style w:type="paragraph" w:customStyle="1" w:styleId="CECF04A7E62240329DDF885426118D7C">
    <w:name w:val="CECF04A7E62240329DDF885426118D7C"/>
    <w:rsid w:val="0095505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85055D04C02241AF4759873DF8334B" ma:contentTypeVersion="29" ma:contentTypeDescription="Document with Enterprise Keyword column." ma:contentTypeScope="" ma:versionID="157275ac0c35055e6a3a4cb3467c48e6">
  <xsd:schema xmlns:xsd="http://www.w3.org/2001/XMLSchema" xmlns:xs="http://www.w3.org/2001/XMLSchema" xmlns:p="http://schemas.microsoft.com/office/2006/metadata/properties" xmlns:ns1="http://schemas.microsoft.com/sharepoint/v3" xmlns:ns2="fd053438-771b-42ba-9d81-01aaf027653a" xmlns:ns3="573deb0b-1af8-4c22-839e-5226f9086661" xmlns:ns4="http://schemas.microsoft.com/sharepoint/v4" targetNamespace="http://schemas.microsoft.com/office/2006/metadata/properties" ma:root="true" ma:fieldsID="887349ad8097a8f58d1bb95b9d8028a8" ns1:_="" ns2:_="" ns3:_="" ns4:_="">
    <xsd:import namespace="http://schemas.microsoft.com/sharepoint/v3"/>
    <xsd:import namespace="fd053438-771b-42ba-9d81-01aaf027653a"/>
    <xsd:import namespace="573deb0b-1af8-4c22-839e-5226f908666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3:TaxCatchAll" minOccurs="0"/>
                <xsd:element ref="ns3:Archived"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description="" ma:hidden="true" ma:internalName="EmailSender" ma:readOnly="false">
      <xsd:simpleType>
        <xsd:restriction base="dms:Note">
          <xsd:maxLength value="255"/>
        </xsd:restriction>
      </xsd:simpleType>
    </xsd:element>
    <xsd:element name="EmailTo" ma:index="12" nillable="true" ma:displayName="E-Mail To" ma:description="" ma:hidden="true" ma:internalName="EmailTo" ma:readOnly="false">
      <xsd:simpleType>
        <xsd:restriction base="dms:Note">
          <xsd:maxLength value="255"/>
        </xsd:restriction>
      </xsd:simpleType>
    </xsd:element>
    <xsd:element name="EmailCc" ma:index="13" nillable="true" ma:displayName="E-Mail Cc" ma:description="" ma:hidden="true" ma:internalName="EmailCc" ma:readOnly="false">
      <xsd:simpleType>
        <xsd:restriction base="dms:Note">
          <xsd:maxLength value="255"/>
        </xsd:restriction>
      </xsd:simpleType>
    </xsd:element>
    <xsd:element name="EmailFrom" ma:index="14" nillable="true" ma:displayName="E-Mail From" ma:description="" ma:hidden="true" ma:internalName="EmailFrom" ma:readOnly="false">
      <xsd:simpleType>
        <xsd:restriction base="dms:Text"/>
      </xsd:simpleType>
    </xsd:element>
    <xsd:element name="EmailSubject" ma:index="15" nillable="true" ma:displayName="E-Mail Subject" ma:description="" ma:hidden="true" ma:internalName="EmailSubjec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053438-771b-42ba-9d81-01aaf027653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3deb0b-1af8-4c22-839e-5226f9086661" elementFormDefault="qualified">
    <xsd:import namespace="http://schemas.microsoft.com/office/2006/documentManagement/types"/>
    <xsd:import namespace="http://schemas.microsoft.com/office/infopath/2007/PartnerControls"/>
    <xsd:element name="TaxKeywordTaxHTField" ma:index="7" nillable="true" ma:taxonomy="true" ma:internalName="TaxKeywordTaxHTField" ma:taxonomyFieldName="TaxKeyword" ma:displayName="Enterprise Keywords" ma:readOnly="false" ma:fieldId="{23f27201-bee3-471e-b2e7-b64fd8b7ca38}" ma:taxonomyMulti="true" ma:sspId="64f761c4-cb64-4933-b1ae-cbeaa3c9865a" ma:termSetId="00000000-0000-0000-0000-000000000000" ma:anchorId="00000000-0000-0000-0000-000000000000" ma:open="true" ma:isKeyword="true">
      <xsd:complexType>
        <xsd:sequence>
          <xsd:element ref="pc:Terms" minOccurs="0" maxOccurs="1"/>
        </xsd:sequence>
      </xsd:complexType>
    </xsd:element>
    <xsd:element name="TaxCatchAll" ma:index="8" nillable="true" ma:displayName="Taxonomy Catch All Column" ma:hidden="true" ma:list="{03c2ea0b-a94f-4569-805f-1911d84595fa}" ma:internalName="TaxCatchAll" ma:showField="CatchAllData" ma:web="fd053438-771b-42ba-9d81-01aaf027653a">
      <xsd:complexType>
        <xsd:complexContent>
          <xsd:extension base="dms:MultiChoiceLookup">
            <xsd:sequence>
              <xsd:element name="Value" type="dms:Lookup" maxOccurs="unbounded" minOccurs="0" nillable="true"/>
            </xsd:sequence>
          </xsd:extension>
        </xsd:complexContent>
      </xsd:complexType>
    </xsd:element>
    <xsd:element name="Archived" ma:index="10" nillable="true" ma:displayName="Archived" ma:default="0" ma:internalName="Archiv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description="" ma:hidden="true" ma:internalName="EmailHeader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TaxCatchAll xmlns="573deb0b-1af8-4c22-839e-5226f9086661">
      <Value>12</Value>
    </TaxCatchAll>
    <Archived xmlns="573deb0b-1af8-4c22-839e-5226f9086661">false</Archived>
    <EmailSubject xmlns="http://schemas.microsoft.com/sharepoint/v3" xsi:nil="true"/>
    <TaxKeywordTaxHTField xmlns="573deb0b-1af8-4c22-839e-5226f9086661">
      <Terms xmlns="http://schemas.microsoft.com/office/infopath/2007/PartnerControls">
        <TermInfo xmlns="http://schemas.microsoft.com/office/infopath/2007/PartnerControls">
          <TermName xmlns="http://schemas.microsoft.com/office/infopath/2007/PartnerControls">board committee</TermName>
          <TermId xmlns="http://schemas.microsoft.com/office/infopath/2007/PartnerControls">4c59d375-e8fe-4895-99f7-de1ea7bd2bf6</TermId>
        </TermInfo>
      </Terms>
    </TaxKeywordTaxHTField>
    <EmailCc xmlns="http://schemas.microsoft.com/sharepoint/v3" xsi:nil="true"/>
    <_dlc_DocId xmlns="fd053438-771b-42ba-9d81-01aaf027653a">KN3KN54Q7VUQ-4-10</_dlc_DocId>
    <_dlc_DocIdUrl xmlns="fd053438-771b-42ba-9d81-01aaf027653a">
      <Url>https://phwsharepoint.cymru.nhs.uk/corporate/governance/_layouts/15/DocIdRedir.aspx?ID=KN3KN54Q7VUQ-4-10</Url>
      <Description>KN3KN54Q7VUQ-4-10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A5339A-CF00-4DA8-8650-353C70535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053438-771b-42ba-9d81-01aaf027653a"/>
    <ds:schemaRef ds:uri="573deb0b-1af8-4c22-839e-5226f90866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E4FD6-408B-48BD-A088-9C453C496D1C}">
  <ds:schemaRefs>
    <ds:schemaRef ds:uri="http://schemas.microsoft.com/office/infopath/2007/PartnerControls"/>
    <ds:schemaRef ds:uri="http://purl.org/dc/elements/1.1/"/>
    <ds:schemaRef ds:uri="http://schemas.microsoft.com/office/2006/metadata/properties"/>
    <ds:schemaRef ds:uri="573deb0b-1af8-4c22-839e-5226f9086661"/>
    <ds:schemaRef ds:uri="http://schemas.microsoft.com/sharepoint/v3"/>
    <ds:schemaRef ds:uri="http://schemas.microsoft.com/sharepoint/v4"/>
    <ds:schemaRef ds:uri="http://purl.org/dc/terms/"/>
    <ds:schemaRef ds:uri="http://schemas.openxmlformats.org/package/2006/metadata/core-properties"/>
    <ds:schemaRef ds:uri="fd053438-771b-42ba-9d81-01aaf027653a"/>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DFA5BFB1-DBC1-4C9C-BF71-FDBD58C908F8}">
  <ds:schemaRefs>
    <ds:schemaRef ds:uri="http://schemas.microsoft.com/sharepoint/v3/contenttype/forms"/>
  </ds:schemaRefs>
</ds:datastoreItem>
</file>

<file path=customXml/itemProps4.xml><?xml version="1.0" encoding="utf-8"?>
<ds:datastoreItem xmlns:ds="http://schemas.openxmlformats.org/officeDocument/2006/customXml" ds:itemID="{9752606F-CDE7-4DEF-90F7-815D06D30DF2}">
  <ds:schemaRefs>
    <ds:schemaRef ds:uri="http://schemas.microsoft.com/sharepoint/events"/>
  </ds:schemaRefs>
</ds:datastoreItem>
</file>

<file path=customXml/itemProps5.xml><?xml version="1.0" encoding="utf-8"?>
<ds:datastoreItem xmlns:ds="http://schemas.openxmlformats.org/officeDocument/2006/customXml" ds:itemID="{F1334BF7-569A-4055-A00B-FF28CDAF3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8</Pages>
  <Words>1557</Words>
  <Characters>8876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Board and Committe template 2019</vt:lpstr>
    </vt:vector>
  </TitlesOfParts>
  <Company>Public Health Wales</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and Committe template 2019</dc:title>
  <dc:creator>Cathie Steele</dc:creator>
  <cp:keywords>board committee</cp:keywords>
  <cp:lastModifiedBy>Helen Bushell (Public Health Wales - No. 2 Capital Quarter)</cp:lastModifiedBy>
  <cp:revision>16</cp:revision>
  <cp:lastPrinted>2017-10-16T08:46:00Z</cp:lastPrinted>
  <dcterms:created xsi:type="dcterms:W3CDTF">2021-05-17T14:24:00Z</dcterms:created>
  <dcterms:modified xsi:type="dcterms:W3CDTF">2021-05-21T13:11:00Z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0x0101002085055D04C02241AF4759873DF8334B</vt:lpwstr>
  </property>
  <property fmtid="{D5CDD505-2E9C-101B-9397-08002B2CF9AE}" pid="3" name="_dlc_DocIdItemGuid">
    <vt:lpwstr>a1c43624-a7f3-40e9-a413-8921fd834b29</vt:lpwstr>
  </property>
  <property fmtid="{D5CDD505-2E9C-101B-9397-08002B2CF9AE}" pid="4" name="TaxKeyword">
    <vt:lpwstr>12;#board committee|4c59d375-e8fe-4895-99f7-de1ea7bd2bf6</vt:lpwstr>
  </property>
</Properties>
</file>