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7433A34E" w14:textId="77777777" w:rsidTr="0FEA59EA">
        <w:tc>
          <w:tcPr>
            <w:tcW w:w="5202" w:type="dxa"/>
            <w:gridSpan w:val="4"/>
            <w:vMerge w:val="restart"/>
          </w:tcPr>
          <w:p w14:paraId="7DCE6783" w14:textId="77777777" w:rsidR="0013075E" w:rsidRPr="008F1F7E" w:rsidRDefault="0013075E" w:rsidP="00CF7674">
            <w:r w:rsidRPr="008F1F7E">
              <w:rPr>
                <w:b/>
                <w:noProof/>
                <w:lang w:eastAsia="en-GB"/>
              </w:rPr>
              <w:drawing>
                <wp:inline distT="0" distB="0" distL="0" distR="0" wp14:anchorId="7D21C4C8" wp14:editId="13872418">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72660885"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4F61C0F0" w14:textId="7EA6C20A" w:rsidR="0013075E" w:rsidRPr="00EE7097" w:rsidRDefault="00BF3CAE" w:rsidP="00EE7097">
                <w:pPr>
                  <w:jc w:val="right"/>
                  <w:rPr>
                    <w:b/>
                    <w:szCs w:val="24"/>
                  </w:rPr>
                </w:pPr>
                <w:r>
                  <w:rPr>
                    <w:rStyle w:val="Dropdown"/>
                  </w:rPr>
                  <w:t>Board</w:t>
                </w:r>
              </w:p>
            </w:sdtContent>
          </w:sdt>
        </w:tc>
      </w:tr>
      <w:tr w:rsidR="0013075E" w:rsidRPr="008F1F7E" w14:paraId="3804801A" w14:textId="77777777" w:rsidTr="0FEA59EA">
        <w:tc>
          <w:tcPr>
            <w:tcW w:w="5202" w:type="dxa"/>
            <w:gridSpan w:val="4"/>
            <w:vMerge/>
          </w:tcPr>
          <w:p w14:paraId="7C0CEBA8" w14:textId="77777777" w:rsidR="0013075E" w:rsidRPr="008F1F7E" w:rsidRDefault="0013075E" w:rsidP="00CF7674">
            <w:pPr>
              <w:rPr>
                <w:b/>
                <w:noProof/>
                <w:lang w:eastAsia="en-GB"/>
              </w:rPr>
            </w:pPr>
          </w:p>
        </w:tc>
        <w:tc>
          <w:tcPr>
            <w:tcW w:w="4040" w:type="dxa"/>
            <w:gridSpan w:val="3"/>
            <w:tcBorders>
              <w:top w:val="nil"/>
              <w:bottom w:val="nil"/>
            </w:tcBorders>
          </w:tcPr>
          <w:p w14:paraId="16B983D8" w14:textId="77777777" w:rsidR="00D34F08" w:rsidRPr="00D34F08" w:rsidRDefault="00D34F08" w:rsidP="00EE7097">
            <w:pPr>
              <w:jc w:val="right"/>
              <w:rPr>
                <w:b/>
              </w:rPr>
            </w:pPr>
            <w:r w:rsidRPr="00D34F08">
              <w:rPr>
                <w:b/>
              </w:rPr>
              <w:t>Date of Meeting</w:t>
            </w:r>
          </w:p>
          <w:p w14:paraId="6603BA07" w14:textId="2959004E" w:rsidR="0013075E" w:rsidRPr="00135947" w:rsidRDefault="007C2C46" w:rsidP="004377A5">
            <w:pPr>
              <w:jc w:val="right"/>
              <w:rPr>
                <w:color w:val="FF0000"/>
              </w:rPr>
            </w:pPr>
            <w:r>
              <w:t>27 May</w:t>
            </w:r>
            <w:r w:rsidR="00135947" w:rsidRPr="00135947">
              <w:t xml:space="preserve"> 2021</w:t>
            </w:r>
          </w:p>
        </w:tc>
      </w:tr>
      <w:tr w:rsidR="00135947" w:rsidRPr="00135947" w14:paraId="4060ABB6" w14:textId="77777777" w:rsidTr="0FEA59EA">
        <w:tc>
          <w:tcPr>
            <w:tcW w:w="5202" w:type="dxa"/>
            <w:gridSpan w:val="4"/>
            <w:vMerge/>
          </w:tcPr>
          <w:p w14:paraId="1FB32BF5"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37AA068F" w14:textId="77777777" w:rsidR="0013075E" w:rsidRPr="00135947" w:rsidRDefault="0013075E" w:rsidP="00EE7097">
            <w:pPr>
              <w:jc w:val="right"/>
              <w:rPr>
                <w:b/>
              </w:rPr>
            </w:pPr>
            <w:r w:rsidRPr="00135947">
              <w:rPr>
                <w:b/>
              </w:rPr>
              <w:t>Agenda item:</w:t>
            </w:r>
          </w:p>
          <w:p w14:paraId="10CA6A67" w14:textId="35DBE7EB" w:rsidR="0013075E" w:rsidRPr="00135947" w:rsidRDefault="00836BCD" w:rsidP="00EE7097">
            <w:pPr>
              <w:jc w:val="right"/>
            </w:pPr>
            <w:r>
              <w:t>5.4</w:t>
            </w:r>
          </w:p>
        </w:tc>
      </w:tr>
      <w:tr w:rsidR="00EE7097" w:rsidRPr="008F1F7E" w14:paraId="6E55B9B9" w14:textId="77777777" w:rsidTr="0FEA59EA">
        <w:tc>
          <w:tcPr>
            <w:tcW w:w="9242" w:type="dxa"/>
            <w:gridSpan w:val="7"/>
            <w:tcBorders>
              <w:left w:val="nil"/>
              <w:right w:val="nil"/>
            </w:tcBorders>
            <w:vAlign w:val="center"/>
          </w:tcPr>
          <w:p w14:paraId="57A84B18" w14:textId="77777777" w:rsidR="00D34F08" w:rsidRPr="00912C7B" w:rsidRDefault="00D34F08" w:rsidP="00C3069B">
            <w:pPr>
              <w:jc w:val="center"/>
              <w:rPr>
                <w:b/>
                <w:sz w:val="28"/>
              </w:rPr>
            </w:pPr>
          </w:p>
        </w:tc>
      </w:tr>
      <w:tr w:rsidR="00EE7097" w:rsidRPr="008F1F7E" w14:paraId="73DF9F4E" w14:textId="77777777" w:rsidTr="0FEA59EA">
        <w:tc>
          <w:tcPr>
            <w:tcW w:w="9242" w:type="dxa"/>
            <w:gridSpan w:val="7"/>
            <w:vAlign w:val="center"/>
          </w:tcPr>
          <w:p w14:paraId="69C2DE86" w14:textId="3FB4381B" w:rsidR="00EE7097" w:rsidRPr="00D34F08" w:rsidRDefault="007C2C46" w:rsidP="00D34F08">
            <w:pPr>
              <w:jc w:val="center"/>
              <w:rPr>
                <w:b/>
                <w:sz w:val="36"/>
                <w:szCs w:val="36"/>
              </w:rPr>
            </w:pPr>
            <w:r>
              <w:rPr>
                <w:b/>
                <w:sz w:val="36"/>
                <w:szCs w:val="36"/>
              </w:rPr>
              <w:t>Model Standing Financial Instructions</w:t>
            </w:r>
          </w:p>
        </w:tc>
      </w:tr>
      <w:tr w:rsidR="00EE7097" w:rsidRPr="001C60B5" w14:paraId="4624E723" w14:textId="77777777" w:rsidTr="0FEA59EA">
        <w:tc>
          <w:tcPr>
            <w:tcW w:w="2802" w:type="dxa"/>
            <w:gridSpan w:val="2"/>
          </w:tcPr>
          <w:p w14:paraId="64EF715D" w14:textId="77777777" w:rsidR="00EE7097" w:rsidRPr="001C60B5" w:rsidRDefault="00EE7097">
            <w:pPr>
              <w:rPr>
                <w:b/>
                <w:szCs w:val="24"/>
              </w:rPr>
            </w:pPr>
            <w:r w:rsidRPr="001C60B5">
              <w:rPr>
                <w:b/>
                <w:szCs w:val="24"/>
              </w:rPr>
              <w:t>Executive lead:</w:t>
            </w:r>
          </w:p>
        </w:tc>
        <w:tc>
          <w:tcPr>
            <w:tcW w:w="6440" w:type="dxa"/>
            <w:gridSpan w:val="5"/>
          </w:tcPr>
          <w:p w14:paraId="50DCEAB4" w14:textId="5F580584" w:rsidR="00EE7097" w:rsidRPr="00C3069B" w:rsidRDefault="007C2C46">
            <w:pPr>
              <w:rPr>
                <w:szCs w:val="24"/>
              </w:rPr>
            </w:pPr>
            <w:r>
              <w:rPr>
                <w:szCs w:val="24"/>
              </w:rPr>
              <w:t>Huw George, Deputy Chief Executive and Executive Director for Operations and Finance</w:t>
            </w:r>
          </w:p>
        </w:tc>
      </w:tr>
      <w:tr w:rsidR="00EE7097" w:rsidRPr="001C60B5" w14:paraId="135B5E37" w14:textId="77777777" w:rsidTr="0FEA59EA">
        <w:tc>
          <w:tcPr>
            <w:tcW w:w="2802" w:type="dxa"/>
            <w:gridSpan w:val="2"/>
          </w:tcPr>
          <w:p w14:paraId="10C40B33" w14:textId="77777777" w:rsidR="00EE7097" w:rsidRPr="001C60B5" w:rsidRDefault="00EE7097">
            <w:pPr>
              <w:rPr>
                <w:b/>
                <w:szCs w:val="24"/>
              </w:rPr>
            </w:pPr>
            <w:r w:rsidRPr="001C60B5">
              <w:rPr>
                <w:b/>
                <w:szCs w:val="24"/>
              </w:rPr>
              <w:t>Author:</w:t>
            </w:r>
          </w:p>
        </w:tc>
        <w:tc>
          <w:tcPr>
            <w:tcW w:w="6440" w:type="dxa"/>
            <w:gridSpan w:val="5"/>
          </w:tcPr>
          <w:p w14:paraId="4BEE6311" w14:textId="78AB6B96" w:rsidR="00EE7097" w:rsidRPr="00C3069B" w:rsidRDefault="007C2C46" w:rsidP="00051E74">
            <w:pPr>
              <w:rPr>
                <w:szCs w:val="24"/>
              </w:rPr>
            </w:pPr>
            <w:r>
              <w:rPr>
                <w:szCs w:val="24"/>
              </w:rPr>
              <w:t>Jane Matthews, Head of Financial Reporting and Control</w:t>
            </w:r>
          </w:p>
        </w:tc>
      </w:tr>
      <w:tr w:rsidR="00EE7097" w:rsidRPr="001C60B5" w14:paraId="26B22FED" w14:textId="77777777" w:rsidTr="0FEA59EA">
        <w:trPr>
          <w:trHeight w:val="149"/>
        </w:trPr>
        <w:tc>
          <w:tcPr>
            <w:tcW w:w="2802" w:type="dxa"/>
            <w:gridSpan w:val="2"/>
            <w:tcBorders>
              <w:left w:val="nil"/>
              <w:right w:val="nil"/>
            </w:tcBorders>
          </w:tcPr>
          <w:p w14:paraId="333A320F" w14:textId="77777777" w:rsidR="00EE7097" w:rsidRPr="005B4E75" w:rsidRDefault="00EE7097">
            <w:pPr>
              <w:rPr>
                <w:b/>
                <w:sz w:val="12"/>
                <w:szCs w:val="12"/>
              </w:rPr>
            </w:pPr>
          </w:p>
        </w:tc>
        <w:tc>
          <w:tcPr>
            <w:tcW w:w="6440" w:type="dxa"/>
            <w:gridSpan w:val="5"/>
            <w:tcBorders>
              <w:left w:val="nil"/>
              <w:right w:val="nil"/>
            </w:tcBorders>
          </w:tcPr>
          <w:p w14:paraId="5A9F2744" w14:textId="77777777" w:rsidR="00EE7097" w:rsidRPr="005B4E75" w:rsidRDefault="00EE7097">
            <w:pPr>
              <w:rPr>
                <w:sz w:val="12"/>
                <w:szCs w:val="12"/>
              </w:rPr>
            </w:pPr>
          </w:p>
        </w:tc>
      </w:tr>
      <w:tr w:rsidR="00EE7097" w:rsidRPr="001C60B5" w14:paraId="7FB2601B" w14:textId="77777777" w:rsidTr="0FEA59EA">
        <w:tc>
          <w:tcPr>
            <w:tcW w:w="2802" w:type="dxa"/>
            <w:gridSpan w:val="2"/>
          </w:tcPr>
          <w:p w14:paraId="1CE550DF" w14:textId="77777777" w:rsidR="00EE7097" w:rsidRPr="001C60B5" w:rsidRDefault="00EE7097">
            <w:pPr>
              <w:rPr>
                <w:b/>
                <w:szCs w:val="24"/>
              </w:rPr>
            </w:pPr>
            <w:r w:rsidRPr="001C60B5">
              <w:rPr>
                <w:b/>
                <w:szCs w:val="24"/>
              </w:rPr>
              <w:t>Approval/Scrutiny route:</w:t>
            </w:r>
          </w:p>
        </w:tc>
        <w:tc>
          <w:tcPr>
            <w:tcW w:w="6440" w:type="dxa"/>
            <w:gridSpan w:val="5"/>
          </w:tcPr>
          <w:p w14:paraId="3BC5B20A" w14:textId="55CFB27F" w:rsidR="004471CE" w:rsidRDefault="002B40D7" w:rsidP="00135947">
            <w:pPr>
              <w:rPr>
                <w:rFonts w:cs="Arial"/>
                <w:szCs w:val="24"/>
              </w:rPr>
            </w:pPr>
            <w:r>
              <w:rPr>
                <w:rFonts w:cs="Arial"/>
                <w:szCs w:val="24"/>
              </w:rPr>
              <w:t>The</w:t>
            </w:r>
            <w:r w:rsidR="004471CE" w:rsidRPr="004471CE">
              <w:rPr>
                <w:rFonts w:cs="Arial"/>
                <w:szCs w:val="24"/>
              </w:rPr>
              <w:t xml:space="preserve"> Model Standing Financial Instructions are issued by Welsh Ministers to NHS Trusts using powers of direction provided in section 19 (1) of the National Health Service (Wales) Act 2006. </w:t>
            </w:r>
          </w:p>
          <w:p w14:paraId="5711365E" w14:textId="5632A959" w:rsidR="004471CE" w:rsidRDefault="004471CE" w:rsidP="00135947">
            <w:pPr>
              <w:rPr>
                <w:rFonts w:cs="Arial"/>
                <w:szCs w:val="24"/>
              </w:rPr>
            </w:pPr>
          </w:p>
          <w:p w14:paraId="245C3036" w14:textId="011D58CD" w:rsidR="00BF3CAE" w:rsidRPr="002B40D7" w:rsidRDefault="002B40D7" w:rsidP="00135947">
            <w:pPr>
              <w:rPr>
                <w:rFonts w:cs="Arial"/>
                <w:szCs w:val="24"/>
              </w:rPr>
            </w:pPr>
            <w:r w:rsidRPr="002B40D7">
              <w:rPr>
                <w:rFonts w:cs="Arial"/>
                <w:color w:val="000000"/>
                <w:szCs w:val="24"/>
              </w:rPr>
              <w:t>All documents have recently been reviewed by officials in association with representatives of the Board Secretaries and Directors of Finance Peer Groups.</w:t>
            </w:r>
          </w:p>
        </w:tc>
      </w:tr>
      <w:tr w:rsidR="006C4A51" w:rsidRPr="001C60B5" w14:paraId="092E00B5" w14:textId="77777777" w:rsidTr="0FEA59EA">
        <w:tc>
          <w:tcPr>
            <w:tcW w:w="9242" w:type="dxa"/>
            <w:gridSpan w:val="7"/>
            <w:tcBorders>
              <w:left w:val="nil"/>
              <w:bottom w:val="single" w:sz="4" w:space="0" w:color="auto"/>
              <w:right w:val="nil"/>
            </w:tcBorders>
          </w:tcPr>
          <w:p w14:paraId="791DD980" w14:textId="77777777" w:rsidR="006C4A51" w:rsidRPr="005B4E75" w:rsidRDefault="006C4A51">
            <w:pPr>
              <w:rPr>
                <w:b/>
                <w:sz w:val="12"/>
                <w:szCs w:val="12"/>
              </w:rPr>
            </w:pPr>
          </w:p>
        </w:tc>
      </w:tr>
      <w:tr w:rsidR="005B4E75" w:rsidRPr="001C60B5" w14:paraId="0FFFAD73" w14:textId="77777777" w:rsidTr="0FEA59EA">
        <w:tc>
          <w:tcPr>
            <w:tcW w:w="9242" w:type="dxa"/>
            <w:gridSpan w:val="7"/>
            <w:tcBorders>
              <w:left w:val="single" w:sz="4" w:space="0" w:color="auto"/>
              <w:right w:val="single" w:sz="4" w:space="0" w:color="auto"/>
            </w:tcBorders>
          </w:tcPr>
          <w:p w14:paraId="44DDE74F" w14:textId="77777777" w:rsidR="005B4E75" w:rsidRPr="001C60B5" w:rsidRDefault="005B4E75">
            <w:pPr>
              <w:rPr>
                <w:b/>
                <w:szCs w:val="24"/>
              </w:rPr>
            </w:pPr>
            <w:r>
              <w:rPr>
                <w:b/>
                <w:szCs w:val="24"/>
              </w:rPr>
              <w:t>Purpose</w:t>
            </w:r>
          </w:p>
        </w:tc>
      </w:tr>
      <w:tr w:rsidR="005B4E75" w:rsidRPr="001C60B5" w14:paraId="16ABF5C2" w14:textId="77777777" w:rsidTr="008046DF">
        <w:tc>
          <w:tcPr>
            <w:tcW w:w="9242" w:type="dxa"/>
            <w:gridSpan w:val="7"/>
            <w:tcBorders>
              <w:left w:val="single" w:sz="4" w:space="0" w:color="auto"/>
              <w:right w:val="single" w:sz="4" w:space="0" w:color="auto"/>
            </w:tcBorders>
            <w:shd w:val="clear" w:color="auto" w:fill="auto"/>
          </w:tcPr>
          <w:p w14:paraId="325AA9BB" w14:textId="4A376045" w:rsidR="002B40D7" w:rsidRDefault="00944FDA" w:rsidP="00263CF9">
            <w:pPr>
              <w:rPr>
                <w:szCs w:val="24"/>
              </w:rPr>
            </w:pPr>
            <w:r w:rsidRPr="008046DF">
              <w:rPr>
                <w:szCs w:val="24"/>
              </w:rPr>
              <w:t xml:space="preserve">The purpose of this paper is </w:t>
            </w:r>
            <w:r w:rsidR="003731CC" w:rsidRPr="008046DF">
              <w:rPr>
                <w:szCs w:val="24"/>
              </w:rPr>
              <w:t xml:space="preserve">to </w:t>
            </w:r>
            <w:r w:rsidR="008046DF" w:rsidRPr="008046DF">
              <w:rPr>
                <w:szCs w:val="24"/>
              </w:rPr>
              <w:t xml:space="preserve">bring to the attention of the Board the revised Model Standing Financial Instructions </w:t>
            </w:r>
            <w:r w:rsidR="008046DF">
              <w:rPr>
                <w:szCs w:val="24"/>
              </w:rPr>
              <w:t>and recommend that they are adopted</w:t>
            </w:r>
            <w:r w:rsidR="00096D72">
              <w:rPr>
                <w:szCs w:val="24"/>
              </w:rPr>
              <w:t xml:space="preserve"> and incorporated</w:t>
            </w:r>
            <w:r w:rsidR="008046DF">
              <w:rPr>
                <w:szCs w:val="24"/>
              </w:rPr>
              <w:t xml:space="preserve"> into Public Health Wales’s Standing Financial Instructions</w:t>
            </w:r>
            <w:r w:rsidR="008046DF" w:rsidRPr="008046DF">
              <w:rPr>
                <w:szCs w:val="24"/>
              </w:rPr>
              <w:t xml:space="preserve">. </w:t>
            </w:r>
          </w:p>
          <w:p w14:paraId="29884EB8" w14:textId="77777777" w:rsidR="002B40D7" w:rsidRDefault="002B40D7" w:rsidP="00263CF9">
            <w:pPr>
              <w:rPr>
                <w:szCs w:val="24"/>
              </w:rPr>
            </w:pPr>
          </w:p>
          <w:p w14:paraId="5EADCFE5" w14:textId="7C471CFD" w:rsidR="00EC710F" w:rsidRDefault="008046DF" w:rsidP="00263CF9">
            <w:pPr>
              <w:rPr>
                <w:szCs w:val="24"/>
              </w:rPr>
            </w:pPr>
            <w:r w:rsidRPr="008046DF">
              <w:rPr>
                <w:szCs w:val="24"/>
              </w:rPr>
              <w:t>In accordance with the S</w:t>
            </w:r>
            <w:r w:rsidR="00096D72">
              <w:rPr>
                <w:szCs w:val="24"/>
              </w:rPr>
              <w:t xml:space="preserve">tanding </w:t>
            </w:r>
            <w:r w:rsidRPr="008046DF">
              <w:rPr>
                <w:szCs w:val="24"/>
              </w:rPr>
              <w:t>F</w:t>
            </w:r>
            <w:r w:rsidR="00096D72">
              <w:rPr>
                <w:szCs w:val="24"/>
              </w:rPr>
              <w:t xml:space="preserve">inancial </w:t>
            </w:r>
            <w:r w:rsidRPr="008046DF">
              <w:rPr>
                <w:szCs w:val="24"/>
              </w:rPr>
              <w:t>I</w:t>
            </w:r>
            <w:r w:rsidR="00096D72">
              <w:rPr>
                <w:szCs w:val="24"/>
              </w:rPr>
              <w:t>nstruction</w:t>
            </w:r>
            <w:r w:rsidRPr="008046DF">
              <w:rPr>
                <w:szCs w:val="24"/>
              </w:rPr>
              <w:t xml:space="preserve">s, </w:t>
            </w:r>
            <w:r w:rsidRPr="008046DF">
              <w:rPr>
                <w:rFonts w:cs="Arial"/>
                <w:szCs w:val="24"/>
              </w:rPr>
              <w:t>all Trust Board members and officers must be made aware of these Standing Financial Instructions and, where appropriate, should be familiar with their detailed content</w:t>
            </w:r>
            <w:r w:rsidR="004471CE">
              <w:rPr>
                <w:rFonts w:cs="Arial"/>
                <w:szCs w:val="24"/>
              </w:rPr>
              <w:t>.</w:t>
            </w:r>
            <w:r w:rsidR="003D5085">
              <w:rPr>
                <w:szCs w:val="24"/>
              </w:rPr>
              <w:t xml:space="preserve"> </w:t>
            </w:r>
          </w:p>
          <w:p w14:paraId="4D0D6A18" w14:textId="77777777" w:rsidR="00263CF9" w:rsidRPr="002F3401" w:rsidRDefault="00263CF9" w:rsidP="00EC710F">
            <w:pPr>
              <w:rPr>
                <w:szCs w:val="24"/>
              </w:rPr>
            </w:pPr>
          </w:p>
        </w:tc>
      </w:tr>
      <w:tr w:rsidR="005B4E75" w:rsidRPr="001C60B5" w14:paraId="3C7CC267" w14:textId="77777777" w:rsidTr="0FEA59EA">
        <w:tc>
          <w:tcPr>
            <w:tcW w:w="9242" w:type="dxa"/>
            <w:gridSpan w:val="7"/>
            <w:tcBorders>
              <w:left w:val="nil"/>
              <w:right w:val="nil"/>
            </w:tcBorders>
          </w:tcPr>
          <w:p w14:paraId="5DFFE18D" w14:textId="77777777" w:rsidR="005B4E75" w:rsidRPr="005B4E75" w:rsidRDefault="005B4E75">
            <w:pPr>
              <w:rPr>
                <w:b/>
                <w:sz w:val="12"/>
                <w:szCs w:val="12"/>
              </w:rPr>
            </w:pPr>
          </w:p>
        </w:tc>
      </w:tr>
      <w:tr w:rsidR="00EE7097" w:rsidRPr="001C60B5" w14:paraId="7D89F658" w14:textId="77777777" w:rsidTr="0FEA59EA">
        <w:tc>
          <w:tcPr>
            <w:tcW w:w="9242" w:type="dxa"/>
            <w:gridSpan w:val="7"/>
          </w:tcPr>
          <w:p w14:paraId="193ABDA4" w14:textId="77777777" w:rsidR="00EE7097" w:rsidRPr="0013075E" w:rsidRDefault="0013075E" w:rsidP="006B6115">
            <w:pPr>
              <w:rPr>
                <w:b/>
                <w:szCs w:val="24"/>
              </w:rPr>
            </w:pPr>
            <w:r>
              <w:rPr>
                <w:b/>
                <w:szCs w:val="24"/>
              </w:rPr>
              <w:t>Recommendation:</w:t>
            </w:r>
          </w:p>
        </w:tc>
      </w:tr>
      <w:tr w:rsidR="005B4E75" w:rsidRPr="001C60B5" w14:paraId="0061F6FB" w14:textId="77777777" w:rsidTr="0FEA59EA">
        <w:tc>
          <w:tcPr>
            <w:tcW w:w="1848" w:type="dxa"/>
            <w:tcBorders>
              <w:bottom w:val="single" w:sz="4" w:space="0" w:color="auto"/>
            </w:tcBorders>
          </w:tcPr>
          <w:p w14:paraId="30BC8FE5" w14:textId="77777777" w:rsidR="005B4E75" w:rsidRPr="007A47F5" w:rsidRDefault="005B4E75" w:rsidP="00D34F08">
            <w:pPr>
              <w:jc w:val="center"/>
              <w:rPr>
                <w:szCs w:val="24"/>
              </w:rPr>
            </w:pPr>
            <w:r w:rsidRPr="007A47F5">
              <w:rPr>
                <w:szCs w:val="24"/>
              </w:rPr>
              <w:t>APPROVE</w:t>
            </w:r>
          </w:p>
          <w:p w14:paraId="4CE91CD5" w14:textId="05CC1207" w:rsidR="005B4E75" w:rsidRPr="007A47F5" w:rsidRDefault="007C2C46" w:rsidP="00D34F08">
            <w:pPr>
              <w:jc w:val="center"/>
              <w:rPr>
                <w:rFonts w:ascii="Wingdings" w:hAnsi="Wingdings"/>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36BCD">
              <w:rPr>
                <w:szCs w:val="24"/>
              </w:rPr>
            </w:r>
            <w:r w:rsidR="00836BCD">
              <w:rPr>
                <w:szCs w:val="24"/>
              </w:rPr>
              <w:fldChar w:fldCharType="separate"/>
            </w:r>
            <w:r>
              <w:rPr>
                <w:szCs w:val="24"/>
              </w:rPr>
              <w:fldChar w:fldCharType="end"/>
            </w:r>
          </w:p>
        </w:tc>
        <w:tc>
          <w:tcPr>
            <w:tcW w:w="1848" w:type="dxa"/>
            <w:gridSpan w:val="2"/>
            <w:tcBorders>
              <w:bottom w:val="single" w:sz="4" w:space="0" w:color="auto"/>
            </w:tcBorders>
          </w:tcPr>
          <w:p w14:paraId="2603ECA6" w14:textId="77777777" w:rsidR="005B4E75" w:rsidRDefault="005B4E75" w:rsidP="00D34F08">
            <w:pPr>
              <w:jc w:val="center"/>
              <w:rPr>
                <w:szCs w:val="24"/>
              </w:rPr>
            </w:pPr>
            <w:r w:rsidRPr="007A47F5">
              <w:rPr>
                <w:szCs w:val="24"/>
              </w:rPr>
              <w:t>CONSIDER</w:t>
            </w:r>
          </w:p>
          <w:p w14:paraId="7F9A6AE7" w14:textId="77777777" w:rsidR="005B4E75" w:rsidRPr="007A47F5" w:rsidRDefault="00C27E7A" w:rsidP="00D34F08">
            <w:pPr>
              <w:jc w:val="center"/>
              <w:rPr>
                <w:szCs w:val="24"/>
              </w:rPr>
            </w:pPr>
            <w:r>
              <w:rPr>
                <w:szCs w:val="24"/>
              </w:rPr>
              <w:fldChar w:fldCharType="begin">
                <w:ffData>
                  <w:name w:val="Check2"/>
                  <w:enabled/>
                  <w:calcOnExit w:val="0"/>
                  <w:checkBox>
                    <w:sizeAuto/>
                    <w:default w:val="0"/>
                  </w:checkBox>
                </w:ffData>
              </w:fldChar>
            </w:r>
            <w:bookmarkStart w:id="0" w:name="Check2"/>
            <w:r>
              <w:rPr>
                <w:szCs w:val="24"/>
              </w:rPr>
              <w:instrText xml:space="preserve"> FORMCHECKBOX </w:instrText>
            </w:r>
            <w:r w:rsidR="00836BCD">
              <w:rPr>
                <w:szCs w:val="24"/>
              </w:rPr>
            </w:r>
            <w:r w:rsidR="00836BCD">
              <w:rPr>
                <w:szCs w:val="24"/>
              </w:rPr>
              <w:fldChar w:fldCharType="separate"/>
            </w:r>
            <w:r>
              <w:rPr>
                <w:szCs w:val="24"/>
              </w:rPr>
              <w:fldChar w:fldCharType="end"/>
            </w:r>
            <w:bookmarkEnd w:id="0"/>
          </w:p>
        </w:tc>
        <w:tc>
          <w:tcPr>
            <w:tcW w:w="1849" w:type="dxa"/>
            <w:gridSpan w:val="2"/>
            <w:tcBorders>
              <w:bottom w:val="single" w:sz="4" w:space="0" w:color="auto"/>
            </w:tcBorders>
          </w:tcPr>
          <w:p w14:paraId="62040E83" w14:textId="77777777" w:rsidR="005B4E75" w:rsidRDefault="005B4E75" w:rsidP="00D34F08">
            <w:pPr>
              <w:jc w:val="center"/>
              <w:rPr>
                <w:szCs w:val="24"/>
              </w:rPr>
            </w:pPr>
            <w:r w:rsidRPr="007A47F5">
              <w:rPr>
                <w:szCs w:val="24"/>
              </w:rPr>
              <w:t>RECOMMEND</w:t>
            </w:r>
          </w:p>
          <w:p w14:paraId="50AD9553" w14:textId="2DB1ECB9" w:rsidR="005B4E75" w:rsidRPr="007A47F5" w:rsidRDefault="00BF3CAE" w:rsidP="008E5DFE">
            <w:pPr>
              <w:jc w:val="center"/>
              <w:rPr>
                <w:szCs w:val="24"/>
              </w:rPr>
            </w:pPr>
            <w:r>
              <w:rPr>
                <w:szCs w:val="24"/>
              </w:rPr>
              <w:fldChar w:fldCharType="begin">
                <w:ffData>
                  <w:name w:val="Check3"/>
                  <w:enabled/>
                  <w:calcOnExit w:val="0"/>
                  <w:checkBox>
                    <w:sizeAuto/>
                    <w:default w:val="0"/>
                  </w:checkBox>
                </w:ffData>
              </w:fldChar>
            </w:r>
            <w:bookmarkStart w:id="1" w:name="Check3"/>
            <w:r>
              <w:rPr>
                <w:szCs w:val="24"/>
              </w:rPr>
              <w:instrText xml:space="preserve"> FORMCHECKBOX </w:instrText>
            </w:r>
            <w:r w:rsidR="00836BCD">
              <w:rPr>
                <w:szCs w:val="24"/>
              </w:rPr>
            </w:r>
            <w:r w:rsidR="00836BCD">
              <w:rPr>
                <w:szCs w:val="24"/>
              </w:rPr>
              <w:fldChar w:fldCharType="separate"/>
            </w:r>
            <w:r>
              <w:rPr>
                <w:szCs w:val="24"/>
              </w:rPr>
              <w:fldChar w:fldCharType="end"/>
            </w:r>
            <w:bookmarkEnd w:id="1"/>
          </w:p>
        </w:tc>
        <w:tc>
          <w:tcPr>
            <w:tcW w:w="1848" w:type="dxa"/>
            <w:tcBorders>
              <w:bottom w:val="single" w:sz="4" w:space="0" w:color="auto"/>
            </w:tcBorders>
          </w:tcPr>
          <w:p w14:paraId="2E4673E9" w14:textId="77777777" w:rsidR="005B4E75" w:rsidRDefault="005B4E75" w:rsidP="00D34F08">
            <w:pPr>
              <w:jc w:val="center"/>
              <w:rPr>
                <w:szCs w:val="24"/>
              </w:rPr>
            </w:pPr>
            <w:r w:rsidRPr="007A47F5">
              <w:rPr>
                <w:szCs w:val="24"/>
              </w:rPr>
              <w:t>ADOPT</w:t>
            </w:r>
          </w:p>
          <w:p w14:paraId="5FD9748E" w14:textId="2D3E2CE2" w:rsidR="005B4E75" w:rsidRPr="007A47F5" w:rsidRDefault="008046DF" w:rsidP="00D34F08">
            <w:pPr>
              <w:jc w:val="center"/>
              <w:rPr>
                <w:szCs w:val="24"/>
              </w:rPr>
            </w:pPr>
            <w:r>
              <w:rPr>
                <w:szCs w:val="24"/>
              </w:rPr>
              <w:fldChar w:fldCharType="begin">
                <w:ffData>
                  <w:name w:val="Check4"/>
                  <w:enabled/>
                  <w:calcOnExit w:val="0"/>
                  <w:checkBox>
                    <w:sizeAuto/>
                    <w:default w:val="1"/>
                  </w:checkBox>
                </w:ffData>
              </w:fldChar>
            </w:r>
            <w:bookmarkStart w:id="2" w:name="Check4"/>
            <w:r>
              <w:rPr>
                <w:szCs w:val="24"/>
              </w:rPr>
              <w:instrText xml:space="preserve"> FORMCHECKBOX </w:instrText>
            </w:r>
            <w:r w:rsidR="00836BCD">
              <w:rPr>
                <w:szCs w:val="24"/>
              </w:rPr>
            </w:r>
            <w:r w:rsidR="00836BCD">
              <w:rPr>
                <w:szCs w:val="24"/>
              </w:rPr>
              <w:fldChar w:fldCharType="separate"/>
            </w:r>
            <w:r>
              <w:rPr>
                <w:szCs w:val="24"/>
              </w:rPr>
              <w:fldChar w:fldCharType="end"/>
            </w:r>
            <w:bookmarkEnd w:id="2"/>
          </w:p>
        </w:tc>
        <w:tc>
          <w:tcPr>
            <w:tcW w:w="1849" w:type="dxa"/>
            <w:tcBorders>
              <w:bottom w:val="single" w:sz="4" w:space="0" w:color="auto"/>
            </w:tcBorders>
          </w:tcPr>
          <w:p w14:paraId="34594D4B" w14:textId="77777777" w:rsidR="005B4E75" w:rsidRDefault="00141FC5" w:rsidP="00D34F08">
            <w:pPr>
              <w:jc w:val="center"/>
              <w:rPr>
                <w:szCs w:val="24"/>
              </w:rPr>
            </w:pPr>
            <w:r>
              <w:rPr>
                <w:szCs w:val="24"/>
              </w:rPr>
              <w:t>ASSURANCE</w:t>
            </w:r>
          </w:p>
          <w:p w14:paraId="60F70AB0" w14:textId="0D2C5D70" w:rsidR="005B4E75" w:rsidRPr="007A47F5" w:rsidRDefault="008046DF" w:rsidP="00D34F08">
            <w:pPr>
              <w:jc w:val="center"/>
              <w:rPr>
                <w:szCs w:val="24"/>
              </w:rPr>
            </w:pPr>
            <w:r>
              <w:rPr>
                <w:szCs w:val="24"/>
              </w:rPr>
              <w:fldChar w:fldCharType="begin">
                <w:ffData>
                  <w:name w:val="Check5"/>
                  <w:enabled/>
                  <w:calcOnExit w:val="0"/>
                  <w:checkBox>
                    <w:sizeAuto/>
                    <w:default w:val="0"/>
                  </w:checkBox>
                </w:ffData>
              </w:fldChar>
            </w:r>
            <w:bookmarkStart w:id="3" w:name="Check5"/>
            <w:r>
              <w:rPr>
                <w:szCs w:val="24"/>
              </w:rPr>
              <w:instrText xml:space="preserve"> FORMCHECKBOX </w:instrText>
            </w:r>
            <w:r w:rsidR="00836BCD">
              <w:rPr>
                <w:szCs w:val="24"/>
              </w:rPr>
            </w:r>
            <w:r w:rsidR="00836BCD">
              <w:rPr>
                <w:szCs w:val="24"/>
              </w:rPr>
              <w:fldChar w:fldCharType="separate"/>
            </w:r>
            <w:r>
              <w:rPr>
                <w:szCs w:val="24"/>
              </w:rPr>
              <w:fldChar w:fldCharType="end"/>
            </w:r>
            <w:bookmarkEnd w:id="3"/>
          </w:p>
        </w:tc>
      </w:tr>
      <w:tr w:rsidR="00EE7097" w:rsidRPr="001C60B5" w14:paraId="5B6CDA6E" w14:textId="77777777" w:rsidTr="0FEA59EA">
        <w:tc>
          <w:tcPr>
            <w:tcW w:w="9242" w:type="dxa"/>
            <w:gridSpan w:val="7"/>
            <w:tcBorders>
              <w:bottom w:val="single" w:sz="4" w:space="0" w:color="auto"/>
            </w:tcBorders>
          </w:tcPr>
          <w:p w14:paraId="494CA405" w14:textId="49E29DE1" w:rsidR="00EE7097" w:rsidRDefault="00EE7097" w:rsidP="007D03B8">
            <w:pPr>
              <w:rPr>
                <w:szCs w:val="24"/>
              </w:rPr>
            </w:pPr>
            <w:r w:rsidRPr="001C60B5">
              <w:rPr>
                <w:szCs w:val="24"/>
              </w:rPr>
              <w:t xml:space="preserve">The </w:t>
            </w:r>
            <w:r w:rsidR="00BF3CAE">
              <w:rPr>
                <w:szCs w:val="24"/>
              </w:rPr>
              <w:t>Board</w:t>
            </w:r>
            <w:r w:rsidR="00EC710F">
              <w:rPr>
                <w:szCs w:val="24"/>
              </w:rPr>
              <w:t xml:space="preserve"> </w:t>
            </w:r>
            <w:r w:rsidRPr="001C60B5">
              <w:rPr>
                <w:szCs w:val="24"/>
              </w:rPr>
              <w:t xml:space="preserve">is asked to: </w:t>
            </w:r>
          </w:p>
          <w:p w14:paraId="1C3D2D6F" w14:textId="77777777" w:rsidR="004E2B42" w:rsidRPr="001C60B5" w:rsidRDefault="004E2B42" w:rsidP="007D03B8">
            <w:pPr>
              <w:rPr>
                <w:szCs w:val="24"/>
              </w:rPr>
            </w:pPr>
          </w:p>
          <w:p w14:paraId="7204C679" w14:textId="4416E94E" w:rsidR="00916053" w:rsidRPr="008046DF" w:rsidRDefault="001173D9" w:rsidP="6AF27473">
            <w:pPr>
              <w:pStyle w:val="ListParagraph"/>
              <w:numPr>
                <w:ilvl w:val="0"/>
                <w:numId w:val="17"/>
              </w:numPr>
              <w:ind w:left="851" w:hanging="567"/>
            </w:pPr>
            <w:r w:rsidRPr="001173D9">
              <w:t>Incorporate and</w:t>
            </w:r>
            <w:r>
              <w:rPr>
                <w:b/>
              </w:rPr>
              <w:t xml:space="preserve"> a</w:t>
            </w:r>
            <w:r w:rsidR="008046DF" w:rsidRPr="008046DF">
              <w:rPr>
                <w:b/>
              </w:rPr>
              <w:t xml:space="preserve">dopt </w:t>
            </w:r>
            <w:r w:rsidR="008046DF" w:rsidRPr="008046DF">
              <w:t>the latest review of the Model Standing Financial Instructions into Public Health Wales’s Standing Financial Instructions.</w:t>
            </w:r>
          </w:p>
          <w:p w14:paraId="3C3F1747" w14:textId="77777777" w:rsidR="004E2B42" w:rsidRPr="00916053" w:rsidRDefault="004E2B42" w:rsidP="004E2B42">
            <w:pPr>
              <w:pStyle w:val="ListParagraph"/>
              <w:ind w:left="851"/>
              <w:rPr>
                <w:szCs w:val="24"/>
              </w:rPr>
            </w:pPr>
          </w:p>
        </w:tc>
      </w:tr>
    </w:tbl>
    <w:p w14:paraId="7A048D6B"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1D398BB5" w14:textId="77777777" w:rsidTr="00480353">
        <w:tc>
          <w:tcPr>
            <w:tcW w:w="9026" w:type="dxa"/>
            <w:gridSpan w:val="2"/>
            <w:tcBorders>
              <w:left w:val="nil"/>
              <w:right w:val="nil"/>
            </w:tcBorders>
            <w:shd w:val="clear" w:color="auto" w:fill="auto"/>
          </w:tcPr>
          <w:p w14:paraId="1BB22B73" w14:textId="77777777" w:rsidR="00D713DC" w:rsidRPr="005B4E75" w:rsidRDefault="00D713DC">
            <w:pPr>
              <w:rPr>
                <w:b/>
                <w:sz w:val="12"/>
                <w:szCs w:val="12"/>
              </w:rPr>
            </w:pPr>
          </w:p>
        </w:tc>
      </w:tr>
      <w:tr w:rsidR="00EE7097" w:rsidRPr="001C60B5" w14:paraId="250A3758" w14:textId="77777777" w:rsidTr="00480353">
        <w:tc>
          <w:tcPr>
            <w:tcW w:w="9026" w:type="dxa"/>
            <w:gridSpan w:val="2"/>
            <w:shd w:val="clear" w:color="auto" w:fill="F2F2F2" w:themeFill="background1" w:themeFillShade="F2"/>
          </w:tcPr>
          <w:p w14:paraId="43B169AF" w14:textId="77777777" w:rsidR="00EE7097" w:rsidRPr="001C60B5" w:rsidRDefault="00EE7097" w:rsidP="00680248">
            <w:pPr>
              <w:rPr>
                <w:szCs w:val="24"/>
              </w:rPr>
            </w:pPr>
            <w:r w:rsidRPr="001C60B5">
              <w:rPr>
                <w:b/>
                <w:szCs w:val="24"/>
              </w:rPr>
              <w:t xml:space="preserve">Link to Public Health Wales </w:t>
            </w:r>
            <w:hyperlink r:id="rId12" w:history="1">
              <w:r w:rsidRPr="001C60B5">
                <w:rPr>
                  <w:rStyle w:val="Hyperlink"/>
                  <w:b/>
                  <w:szCs w:val="24"/>
                </w:rPr>
                <w:t>Strategic Plan</w:t>
              </w:r>
            </w:hyperlink>
          </w:p>
          <w:p w14:paraId="08302AA1" w14:textId="77777777" w:rsidR="00EE7097" w:rsidRPr="001C60B5" w:rsidRDefault="00EE7097" w:rsidP="00680248">
            <w:pPr>
              <w:rPr>
                <w:szCs w:val="24"/>
              </w:rPr>
            </w:pPr>
          </w:p>
          <w:p w14:paraId="3AE023FA"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43D0FE38" w14:textId="77777777" w:rsidR="00B52B29" w:rsidRDefault="00B52B29" w:rsidP="00EE7097">
            <w:pPr>
              <w:rPr>
                <w:bCs/>
                <w:szCs w:val="24"/>
              </w:rPr>
            </w:pPr>
          </w:p>
          <w:p w14:paraId="43B5805D" w14:textId="77777777" w:rsidR="00EE7097" w:rsidRPr="001C60B5" w:rsidRDefault="00EE7097" w:rsidP="00EE7097">
            <w:pPr>
              <w:rPr>
                <w:szCs w:val="24"/>
              </w:rPr>
            </w:pPr>
            <w:r w:rsidRPr="001C60B5">
              <w:rPr>
                <w:szCs w:val="24"/>
              </w:rPr>
              <w:t>This report contributes to the following:</w:t>
            </w:r>
          </w:p>
        </w:tc>
      </w:tr>
      <w:tr w:rsidR="00EE7097" w:rsidRPr="001C60B5" w14:paraId="23093A41" w14:textId="77777777" w:rsidTr="00480353">
        <w:tc>
          <w:tcPr>
            <w:tcW w:w="3192" w:type="dxa"/>
            <w:shd w:val="clear" w:color="auto" w:fill="auto"/>
          </w:tcPr>
          <w:p w14:paraId="13F9F05B"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76868E2D" w14:textId="77777777" w:rsidR="00EE7097" w:rsidRPr="0013075E" w:rsidRDefault="00836BCD"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487698">
                  <w:rPr>
                    <w:rStyle w:val="Dropdown"/>
                  </w:rPr>
                  <w:t>All Strategic Priorities/Well-being Objectives</w:t>
                </w:r>
              </w:sdtContent>
            </w:sdt>
          </w:p>
        </w:tc>
      </w:tr>
      <w:tr w:rsidR="00EE7097" w:rsidRPr="001C60B5" w14:paraId="5F3BD8F5" w14:textId="77777777" w:rsidTr="00480353">
        <w:tc>
          <w:tcPr>
            <w:tcW w:w="9026" w:type="dxa"/>
            <w:gridSpan w:val="2"/>
            <w:tcBorders>
              <w:left w:val="nil"/>
              <w:right w:val="nil"/>
            </w:tcBorders>
            <w:shd w:val="clear" w:color="auto" w:fill="auto"/>
          </w:tcPr>
          <w:p w14:paraId="340C844A" w14:textId="77777777" w:rsidR="00EE7097" w:rsidRPr="005B4E75" w:rsidRDefault="00EE7097" w:rsidP="00211B9D">
            <w:pPr>
              <w:rPr>
                <w:b/>
                <w:sz w:val="12"/>
                <w:szCs w:val="12"/>
              </w:rPr>
            </w:pPr>
          </w:p>
        </w:tc>
      </w:tr>
      <w:tr w:rsidR="00EE7097" w:rsidRPr="001C60B5" w14:paraId="27B70B62" w14:textId="77777777" w:rsidTr="00480353">
        <w:tc>
          <w:tcPr>
            <w:tcW w:w="9026" w:type="dxa"/>
            <w:gridSpan w:val="2"/>
            <w:shd w:val="clear" w:color="auto" w:fill="F2F2F2" w:themeFill="background1" w:themeFillShade="F2"/>
          </w:tcPr>
          <w:p w14:paraId="15FF1330"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758FC64A" w14:textId="77777777" w:rsidR="00EE7097" w:rsidRPr="001C60B5" w:rsidRDefault="00EE7097" w:rsidP="00CA5841">
            <w:pPr>
              <w:rPr>
                <w:color w:val="FF0000"/>
                <w:szCs w:val="24"/>
              </w:rPr>
            </w:pPr>
          </w:p>
        </w:tc>
      </w:tr>
      <w:tr w:rsidR="00EE7097" w:rsidRPr="001C60B5" w14:paraId="552C3FF4" w14:textId="77777777" w:rsidTr="00480353">
        <w:tc>
          <w:tcPr>
            <w:tcW w:w="3192" w:type="dxa"/>
          </w:tcPr>
          <w:p w14:paraId="343C63E0" w14:textId="77777777" w:rsidR="00EE7097" w:rsidRPr="001C60B5" w:rsidRDefault="00EE7097" w:rsidP="00097ACD">
            <w:pPr>
              <w:rPr>
                <w:b/>
                <w:szCs w:val="24"/>
              </w:rPr>
            </w:pPr>
            <w:r w:rsidRPr="001C60B5">
              <w:rPr>
                <w:b/>
                <w:szCs w:val="24"/>
              </w:rPr>
              <w:t>Equality and Health Impact Assessment</w:t>
            </w:r>
          </w:p>
        </w:tc>
        <w:tc>
          <w:tcPr>
            <w:tcW w:w="5834" w:type="dxa"/>
          </w:tcPr>
          <w:p w14:paraId="0BD067D6" w14:textId="17054AA7" w:rsidR="00EE7097" w:rsidRPr="00126327" w:rsidRDefault="002B40D7" w:rsidP="005D5FC4">
            <w:pPr>
              <w:rPr>
                <w:i/>
                <w:color w:val="FF0000"/>
                <w:szCs w:val="24"/>
              </w:rPr>
            </w:pPr>
            <w:r>
              <w:rPr>
                <w:szCs w:val="24"/>
              </w:rPr>
              <w:t>N/A</w:t>
            </w:r>
          </w:p>
        </w:tc>
      </w:tr>
      <w:tr w:rsidR="003A3414" w:rsidRPr="001C60B5" w14:paraId="1877B747" w14:textId="77777777" w:rsidTr="00480353">
        <w:tc>
          <w:tcPr>
            <w:tcW w:w="3192" w:type="dxa"/>
          </w:tcPr>
          <w:p w14:paraId="1D9E4ADC"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5CAA9DE1" w14:textId="66609DB2" w:rsidR="003A3414" w:rsidRPr="002B40D7" w:rsidRDefault="00096D72" w:rsidP="003A3414">
            <w:pPr>
              <w:rPr>
                <w:color w:val="FF0000"/>
                <w:szCs w:val="24"/>
                <w:highlight w:val="yellow"/>
              </w:rPr>
            </w:pPr>
            <w:r w:rsidRPr="008046DF">
              <w:rPr>
                <w:szCs w:val="24"/>
              </w:rPr>
              <w:t>In accordance with the S</w:t>
            </w:r>
            <w:r>
              <w:rPr>
                <w:szCs w:val="24"/>
              </w:rPr>
              <w:t xml:space="preserve">tanding </w:t>
            </w:r>
            <w:r w:rsidRPr="008046DF">
              <w:rPr>
                <w:szCs w:val="24"/>
              </w:rPr>
              <w:t>F</w:t>
            </w:r>
            <w:r>
              <w:rPr>
                <w:szCs w:val="24"/>
              </w:rPr>
              <w:t xml:space="preserve">inancial </w:t>
            </w:r>
            <w:r w:rsidRPr="008046DF">
              <w:rPr>
                <w:szCs w:val="24"/>
              </w:rPr>
              <w:t>I</w:t>
            </w:r>
            <w:r>
              <w:rPr>
                <w:szCs w:val="24"/>
              </w:rPr>
              <w:t>nstruction</w:t>
            </w:r>
            <w:r w:rsidRPr="008046DF">
              <w:rPr>
                <w:szCs w:val="24"/>
              </w:rPr>
              <w:t xml:space="preserve">s, </w:t>
            </w:r>
            <w:r w:rsidRPr="008046DF">
              <w:rPr>
                <w:rFonts w:cs="Arial"/>
                <w:szCs w:val="24"/>
              </w:rPr>
              <w:t>all Trust Board members and officers must be made aware of these Standing Financial Instructions</w:t>
            </w:r>
            <w:r>
              <w:rPr>
                <w:rFonts w:cs="Arial"/>
                <w:szCs w:val="24"/>
              </w:rPr>
              <w:t>.</w:t>
            </w:r>
          </w:p>
        </w:tc>
      </w:tr>
      <w:tr w:rsidR="00EE7097" w:rsidRPr="001C60B5" w14:paraId="086EDE27" w14:textId="77777777" w:rsidTr="00480353">
        <w:trPr>
          <w:trHeight w:val="1030"/>
        </w:trPr>
        <w:tc>
          <w:tcPr>
            <w:tcW w:w="3192" w:type="dxa"/>
            <w:vMerge w:val="restart"/>
          </w:tcPr>
          <w:p w14:paraId="43BEDFE8"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0CA09B34" w14:textId="77777777" w:rsidR="00EE7097" w:rsidRPr="001C60B5" w:rsidRDefault="00EE7097" w:rsidP="00126327">
            <w:pPr>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2008DBDC" w14:textId="77777777" w:rsidTr="00480353">
        <w:trPr>
          <w:trHeight w:val="281"/>
        </w:trPr>
        <w:tc>
          <w:tcPr>
            <w:tcW w:w="3192" w:type="dxa"/>
            <w:vMerge/>
          </w:tcPr>
          <w:p w14:paraId="204D43DB"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4F30D930" w14:textId="77777777" w:rsidR="00E263D4" w:rsidRPr="001C60B5" w:rsidRDefault="00487698" w:rsidP="00E263D4">
                <w:pPr>
                  <w:ind w:left="436"/>
                  <w:rPr>
                    <w:szCs w:val="24"/>
                  </w:rPr>
                </w:pPr>
                <w:r>
                  <w:rPr>
                    <w:rStyle w:val="Dropdown"/>
                  </w:rPr>
                  <w:t>Governance, Leadership and Accountability</w:t>
                </w:r>
              </w:p>
            </w:sdtContent>
          </w:sdt>
        </w:tc>
      </w:tr>
      <w:tr w:rsidR="00EE7097" w:rsidRPr="001C60B5" w14:paraId="517F9906" w14:textId="77777777" w:rsidTr="00480353">
        <w:tc>
          <w:tcPr>
            <w:tcW w:w="3192" w:type="dxa"/>
          </w:tcPr>
          <w:p w14:paraId="0EE73D19" w14:textId="77777777" w:rsidR="00EE7097" w:rsidRPr="001C60B5" w:rsidRDefault="00EE7097">
            <w:pPr>
              <w:rPr>
                <w:b/>
                <w:szCs w:val="24"/>
              </w:rPr>
            </w:pPr>
            <w:r w:rsidRPr="001C60B5">
              <w:rPr>
                <w:b/>
                <w:szCs w:val="24"/>
              </w:rPr>
              <w:t>Financial implications</w:t>
            </w:r>
          </w:p>
        </w:tc>
        <w:tc>
          <w:tcPr>
            <w:tcW w:w="5834" w:type="dxa"/>
          </w:tcPr>
          <w:p w14:paraId="2F5FBE45" w14:textId="77777777" w:rsidR="00EE7097" w:rsidRDefault="002B40D7" w:rsidP="002B40D7">
            <w:pPr>
              <w:rPr>
                <w:szCs w:val="24"/>
              </w:rPr>
            </w:pPr>
            <w:r>
              <w:rPr>
                <w:szCs w:val="24"/>
              </w:rPr>
              <w:t>Financial Control Procedures will undergo review to ensure consistency with the revised Model Standing Financial Instructions.</w:t>
            </w:r>
          </w:p>
          <w:p w14:paraId="581FA812" w14:textId="56347698" w:rsidR="009C0774" w:rsidRPr="006B6115" w:rsidRDefault="009C0774" w:rsidP="009C0774">
            <w:pPr>
              <w:rPr>
                <w:szCs w:val="24"/>
              </w:rPr>
            </w:pPr>
            <w:r>
              <w:rPr>
                <w:szCs w:val="24"/>
              </w:rPr>
              <w:t>No budgetary financial implications.</w:t>
            </w:r>
          </w:p>
        </w:tc>
      </w:tr>
      <w:tr w:rsidR="00EE7097" w:rsidRPr="001C60B5" w14:paraId="3E055611" w14:textId="77777777" w:rsidTr="00480353">
        <w:tc>
          <w:tcPr>
            <w:tcW w:w="3192" w:type="dxa"/>
          </w:tcPr>
          <w:p w14:paraId="271E56E5"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51F84F41" w14:textId="5B878CBF" w:rsidR="00EE7097" w:rsidRPr="006B6115" w:rsidRDefault="007C2C46" w:rsidP="007D03B8">
            <w:pPr>
              <w:rPr>
                <w:szCs w:val="24"/>
              </w:rPr>
            </w:pPr>
            <w:r>
              <w:rPr>
                <w:szCs w:val="24"/>
              </w:rPr>
              <w:t>None identified</w:t>
            </w:r>
            <w:r w:rsidR="00EC710F">
              <w:rPr>
                <w:szCs w:val="24"/>
              </w:rPr>
              <w:t xml:space="preserve"> </w:t>
            </w:r>
          </w:p>
        </w:tc>
      </w:tr>
    </w:tbl>
    <w:p w14:paraId="6DC3A1C4" w14:textId="77777777" w:rsidR="007D03B8" w:rsidRDefault="007D03B8" w:rsidP="006F654D">
      <w:pPr>
        <w:pStyle w:val="ListBullet"/>
        <w:rPr>
          <w:b/>
          <w:color w:val="FF0000"/>
          <w:szCs w:val="24"/>
        </w:rPr>
      </w:pPr>
    </w:p>
    <w:p w14:paraId="0521C302" w14:textId="77777777" w:rsidR="00CE2FFC" w:rsidRDefault="00CE2FFC" w:rsidP="006F654D">
      <w:pPr>
        <w:pStyle w:val="ListBullet"/>
        <w:rPr>
          <w:b/>
          <w:color w:val="FF0000"/>
          <w:szCs w:val="24"/>
        </w:rPr>
      </w:pPr>
    </w:p>
    <w:p w14:paraId="7B42DF4B" w14:textId="77777777" w:rsidR="00CE2FFC" w:rsidRDefault="00CE2FFC" w:rsidP="006F654D">
      <w:pPr>
        <w:pStyle w:val="ListBullet"/>
        <w:rPr>
          <w:b/>
          <w:color w:val="FF0000"/>
          <w:szCs w:val="24"/>
        </w:rPr>
      </w:pPr>
    </w:p>
    <w:p w14:paraId="4F7D2998" w14:textId="77777777" w:rsidR="00CE2FFC" w:rsidRDefault="00CE2FFC" w:rsidP="006F654D">
      <w:pPr>
        <w:pStyle w:val="ListBullet"/>
        <w:rPr>
          <w:b/>
          <w:color w:val="FF0000"/>
          <w:szCs w:val="24"/>
        </w:rPr>
      </w:pPr>
    </w:p>
    <w:p w14:paraId="0FB1950C" w14:textId="77777777" w:rsidR="00CE2FFC" w:rsidRDefault="00CE2FFC" w:rsidP="006F654D">
      <w:pPr>
        <w:pStyle w:val="ListBullet"/>
        <w:rPr>
          <w:b/>
          <w:color w:val="FF0000"/>
          <w:szCs w:val="24"/>
        </w:rPr>
      </w:pPr>
    </w:p>
    <w:p w14:paraId="2AAFA542" w14:textId="77777777" w:rsidR="00CE2FFC" w:rsidRDefault="00CE2FFC" w:rsidP="006F654D">
      <w:pPr>
        <w:pStyle w:val="ListBullet"/>
        <w:rPr>
          <w:b/>
          <w:color w:val="FF0000"/>
          <w:szCs w:val="24"/>
        </w:rPr>
      </w:pPr>
    </w:p>
    <w:p w14:paraId="2F639BC9" w14:textId="77777777" w:rsidR="00CE2FFC" w:rsidRDefault="00CE2FFC" w:rsidP="006F654D">
      <w:pPr>
        <w:pStyle w:val="ListBullet"/>
        <w:rPr>
          <w:b/>
          <w:color w:val="FF0000"/>
          <w:szCs w:val="24"/>
        </w:rPr>
      </w:pPr>
    </w:p>
    <w:p w14:paraId="1B5C3A73" w14:textId="77777777" w:rsidR="00CE2FFC" w:rsidRDefault="00CE2FFC" w:rsidP="006F654D">
      <w:pPr>
        <w:pStyle w:val="ListBullet"/>
        <w:rPr>
          <w:b/>
          <w:color w:val="FF0000"/>
          <w:szCs w:val="24"/>
        </w:rPr>
      </w:pPr>
    </w:p>
    <w:p w14:paraId="3C3B0BBE" w14:textId="77777777" w:rsidR="00CE2FFC" w:rsidRDefault="00CE2FFC" w:rsidP="006F654D">
      <w:pPr>
        <w:pStyle w:val="ListBullet"/>
        <w:rPr>
          <w:b/>
          <w:color w:val="FF0000"/>
          <w:szCs w:val="24"/>
        </w:rPr>
      </w:pPr>
    </w:p>
    <w:p w14:paraId="403E5A2E" w14:textId="77777777" w:rsidR="00CE2FFC" w:rsidRDefault="00CE2FFC" w:rsidP="006F654D">
      <w:pPr>
        <w:pStyle w:val="ListBullet"/>
        <w:rPr>
          <w:b/>
          <w:color w:val="FF0000"/>
          <w:szCs w:val="24"/>
        </w:rPr>
      </w:pPr>
    </w:p>
    <w:p w14:paraId="33166E9A" w14:textId="77777777" w:rsidR="00CE2FFC" w:rsidRDefault="00CE2FFC" w:rsidP="006F654D">
      <w:pPr>
        <w:pStyle w:val="ListBullet"/>
        <w:rPr>
          <w:b/>
          <w:color w:val="FF0000"/>
          <w:szCs w:val="24"/>
        </w:rPr>
      </w:pPr>
    </w:p>
    <w:p w14:paraId="7E9DE641" w14:textId="77777777" w:rsidR="00CE2FFC" w:rsidRDefault="00CE2FFC" w:rsidP="006F654D">
      <w:pPr>
        <w:pStyle w:val="ListBullet"/>
        <w:rPr>
          <w:b/>
          <w:color w:val="FF0000"/>
          <w:szCs w:val="24"/>
        </w:rPr>
      </w:pPr>
    </w:p>
    <w:p w14:paraId="0A97436D" w14:textId="77777777" w:rsidR="00CE2FFC" w:rsidRDefault="00CE2FFC" w:rsidP="006F654D">
      <w:pPr>
        <w:pStyle w:val="ListBullet"/>
        <w:rPr>
          <w:b/>
          <w:color w:val="FF0000"/>
          <w:szCs w:val="24"/>
        </w:rPr>
      </w:pPr>
    </w:p>
    <w:p w14:paraId="68027128" w14:textId="77777777" w:rsidR="00CE2FFC" w:rsidRDefault="00CE2FFC" w:rsidP="006F654D">
      <w:pPr>
        <w:pStyle w:val="ListBullet"/>
        <w:rPr>
          <w:b/>
          <w:color w:val="FF0000"/>
          <w:szCs w:val="24"/>
        </w:rPr>
      </w:pPr>
    </w:p>
    <w:p w14:paraId="40BBED17" w14:textId="77777777" w:rsidR="00CE2FFC" w:rsidRDefault="00CE2FFC" w:rsidP="006F654D">
      <w:pPr>
        <w:pStyle w:val="ListBullet"/>
        <w:rPr>
          <w:b/>
          <w:color w:val="FF0000"/>
          <w:szCs w:val="24"/>
        </w:rPr>
      </w:pPr>
    </w:p>
    <w:p w14:paraId="048351DE" w14:textId="77777777" w:rsidR="00CE2FFC" w:rsidRDefault="00CE2FFC" w:rsidP="006F654D">
      <w:pPr>
        <w:pStyle w:val="ListBullet"/>
        <w:rPr>
          <w:b/>
          <w:color w:val="FF0000"/>
          <w:szCs w:val="24"/>
        </w:rPr>
      </w:pPr>
    </w:p>
    <w:p w14:paraId="3CE86234" w14:textId="77777777" w:rsidR="00CE2FFC" w:rsidRDefault="00CE2FFC" w:rsidP="006F654D">
      <w:pPr>
        <w:pStyle w:val="ListBullet"/>
        <w:rPr>
          <w:b/>
          <w:color w:val="FF0000"/>
          <w:szCs w:val="24"/>
        </w:rPr>
      </w:pPr>
    </w:p>
    <w:p w14:paraId="3EF0EDD1" w14:textId="1532A135" w:rsidR="00CE2FFC" w:rsidRDefault="00CE2FFC" w:rsidP="002B40D7">
      <w:pPr>
        <w:pStyle w:val="ListBullet"/>
        <w:ind w:left="0"/>
        <w:rPr>
          <w:b/>
          <w:color w:val="FF0000"/>
          <w:szCs w:val="24"/>
        </w:rPr>
      </w:pPr>
    </w:p>
    <w:p w14:paraId="1F669AAA"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p>
    <w:p w14:paraId="3E481D96" w14:textId="77777777" w:rsidR="0087331D" w:rsidRPr="001C60B5" w:rsidRDefault="0087331D" w:rsidP="0087331D">
      <w:pPr>
        <w:pStyle w:val="ListParagraph"/>
        <w:rPr>
          <w:szCs w:val="24"/>
        </w:rPr>
      </w:pPr>
    </w:p>
    <w:p w14:paraId="27CB9BDB" w14:textId="16FE242F" w:rsidR="002B40D7" w:rsidRPr="00603C65" w:rsidRDefault="002B40D7" w:rsidP="00603C65">
      <w:pPr>
        <w:rPr>
          <w:szCs w:val="24"/>
        </w:rPr>
      </w:pPr>
      <w:bookmarkStart w:id="4" w:name="_GoBack"/>
      <w:r w:rsidRPr="00603C65">
        <w:rPr>
          <w:szCs w:val="24"/>
        </w:rPr>
        <w:t>The purpose of this paper is to bring to the attention of the Board the revised Model Standing Financial Instructions and recommend that they are adopted</w:t>
      </w:r>
      <w:r w:rsidR="00096D72">
        <w:rPr>
          <w:szCs w:val="24"/>
        </w:rPr>
        <w:t xml:space="preserve"> and incorporated</w:t>
      </w:r>
      <w:r w:rsidRPr="00603C65">
        <w:rPr>
          <w:szCs w:val="24"/>
        </w:rPr>
        <w:t xml:space="preserve"> into Public Health Wales’s Standing Financial Instructions</w:t>
      </w:r>
      <w:r w:rsidR="00096D72">
        <w:rPr>
          <w:szCs w:val="24"/>
        </w:rPr>
        <w:t>.</w:t>
      </w:r>
    </w:p>
    <w:p w14:paraId="4926F800" w14:textId="77777777" w:rsidR="002B40D7" w:rsidRPr="002B40D7" w:rsidRDefault="002B40D7" w:rsidP="002B40D7">
      <w:pPr>
        <w:pStyle w:val="ListParagraph"/>
        <w:ind w:left="360"/>
        <w:rPr>
          <w:szCs w:val="24"/>
        </w:rPr>
      </w:pPr>
    </w:p>
    <w:p w14:paraId="7704F0DD" w14:textId="0D705B95" w:rsidR="002B40D7" w:rsidRPr="00603C65" w:rsidRDefault="002B40D7" w:rsidP="00603C65">
      <w:pPr>
        <w:rPr>
          <w:szCs w:val="24"/>
        </w:rPr>
      </w:pPr>
      <w:r w:rsidRPr="00603C65">
        <w:rPr>
          <w:szCs w:val="24"/>
        </w:rPr>
        <w:t>In accordance with the S</w:t>
      </w:r>
      <w:r w:rsidR="00096D72">
        <w:rPr>
          <w:szCs w:val="24"/>
        </w:rPr>
        <w:t xml:space="preserve">tanding </w:t>
      </w:r>
      <w:r w:rsidRPr="00603C65">
        <w:rPr>
          <w:szCs w:val="24"/>
        </w:rPr>
        <w:t>F</w:t>
      </w:r>
      <w:r w:rsidR="00096D72">
        <w:rPr>
          <w:szCs w:val="24"/>
        </w:rPr>
        <w:t xml:space="preserve">inancial </w:t>
      </w:r>
      <w:r w:rsidRPr="00603C65">
        <w:rPr>
          <w:szCs w:val="24"/>
        </w:rPr>
        <w:t>I</w:t>
      </w:r>
      <w:r w:rsidR="00096D72">
        <w:rPr>
          <w:szCs w:val="24"/>
        </w:rPr>
        <w:t>nstruction</w:t>
      </w:r>
      <w:r w:rsidRPr="00603C65">
        <w:rPr>
          <w:szCs w:val="24"/>
        </w:rPr>
        <w:t xml:space="preserve">s, </w:t>
      </w:r>
      <w:r w:rsidRPr="00603C65">
        <w:rPr>
          <w:rFonts w:cs="Arial"/>
          <w:szCs w:val="24"/>
        </w:rPr>
        <w:t>all Trust Board members and officers must be made aware of these Standing Financial Instructions and, where appropriate, should be familiar with their detailed content.</w:t>
      </w:r>
      <w:r w:rsidRPr="00603C65">
        <w:rPr>
          <w:szCs w:val="24"/>
        </w:rPr>
        <w:t xml:space="preserve"> </w:t>
      </w:r>
    </w:p>
    <w:bookmarkEnd w:id="4"/>
    <w:p w14:paraId="0D9C5D56" w14:textId="17C98A26" w:rsidR="007C2C46" w:rsidRPr="007C2C46" w:rsidRDefault="007C2C46" w:rsidP="007C2C46">
      <w:pPr>
        <w:pStyle w:val="Heading1"/>
        <w:numPr>
          <w:ilvl w:val="0"/>
          <w:numId w:val="2"/>
        </w:numPr>
        <w:ind w:left="567" w:hanging="567"/>
        <w:rPr>
          <w:szCs w:val="24"/>
        </w:rPr>
      </w:pPr>
      <w:r>
        <w:rPr>
          <w:szCs w:val="24"/>
        </w:rPr>
        <w:t>Introduction</w:t>
      </w:r>
    </w:p>
    <w:p w14:paraId="390CA593" w14:textId="682684BE" w:rsidR="002317AD" w:rsidRPr="009A4394" w:rsidRDefault="002317AD" w:rsidP="009A4394"/>
    <w:p w14:paraId="49F801DC" w14:textId="13C85476" w:rsidR="001173D9" w:rsidRDefault="001173D9" w:rsidP="00603C65">
      <w:pPr>
        <w:widowControl w:val="0"/>
        <w:tabs>
          <w:tab w:val="left" w:pos="864"/>
        </w:tabs>
        <w:autoSpaceDE w:val="0"/>
        <w:autoSpaceDN w:val="0"/>
        <w:adjustRightInd w:val="0"/>
        <w:jc w:val="both"/>
        <w:rPr>
          <w:rFonts w:cs="Arial"/>
          <w:color w:val="000000"/>
        </w:rPr>
      </w:pPr>
      <w:bookmarkStart w:id="5" w:name="_Toc240450274"/>
      <w:bookmarkStart w:id="6" w:name="_Toc240797477"/>
      <w:r>
        <w:rPr>
          <w:rFonts w:cs="Arial"/>
          <w:color w:val="000000"/>
        </w:rPr>
        <w:t>The</w:t>
      </w:r>
      <w:r w:rsidRPr="001173D9">
        <w:rPr>
          <w:rFonts w:cs="Arial"/>
          <w:color w:val="000000"/>
        </w:rPr>
        <w:t xml:space="preserve"> Model Standing Financial Instructions are issued by Welsh Ministers to NHS Trusts using powers of direction provided in section 19 (1) of the National Health Service (Wales) Act 2006.  NHS Trusts in Wales must agree Standing Financial Instructions (SFIs) for the regulation of their financial proceedings and business. They shall have effect as if incorporated in the Standing Orders (SOs) (incorporated as Schedule 2.1of SOs).</w:t>
      </w:r>
      <w:bookmarkEnd w:id="5"/>
      <w:bookmarkEnd w:id="6"/>
      <w:r w:rsidRPr="001173D9">
        <w:rPr>
          <w:rFonts w:cs="Arial"/>
          <w:color w:val="000000"/>
        </w:rPr>
        <w:t xml:space="preserve"> </w:t>
      </w:r>
    </w:p>
    <w:p w14:paraId="1EE1ABD4" w14:textId="52A9769A" w:rsidR="001173D9" w:rsidRDefault="001173D9" w:rsidP="001173D9">
      <w:pPr>
        <w:widowControl w:val="0"/>
        <w:tabs>
          <w:tab w:val="left" w:pos="864"/>
        </w:tabs>
        <w:autoSpaceDE w:val="0"/>
        <w:autoSpaceDN w:val="0"/>
        <w:adjustRightInd w:val="0"/>
        <w:jc w:val="both"/>
        <w:rPr>
          <w:rFonts w:cs="Arial"/>
          <w:color w:val="000000"/>
        </w:rPr>
      </w:pPr>
    </w:p>
    <w:p w14:paraId="451045B9" w14:textId="2527EA2C" w:rsidR="001173D9" w:rsidRPr="001173D9" w:rsidRDefault="00096D72" w:rsidP="001173D9">
      <w:pPr>
        <w:widowControl w:val="0"/>
        <w:tabs>
          <w:tab w:val="left" w:pos="864"/>
        </w:tabs>
        <w:autoSpaceDE w:val="0"/>
        <w:autoSpaceDN w:val="0"/>
        <w:adjustRightInd w:val="0"/>
        <w:jc w:val="both"/>
        <w:rPr>
          <w:rFonts w:cs="Arial"/>
          <w:color w:val="000000"/>
        </w:rPr>
      </w:pPr>
      <w:bookmarkStart w:id="7" w:name="_Toc240450275"/>
      <w:bookmarkStart w:id="8" w:name="_Toc240797478"/>
      <w:r>
        <w:rPr>
          <w:rFonts w:cs="Arial"/>
          <w:color w:val="000000"/>
        </w:rPr>
        <w:t>The</w:t>
      </w:r>
      <w:r w:rsidR="001173D9" w:rsidRPr="001173D9">
        <w:rPr>
          <w:rFonts w:cs="Arial"/>
          <w:color w:val="000000"/>
        </w:rPr>
        <w:t xml:space="preserve"> SFIs detail the financial responsibilities, policies and procedures adopted by Public Health Wales NHS Trust.  They are designed to ensure that the Trust’s financial transactions are carried out in accordance with the law and with Welsh Government policy in order to achieve probity, accuracy, economy, efficiency, effectiveness and sustainability. They should be used in conjunction with the Schedule of decisions reserved to the Board and the Scheme of delegation adopted by the Trust.</w:t>
      </w:r>
      <w:bookmarkEnd w:id="7"/>
      <w:bookmarkEnd w:id="8"/>
    </w:p>
    <w:p w14:paraId="1C4FB38F" w14:textId="77777777" w:rsidR="001173D9" w:rsidRPr="001173D9" w:rsidRDefault="001173D9" w:rsidP="001173D9">
      <w:pPr>
        <w:tabs>
          <w:tab w:val="left" w:pos="864"/>
        </w:tabs>
        <w:jc w:val="both"/>
        <w:rPr>
          <w:rFonts w:cs="Arial"/>
          <w:color w:val="000000"/>
        </w:rPr>
      </w:pPr>
    </w:p>
    <w:p w14:paraId="4A37C2B8" w14:textId="4FEDABDC" w:rsidR="001173D9" w:rsidRPr="001173D9" w:rsidRDefault="001173D9" w:rsidP="001173D9">
      <w:pPr>
        <w:widowControl w:val="0"/>
        <w:tabs>
          <w:tab w:val="left" w:pos="864"/>
        </w:tabs>
        <w:autoSpaceDE w:val="0"/>
        <w:autoSpaceDN w:val="0"/>
        <w:adjustRightInd w:val="0"/>
        <w:jc w:val="both"/>
        <w:rPr>
          <w:rFonts w:cs="Arial"/>
          <w:color w:val="000000"/>
        </w:rPr>
      </w:pPr>
      <w:bookmarkStart w:id="9" w:name="_Toc240450276"/>
      <w:bookmarkStart w:id="10" w:name="_Toc240797479"/>
      <w:r>
        <w:rPr>
          <w:rFonts w:cs="Arial"/>
          <w:color w:val="000000"/>
        </w:rPr>
        <w:t>The</w:t>
      </w:r>
      <w:r w:rsidRPr="001173D9">
        <w:rPr>
          <w:rFonts w:cs="Arial"/>
          <w:color w:val="000000"/>
        </w:rPr>
        <w:t xml:space="preserve"> SFIs identify the financial responsibilities which apply to everyone working for the Trust and its </w:t>
      </w:r>
      <w:r>
        <w:rPr>
          <w:rFonts w:cs="Arial"/>
          <w:color w:val="000000"/>
        </w:rPr>
        <w:t>hosted</w:t>
      </w:r>
      <w:r w:rsidRPr="001173D9">
        <w:rPr>
          <w:rFonts w:cs="Arial"/>
          <w:color w:val="000000"/>
        </w:rPr>
        <w:t xml:space="preserve"> organisations. They do not provide detailed procedural advice and should be read in conjunction with the detailed departmental and financial control procedure notes.  All financial procedures must be approved by the Director of Finance and Audit Committee.</w:t>
      </w:r>
      <w:bookmarkEnd w:id="9"/>
      <w:bookmarkEnd w:id="10"/>
    </w:p>
    <w:p w14:paraId="1EA4716D" w14:textId="537BBDFF" w:rsidR="009A4394" w:rsidRDefault="002B40D7" w:rsidP="00550928">
      <w:pPr>
        <w:pStyle w:val="Heading1"/>
        <w:numPr>
          <w:ilvl w:val="0"/>
          <w:numId w:val="2"/>
        </w:numPr>
        <w:ind w:left="567" w:hanging="567"/>
        <w:rPr>
          <w:szCs w:val="24"/>
        </w:rPr>
      </w:pPr>
      <w:r>
        <w:rPr>
          <w:szCs w:val="24"/>
        </w:rPr>
        <w:t>Backgrou</w:t>
      </w:r>
      <w:r w:rsidR="0095436C">
        <w:rPr>
          <w:szCs w:val="24"/>
        </w:rPr>
        <w:t>nd</w:t>
      </w:r>
    </w:p>
    <w:p w14:paraId="4D34D14D" w14:textId="77777777" w:rsidR="0095436C" w:rsidRPr="0095436C" w:rsidRDefault="0095436C" w:rsidP="0095436C"/>
    <w:p w14:paraId="6F942127" w14:textId="3A1FB27F" w:rsidR="0095436C" w:rsidRPr="0095436C" w:rsidRDefault="0095436C" w:rsidP="0095436C">
      <w:pPr>
        <w:jc w:val="both"/>
        <w:rPr>
          <w:rFonts w:ascii="Arial" w:hAnsi="Arial" w:cs="Arial"/>
        </w:rPr>
      </w:pPr>
      <w:r w:rsidRPr="0095436C">
        <w:rPr>
          <w:rFonts w:cs="Arial"/>
        </w:rPr>
        <w:t xml:space="preserve">The full suite of </w:t>
      </w:r>
      <w:bookmarkStart w:id="11" w:name="_Hlk40283199"/>
      <w:r w:rsidRPr="0095436C">
        <w:rPr>
          <w:rFonts w:cs="Arial"/>
        </w:rPr>
        <w:t xml:space="preserve">model Standing Orders (SOs), Standing Financial Instructions (SFIs) and associated documents </w:t>
      </w:r>
      <w:bookmarkEnd w:id="11"/>
      <w:r w:rsidRPr="0095436C">
        <w:rPr>
          <w:rFonts w:cs="Arial"/>
        </w:rPr>
        <w:t>for Local Health Boards and NHS Trusts were most recently issued in March 2014.  The main amendments actioned in that update covered changes in the statutory financial duties as per the NHS Finance (Wales) Act 2014.</w:t>
      </w:r>
      <w:r w:rsidRPr="0095436C">
        <w:rPr>
          <w:rFonts w:ascii="Arial" w:hAnsi="Arial" w:cs="Arial"/>
        </w:rPr>
        <w:t xml:space="preserve">  </w:t>
      </w:r>
      <w:r w:rsidR="00072650">
        <w:rPr>
          <w:rFonts w:cs="Arial"/>
        </w:rPr>
        <w:t>However, t</w:t>
      </w:r>
      <w:r w:rsidR="001173D9">
        <w:t xml:space="preserve">here is a requirement to keep the SFIs under review to ensure they remain accurate and current. </w:t>
      </w:r>
    </w:p>
    <w:p w14:paraId="0309BBC7" w14:textId="77777777" w:rsidR="0095436C" w:rsidRDefault="0095436C" w:rsidP="6AF27473">
      <w:pPr>
        <w:pStyle w:val="NormalWeb"/>
        <w:spacing w:before="200" w:beforeAutospacing="0" w:after="0" w:afterAutospacing="0"/>
        <w:jc w:val="both"/>
        <w:rPr>
          <w:rFonts w:ascii="Verdana" w:hAnsi="Verdana"/>
        </w:rPr>
      </w:pPr>
    </w:p>
    <w:p w14:paraId="6AC4F3D0" w14:textId="41DC7842" w:rsidR="00072650" w:rsidRDefault="00072650" w:rsidP="00072650">
      <w:pPr>
        <w:jc w:val="both"/>
        <w:rPr>
          <w:rFonts w:ascii="Arial" w:hAnsi="Arial" w:cs="Arial"/>
        </w:rPr>
      </w:pPr>
      <w:r w:rsidRPr="00072650">
        <w:rPr>
          <w:rFonts w:cs="Arial"/>
        </w:rPr>
        <w:t xml:space="preserve">Directors of Finance initiated work, via the </w:t>
      </w:r>
      <w:proofErr w:type="spellStart"/>
      <w:r w:rsidRPr="00072650">
        <w:rPr>
          <w:rFonts w:cs="Arial"/>
        </w:rPr>
        <w:t>DoF</w:t>
      </w:r>
      <w:proofErr w:type="spellEnd"/>
      <w:r w:rsidRPr="00072650">
        <w:rPr>
          <w:rFonts w:cs="Arial"/>
        </w:rPr>
        <w:t xml:space="preserve"> Governance Sub Group, to review and update the Model </w:t>
      </w:r>
      <w:r w:rsidR="00096D72">
        <w:rPr>
          <w:rFonts w:cs="Arial"/>
        </w:rPr>
        <w:t>SFIs</w:t>
      </w:r>
      <w:r w:rsidRPr="00072650">
        <w:rPr>
          <w:rFonts w:cs="Arial"/>
        </w:rPr>
        <w:t xml:space="preserve">.  </w:t>
      </w:r>
      <w:proofErr w:type="spellStart"/>
      <w:r w:rsidRPr="00072650">
        <w:rPr>
          <w:rFonts w:cs="Arial"/>
        </w:rPr>
        <w:t>DoFs</w:t>
      </w:r>
      <w:proofErr w:type="spellEnd"/>
      <w:r w:rsidRPr="00072650">
        <w:rPr>
          <w:rFonts w:cs="Arial"/>
        </w:rPr>
        <w:t xml:space="preserve"> recognised that the SFIs had not been updated for some time, with specific concerns that the procurement section did not reflect latest legislation, regulations and procurement processes and practice.  The </w:t>
      </w:r>
      <w:proofErr w:type="spellStart"/>
      <w:r w:rsidRPr="00072650">
        <w:rPr>
          <w:rFonts w:cs="Arial"/>
        </w:rPr>
        <w:t>DoF</w:t>
      </w:r>
      <w:proofErr w:type="spellEnd"/>
      <w:r w:rsidRPr="00072650">
        <w:rPr>
          <w:rFonts w:cs="Arial"/>
        </w:rPr>
        <w:t xml:space="preserve"> Sub Group included input from finance and procurement staff, Board Secretaries and WG officials</w:t>
      </w:r>
      <w:r w:rsidRPr="00072650">
        <w:rPr>
          <w:rFonts w:ascii="Arial" w:hAnsi="Arial" w:cs="Arial"/>
        </w:rPr>
        <w:t>.</w:t>
      </w:r>
    </w:p>
    <w:p w14:paraId="743BCF68" w14:textId="647CEF51" w:rsidR="00072650" w:rsidRDefault="00072650" w:rsidP="00072650">
      <w:pPr>
        <w:jc w:val="both"/>
        <w:rPr>
          <w:rFonts w:ascii="Arial" w:hAnsi="Arial" w:cs="Arial"/>
        </w:rPr>
      </w:pPr>
    </w:p>
    <w:p w14:paraId="27F5DB81" w14:textId="34576B48" w:rsidR="00072650" w:rsidRPr="00603C65" w:rsidRDefault="00603C65" w:rsidP="00603C65">
      <w:pPr>
        <w:rPr>
          <w:rFonts w:cs="Arial"/>
        </w:rPr>
      </w:pPr>
      <w:r w:rsidRPr="00603C65">
        <w:rPr>
          <w:rFonts w:cs="Arial"/>
        </w:rPr>
        <w:t xml:space="preserve">A detailed breakdown of the amendments </w:t>
      </w:r>
      <w:r w:rsidR="005D2E61">
        <w:rPr>
          <w:rFonts w:cs="Arial"/>
        </w:rPr>
        <w:t>has been provided in a</w:t>
      </w:r>
      <w:r w:rsidR="00300678">
        <w:rPr>
          <w:rFonts w:cs="Arial"/>
        </w:rPr>
        <w:t xml:space="preserve">ppendix A and a </w:t>
      </w:r>
      <w:r w:rsidR="003F60C7">
        <w:rPr>
          <w:rFonts w:cs="Arial"/>
        </w:rPr>
        <w:t xml:space="preserve">tracked changed version of the </w:t>
      </w:r>
      <w:r w:rsidR="005D2E61">
        <w:rPr>
          <w:rFonts w:cs="Arial"/>
        </w:rPr>
        <w:t xml:space="preserve">reviewed Model SFIs is provided in appendix B. </w:t>
      </w:r>
    </w:p>
    <w:p w14:paraId="4F79D609" w14:textId="55DAB66D" w:rsidR="00506C55" w:rsidRPr="00135947" w:rsidRDefault="008A48E1" w:rsidP="00135947">
      <w:pPr>
        <w:pStyle w:val="Heading1"/>
        <w:numPr>
          <w:ilvl w:val="0"/>
          <w:numId w:val="2"/>
        </w:numPr>
        <w:ind w:left="567" w:hanging="567"/>
        <w:rPr>
          <w:szCs w:val="24"/>
        </w:rPr>
      </w:pPr>
      <w:r w:rsidRPr="00135947">
        <w:rPr>
          <w:szCs w:val="24"/>
        </w:rPr>
        <w:t xml:space="preserve">Recommendation </w:t>
      </w:r>
    </w:p>
    <w:p w14:paraId="101500FF" w14:textId="77777777" w:rsidR="00B93BD6" w:rsidRDefault="00B93BD6" w:rsidP="00B93BD6"/>
    <w:p w14:paraId="10D3F56E" w14:textId="56EA5536" w:rsidR="0030027F" w:rsidRDefault="00B93BD6" w:rsidP="00B93BD6">
      <w:r>
        <w:t xml:space="preserve">The </w:t>
      </w:r>
      <w:r w:rsidR="00EB0509">
        <w:rPr>
          <w:szCs w:val="24"/>
        </w:rPr>
        <w:t>Board</w:t>
      </w:r>
      <w:r w:rsidR="00D45D00">
        <w:t xml:space="preserve"> </w:t>
      </w:r>
      <w:r>
        <w:t>is asked to</w:t>
      </w:r>
      <w:r w:rsidR="0030027F">
        <w:t>:</w:t>
      </w:r>
    </w:p>
    <w:p w14:paraId="2E7B38AE" w14:textId="77777777" w:rsidR="0030027F" w:rsidRDefault="0030027F" w:rsidP="00B93BD6"/>
    <w:p w14:paraId="3CEE3445" w14:textId="1DF5F94B" w:rsidR="002B40D7" w:rsidRDefault="00603C65" w:rsidP="002B40D7">
      <w:pPr>
        <w:pStyle w:val="ListParagraph"/>
        <w:numPr>
          <w:ilvl w:val="0"/>
          <w:numId w:val="17"/>
        </w:numPr>
        <w:ind w:left="851" w:hanging="567"/>
      </w:pPr>
      <w:r w:rsidRPr="00603C65">
        <w:t>Incorporate and</w:t>
      </w:r>
      <w:r>
        <w:rPr>
          <w:b/>
        </w:rPr>
        <w:t xml:space="preserve"> a</w:t>
      </w:r>
      <w:r w:rsidR="002B40D7" w:rsidRPr="008046DF">
        <w:rPr>
          <w:b/>
        </w:rPr>
        <w:t xml:space="preserve">dopt </w:t>
      </w:r>
      <w:r w:rsidR="002B40D7" w:rsidRPr="008046DF">
        <w:t>the latest review of the Model Standing Financial Instructions into Public Health Wales’s Standing Financial Instructions.</w:t>
      </w:r>
    </w:p>
    <w:p w14:paraId="6C1BB881" w14:textId="2E3D20CF" w:rsidR="00603C65" w:rsidRDefault="00603C65" w:rsidP="00603C65"/>
    <w:p w14:paraId="1D5276C7" w14:textId="4FAB03B6" w:rsidR="00603C65" w:rsidRDefault="00603C65" w:rsidP="00603C65">
      <w:pPr>
        <w:rPr>
          <w:b/>
        </w:rPr>
      </w:pPr>
      <w:r w:rsidRPr="00603C65">
        <w:rPr>
          <w:b/>
        </w:rPr>
        <w:t xml:space="preserve">5.   </w:t>
      </w:r>
      <w:r>
        <w:rPr>
          <w:b/>
        </w:rPr>
        <w:t xml:space="preserve"> </w:t>
      </w:r>
      <w:r w:rsidRPr="00603C65">
        <w:rPr>
          <w:b/>
        </w:rPr>
        <w:t>Next Steps</w:t>
      </w:r>
    </w:p>
    <w:p w14:paraId="6EBA46D7" w14:textId="12109FF3" w:rsidR="00603C65" w:rsidRDefault="00603C65" w:rsidP="00603C65">
      <w:pPr>
        <w:rPr>
          <w:b/>
        </w:rPr>
      </w:pPr>
    </w:p>
    <w:p w14:paraId="22D4DA29" w14:textId="21C99736" w:rsidR="00603C65" w:rsidRPr="00603C65" w:rsidRDefault="00603C65" w:rsidP="00603C65">
      <w:r>
        <w:t xml:space="preserve">A full review of Financial Control Procedures will be carried out </w:t>
      </w:r>
      <w:r w:rsidR="00C61EAB">
        <w:t xml:space="preserve">by the Finance Division </w:t>
      </w:r>
      <w:r>
        <w:t>to ensure that the requirements of the revised Model SFIs are reflected in these procedures.</w:t>
      </w:r>
    </w:p>
    <w:p w14:paraId="6F020B5B" w14:textId="15458273" w:rsidR="007C2C46" w:rsidRDefault="007C2C46" w:rsidP="007C2C46"/>
    <w:p w14:paraId="3C865991" w14:textId="7DA1B578" w:rsidR="007C2C46" w:rsidRPr="007C2C46" w:rsidRDefault="007C2C46" w:rsidP="007C2C46">
      <w:pPr>
        <w:rPr>
          <w:b/>
        </w:rPr>
      </w:pPr>
    </w:p>
    <w:sectPr w:rsidR="007C2C46" w:rsidRPr="007C2C46" w:rsidSect="00995693">
      <w:footerReference w:type="default" r:id="rId1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A9F22" w14:textId="77777777" w:rsidR="00753E99" w:rsidRDefault="00753E99" w:rsidP="00497F39">
      <w:r>
        <w:separator/>
      </w:r>
    </w:p>
  </w:endnote>
  <w:endnote w:type="continuationSeparator" w:id="0">
    <w:p w14:paraId="32131A1F" w14:textId="77777777" w:rsidR="00753E99" w:rsidRDefault="00753E99"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7623DA" w:rsidRPr="00511AFF" w14:paraId="7914662E" w14:textId="77777777" w:rsidTr="003B7361">
      <w:tc>
        <w:tcPr>
          <w:tcW w:w="3100" w:type="dxa"/>
        </w:tcPr>
        <w:p w14:paraId="557B3412" w14:textId="1E650341" w:rsidR="007623DA" w:rsidRPr="00511AFF" w:rsidRDefault="007623DA" w:rsidP="007C2C46">
          <w:pPr>
            <w:pStyle w:val="Footer"/>
            <w:tabs>
              <w:tab w:val="right" w:pos="9090"/>
            </w:tabs>
            <w:jc w:val="center"/>
            <w:rPr>
              <w:b/>
              <w:sz w:val="20"/>
            </w:rPr>
          </w:pPr>
          <w:r w:rsidRPr="00511AFF">
            <w:rPr>
              <w:b/>
              <w:sz w:val="20"/>
            </w:rPr>
            <w:t xml:space="preserve">Date: </w:t>
          </w:r>
          <w:r>
            <w:rPr>
              <w:sz w:val="20"/>
            </w:rPr>
            <w:t xml:space="preserve"> </w:t>
          </w:r>
          <w:r w:rsidR="007C2C46">
            <w:rPr>
              <w:sz w:val="20"/>
            </w:rPr>
            <w:t>27</w:t>
          </w:r>
          <w:r w:rsidR="00BF3CAE">
            <w:rPr>
              <w:sz w:val="20"/>
            </w:rPr>
            <w:t xml:space="preserve"> </w:t>
          </w:r>
          <w:r w:rsidR="007C2C46">
            <w:rPr>
              <w:sz w:val="20"/>
            </w:rPr>
            <w:t>Ma</w:t>
          </w:r>
          <w:r w:rsidR="00BF3CAE">
            <w:rPr>
              <w:sz w:val="20"/>
            </w:rPr>
            <w:t>y</w:t>
          </w:r>
          <w:r w:rsidR="00487698">
            <w:rPr>
              <w:sz w:val="20"/>
            </w:rPr>
            <w:t xml:space="preserve"> 2021</w:t>
          </w:r>
        </w:p>
      </w:tc>
      <w:tc>
        <w:tcPr>
          <w:tcW w:w="3100" w:type="dxa"/>
        </w:tcPr>
        <w:p w14:paraId="72897060" w14:textId="3917266C" w:rsidR="007623DA" w:rsidRPr="00511AFF" w:rsidRDefault="007623DA" w:rsidP="007C12A4">
          <w:pPr>
            <w:pStyle w:val="Footer"/>
            <w:tabs>
              <w:tab w:val="center" w:pos="1433"/>
              <w:tab w:val="right" w:pos="2866"/>
              <w:tab w:val="right" w:pos="9090"/>
            </w:tabs>
            <w:jc w:val="center"/>
            <w:rPr>
              <w:b/>
              <w:sz w:val="20"/>
            </w:rPr>
          </w:pPr>
          <w:r w:rsidRPr="00511AFF">
            <w:rPr>
              <w:b/>
              <w:sz w:val="20"/>
            </w:rPr>
            <w:t>Version:</w:t>
          </w:r>
          <w:r>
            <w:rPr>
              <w:sz w:val="20"/>
            </w:rPr>
            <w:t xml:space="preserve"> </w:t>
          </w:r>
          <w:r w:rsidR="007C12A4">
            <w:rPr>
              <w:sz w:val="20"/>
            </w:rPr>
            <w:t>Final</w:t>
          </w:r>
        </w:p>
      </w:tc>
      <w:tc>
        <w:tcPr>
          <w:tcW w:w="3101" w:type="dxa"/>
        </w:tcPr>
        <w:p w14:paraId="1DA90AEA" w14:textId="571266AE"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836BCD">
            <w:rPr>
              <w:rStyle w:val="PageNumber"/>
              <w:noProof/>
              <w:sz w:val="20"/>
            </w:rPr>
            <w:t>3</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836BCD">
            <w:rPr>
              <w:rStyle w:val="PageNumber"/>
              <w:noProof/>
              <w:sz w:val="20"/>
            </w:rPr>
            <w:t>4</w:t>
          </w:r>
          <w:r w:rsidRPr="00511AFF">
            <w:rPr>
              <w:rStyle w:val="PageNumber"/>
              <w:sz w:val="20"/>
            </w:rPr>
            <w:fldChar w:fldCharType="end"/>
          </w:r>
        </w:p>
      </w:tc>
    </w:tr>
  </w:tbl>
  <w:p w14:paraId="1EA0F53D"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EE65" w14:textId="77777777" w:rsidR="00753E99" w:rsidRDefault="00753E99" w:rsidP="00497F39">
      <w:r>
        <w:separator/>
      </w:r>
    </w:p>
  </w:footnote>
  <w:footnote w:type="continuationSeparator" w:id="0">
    <w:p w14:paraId="038042E7" w14:textId="77777777" w:rsidR="00753E99" w:rsidRDefault="00753E99"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400"/>
    <w:multiLevelType w:val="hybridMultilevel"/>
    <w:tmpl w:val="AAC4A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A3CD9"/>
    <w:multiLevelType w:val="hybridMultilevel"/>
    <w:tmpl w:val="73200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D7059"/>
    <w:multiLevelType w:val="hybridMultilevel"/>
    <w:tmpl w:val="66E8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3DB7"/>
    <w:multiLevelType w:val="hybridMultilevel"/>
    <w:tmpl w:val="7E309B00"/>
    <w:lvl w:ilvl="0" w:tplc="DA568D30">
      <w:start w:val="1"/>
      <w:numFmt w:val="bullet"/>
      <w:lvlText w:val=""/>
      <w:lvlJc w:val="left"/>
      <w:pPr>
        <w:tabs>
          <w:tab w:val="num" w:pos="360"/>
        </w:tabs>
        <w:ind w:left="360" w:hanging="360"/>
      </w:pPr>
      <w:rPr>
        <w:rFonts w:ascii="Symbol" w:hAnsi="Symbol" w:hint="default"/>
      </w:rPr>
    </w:lvl>
    <w:lvl w:ilvl="1" w:tplc="15607710">
      <w:numFmt w:val="decimal"/>
      <w:lvlText w:val=""/>
      <w:lvlJc w:val="left"/>
    </w:lvl>
    <w:lvl w:ilvl="2" w:tplc="21FE8F70">
      <w:numFmt w:val="decimal"/>
      <w:lvlText w:val=""/>
      <w:lvlJc w:val="left"/>
    </w:lvl>
    <w:lvl w:ilvl="3" w:tplc="31FCDA14">
      <w:numFmt w:val="decimal"/>
      <w:lvlText w:val=""/>
      <w:lvlJc w:val="left"/>
    </w:lvl>
    <w:lvl w:ilvl="4" w:tplc="C14AC352">
      <w:numFmt w:val="decimal"/>
      <w:lvlText w:val=""/>
      <w:lvlJc w:val="left"/>
    </w:lvl>
    <w:lvl w:ilvl="5" w:tplc="D5420260">
      <w:numFmt w:val="decimal"/>
      <w:lvlText w:val=""/>
      <w:lvlJc w:val="left"/>
    </w:lvl>
    <w:lvl w:ilvl="6" w:tplc="9D646D72">
      <w:numFmt w:val="decimal"/>
      <w:lvlText w:val=""/>
      <w:lvlJc w:val="left"/>
    </w:lvl>
    <w:lvl w:ilvl="7" w:tplc="0B700DE8">
      <w:numFmt w:val="decimal"/>
      <w:lvlText w:val=""/>
      <w:lvlJc w:val="left"/>
    </w:lvl>
    <w:lvl w:ilvl="8" w:tplc="BA68B260">
      <w:numFmt w:val="decimal"/>
      <w:lvlText w:val=""/>
      <w:lvlJc w:val="left"/>
    </w:lvl>
  </w:abstractNum>
  <w:abstractNum w:abstractNumId="4" w15:restartNumberingAfterBreak="0">
    <w:nsid w:val="0A225E74"/>
    <w:multiLevelType w:val="multilevel"/>
    <w:tmpl w:val="0F0A5E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21D74"/>
    <w:multiLevelType w:val="hybridMultilevel"/>
    <w:tmpl w:val="435ED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B43BC"/>
    <w:multiLevelType w:val="hybridMultilevel"/>
    <w:tmpl w:val="7DA0E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973E3"/>
    <w:multiLevelType w:val="hybridMultilevel"/>
    <w:tmpl w:val="38E06AE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40327E"/>
    <w:multiLevelType w:val="hybridMultilevel"/>
    <w:tmpl w:val="9FBE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80AAF"/>
    <w:multiLevelType w:val="hybridMultilevel"/>
    <w:tmpl w:val="1BA6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423D21"/>
    <w:multiLevelType w:val="multilevel"/>
    <w:tmpl w:val="468E28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11CE6"/>
    <w:multiLevelType w:val="hybridMultilevel"/>
    <w:tmpl w:val="BCC68D84"/>
    <w:lvl w:ilvl="0" w:tplc="8512690E">
      <w:start w:val="1"/>
      <w:numFmt w:val="bullet"/>
      <w:lvlText w:val="o"/>
      <w:lvlJc w:val="left"/>
      <w:pPr>
        <w:tabs>
          <w:tab w:val="num" w:pos="720"/>
        </w:tabs>
        <w:ind w:left="720" w:hanging="360"/>
      </w:pPr>
      <w:rPr>
        <w:rFonts w:ascii="Courier New" w:hAnsi="Courier New" w:hint="default"/>
      </w:rPr>
    </w:lvl>
    <w:lvl w:ilvl="1" w:tplc="AE429280">
      <w:start w:val="1"/>
      <w:numFmt w:val="bullet"/>
      <w:lvlText w:val="o"/>
      <w:lvlJc w:val="left"/>
      <w:pPr>
        <w:tabs>
          <w:tab w:val="num" w:pos="1440"/>
        </w:tabs>
        <w:ind w:left="1440" w:hanging="360"/>
      </w:pPr>
      <w:rPr>
        <w:rFonts w:ascii="Courier New" w:hAnsi="Courier New" w:hint="default"/>
      </w:rPr>
    </w:lvl>
    <w:lvl w:ilvl="2" w:tplc="E528AB56" w:tentative="1">
      <w:start w:val="1"/>
      <w:numFmt w:val="bullet"/>
      <w:lvlText w:val="o"/>
      <w:lvlJc w:val="left"/>
      <w:pPr>
        <w:tabs>
          <w:tab w:val="num" w:pos="2160"/>
        </w:tabs>
        <w:ind w:left="2160" w:hanging="360"/>
      </w:pPr>
      <w:rPr>
        <w:rFonts w:ascii="Courier New" w:hAnsi="Courier New" w:hint="default"/>
      </w:rPr>
    </w:lvl>
    <w:lvl w:ilvl="3" w:tplc="B07857DA" w:tentative="1">
      <w:start w:val="1"/>
      <w:numFmt w:val="bullet"/>
      <w:lvlText w:val="o"/>
      <w:lvlJc w:val="left"/>
      <w:pPr>
        <w:tabs>
          <w:tab w:val="num" w:pos="2880"/>
        </w:tabs>
        <w:ind w:left="2880" w:hanging="360"/>
      </w:pPr>
      <w:rPr>
        <w:rFonts w:ascii="Courier New" w:hAnsi="Courier New" w:hint="default"/>
      </w:rPr>
    </w:lvl>
    <w:lvl w:ilvl="4" w:tplc="A1EE9A4C" w:tentative="1">
      <w:start w:val="1"/>
      <w:numFmt w:val="bullet"/>
      <w:lvlText w:val="o"/>
      <w:lvlJc w:val="left"/>
      <w:pPr>
        <w:tabs>
          <w:tab w:val="num" w:pos="3600"/>
        </w:tabs>
        <w:ind w:left="3600" w:hanging="360"/>
      </w:pPr>
      <w:rPr>
        <w:rFonts w:ascii="Courier New" w:hAnsi="Courier New" w:hint="default"/>
      </w:rPr>
    </w:lvl>
    <w:lvl w:ilvl="5" w:tplc="CEFE9618" w:tentative="1">
      <w:start w:val="1"/>
      <w:numFmt w:val="bullet"/>
      <w:lvlText w:val="o"/>
      <w:lvlJc w:val="left"/>
      <w:pPr>
        <w:tabs>
          <w:tab w:val="num" w:pos="4320"/>
        </w:tabs>
        <w:ind w:left="4320" w:hanging="360"/>
      </w:pPr>
      <w:rPr>
        <w:rFonts w:ascii="Courier New" w:hAnsi="Courier New" w:hint="default"/>
      </w:rPr>
    </w:lvl>
    <w:lvl w:ilvl="6" w:tplc="A170BB40" w:tentative="1">
      <w:start w:val="1"/>
      <w:numFmt w:val="bullet"/>
      <w:lvlText w:val="o"/>
      <w:lvlJc w:val="left"/>
      <w:pPr>
        <w:tabs>
          <w:tab w:val="num" w:pos="5040"/>
        </w:tabs>
        <w:ind w:left="5040" w:hanging="360"/>
      </w:pPr>
      <w:rPr>
        <w:rFonts w:ascii="Courier New" w:hAnsi="Courier New" w:hint="default"/>
      </w:rPr>
    </w:lvl>
    <w:lvl w:ilvl="7" w:tplc="16E0D42A" w:tentative="1">
      <w:start w:val="1"/>
      <w:numFmt w:val="bullet"/>
      <w:lvlText w:val="o"/>
      <w:lvlJc w:val="left"/>
      <w:pPr>
        <w:tabs>
          <w:tab w:val="num" w:pos="5760"/>
        </w:tabs>
        <w:ind w:left="5760" w:hanging="360"/>
      </w:pPr>
      <w:rPr>
        <w:rFonts w:ascii="Courier New" w:hAnsi="Courier New" w:hint="default"/>
      </w:rPr>
    </w:lvl>
    <w:lvl w:ilvl="8" w:tplc="DF789B74"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37BF55AB"/>
    <w:multiLevelType w:val="hybridMultilevel"/>
    <w:tmpl w:val="AF8AE042"/>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2" w15:restartNumberingAfterBreak="0">
    <w:nsid w:val="3ACB47AB"/>
    <w:multiLevelType w:val="hybridMultilevel"/>
    <w:tmpl w:val="67AC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701FFA"/>
    <w:multiLevelType w:val="hybridMultilevel"/>
    <w:tmpl w:val="EF64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35AA0"/>
    <w:multiLevelType w:val="hybridMultilevel"/>
    <w:tmpl w:val="F590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C41DB"/>
    <w:multiLevelType w:val="hybridMultilevel"/>
    <w:tmpl w:val="FE525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BC35DD"/>
    <w:multiLevelType w:val="hybridMultilevel"/>
    <w:tmpl w:val="4F90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24CBB"/>
    <w:multiLevelType w:val="hybridMultilevel"/>
    <w:tmpl w:val="D14A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2C4870"/>
    <w:multiLevelType w:val="hybridMultilevel"/>
    <w:tmpl w:val="CC488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D75205"/>
    <w:multiLevelType w:val="hybridMultilevel"/>
    <w:tmpl w:val="7D602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582249"/>
    <w:multiLevelType w:val="hybridMultilevel"/>
    <w:tmpl w:val="026E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91E4D"/>
    <w:multiLevelType w:val="hybridMultilevel"/>
    <w:tmpl w:val="518E30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F712A"/>
    <w:multiLevelType w:val="hybridMultilevel"/>
    <w:tmpl w:val="3D8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B30A9"/>
    <w:multiLevelType w:val="hybridMultilevel"/>
    <w:tmpl w:val="2530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A132D"/>
    <w:multiLevelType w:val="hybridMultilevel"/>
    <w:tmpl w:val="F6F6D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7A7682"/>
    <w:multiLevelType w:val="hybridMultilevel"/>
    <w:tmpl w:val="71C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A453E"/>
    <w:multiLevelType w:val="hybridMultilevel"/>
    <w:tmpl w:val="3C48E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777AA1"/>
    <w:multiLevelType w:val="multilevel"/>
    <w:tmpl w:val="CDA00C8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44" w15:restartNumberingAfterBreak="0">
    <w:nsid w:val="74E543CE"/>
    <w:multiLevelType w:val="hybridMultilevel"/>
    <w:tmpl w:val="E0D2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16"/>
  </w:num>
  <w:num w:numId="3">
    <w:abstractNumId w:val="45"/>
  </w:num>
  <w:num w:numId="4">
    <w:abstractNumId w:val="29"/>
  </w:num>
  <w:num w:numId="5">
    <w:abstractNumId w:val="3"/>
  </w:num>
  <w:num w:numId="6">
    <w:abstractNumId w:val="15"/>
  </w:num>
  <w:num w:numId="7">
    <w:abstractNumId w:val="10"/>
  </w:num>
  <w:num w:numId="8">
    <w:abstractNumId w:val="28"/>
  </w:num>
  <w:num w:numId="9">
    <w:abstractNumId w:val="37"/>
  </w:num>
  <w:num w:numId="10">
    <w:abstractNumId w:val="9"/>
  </w:num>
  <w:num w:numId="11">
    <w:abstractNumId w:val="40"/>
  </w:num>
  <w:num w:numId="12">
    <w:abstractNumId w:val="8"/>
  </w:num>
  <w:num w:numId="13">
    <w:abstractNumId w:val="17"/>
  </w:num>
  <w:num w:numId="14">
    <w:abstractNumId w:val="19"/>
  </w:num>
  <w:num w:numId="15">
    <w:abstractNumId w:val="6"/>
  </w:num>
  <w:num w:numId="16">
    <w:abstractNumId w:val="43"/>
  </w:num>
  <w:num w:numId="17">
    <w:abstractNumId w:val="36"/>
  </w:num>
  <w:num w:numId="18">
    <w:abstractNumId w:val="42"/>
  </w:num>
  <w:num w:numId="19">
    <w:abstractNumId w:val="41"/>
  </w:num>
  <w:num w:numId="20">
    <w:abstractNumId w:val="5"/>
  </w:num>
  <w:num w:numId="21">
    <w:abstractNumId w:val="20"/>
  </w:num>
  <w:num w:numId="22">
    <w:abstractNumId w:val="2"/>
  </w:num>
  <w:num w:numId="23">
    <w:abstractNumId w:val="39"/>
  </w:num>
  <w:num w:numId="24">
    <w:abstractNumId w:val="27"/>
  </w:num>
  <w:num w:numId="25">
    <w:abstractNumId w:val="32"/>
  </w:num>
  <w:num w:numId="26">
    <w:abstractNumId w:val="30"/>
  </w:num>
  <w:num w:numId="27">
    <w:abstractNumId w:val="25"/>
  </w:num>
  <w:num w:numId="28">
    <w:abstractNumId w:val="23"/>
  </w:num>
  <w:num w:numId="29">
    <w:abstractNumId w:val="35"/>
  </w:num>
  <w:num w:numId="30">
    <w:abstractNumId w:val="24"/>
  </w:num>
  <w:num w:numId="31">
    <w:abstractNumId w:val="12"/>
  </w:num>
  <w:num w:numId="32">
    <w:abstractNumId w:val="38"/>
  </w:num>
  <w:num w:numId="33">
    <w:abstractNumId w:val="13"/>
  </w:num>
  <w:num w:numId="34">
    <w:abstractNumId w:val="44"/>
  </w:num>
  <w:num w:numId="35">
    <w:abstractNumId w:val="34"/>
  </w:num>
  <w:num w:numId="36">
    <w:abstractNumId w:val="22"/>
  </w:num>
  <w:num w:numId="37">
    <w:abstractNumId w:val="11"/>
  </w:num>
  <w:num w:numId="38">
    <w:abstractNumId w:val="26"/>
  </w:num>
  <w:num w:numId="39">
    <w:abstractNumId w:val="7"/>
  </w:num>
  <w:num w:numId="40">
    <w:abstractNumId w:val="1"/>
  </w:num>
  <w:num w:numId="41">
    <w:abstractNumId w:val="21"/>
  </w:num>
  <w:num w:numId="42">
    <w:abstractNumId w:val="33"/>
  </w:num>
  <w:num w:numId="43">
    <w:abstractNumId w:val="0"/>
  </w:num>
  <w:num w:numId="44">
    <w:abstractNumId w:val="14"/>
  </w:num>
  <w:num w:numId="45">
    <w:abstractNumId w:val="3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51CDC"/>
    <w:rsid w:val="00051E74"/>
    <w:rsid w:val="0005502D"/>
    <w:rsid w:val="00057CFB"/>
    <w:rsid w:val="00060266"/>
    <w:rsid w:val="00061E00"/>
    <w:rsid w:val="00072650"/>
    <w:rsid w:val="00081EA7"/>
    <w:rsid w:val="00092FD0"/>
    <w:rsid w:val="00096D72"/>
    <w:rsid w:val="00097ACD"/>
    <w:rsid w:val="000B306B"/>
    <w:rsid w:val="000C015F"/>
    <w:rsid w:val="000E66EE"/>
    <w:rsid w:val="000F46F4"/>
    <w:rsid w:val="000F4A0D"/>
    <w:rsid w:val="000F5A72"/>
    <w:rsid w:val="001107EE"/>
    <w:rsid w:val="001173D9"/>
    <w:rsid w:val="00121679"/>
    <w:rsid w:val="00123FD2"/>
    <w:rsid w:val="00126327"/>
    <w:rsid w:val="001272F6"/>
    <w:rsid w:val="0013075E"/>
    <w:rsid w:val="00133373"/>
    <w:rsid w:val="00135947"/>
    <w:rsid w:val="00135C44"/>
    <w:rsid w:val="00137FB5"/>
    <w:rsid w:val="00141FC5"/>
    <w:rsid w:val="001738B9"/>
    <w:rsid w:val="001821BB"/>
    <w:rsid w:val="00184673"/>
    <w:rsid w:val="00191B6E"/>
    <w:rsid w:val="00197746"/>
    <w:rsid w:val="001B2A97"/>
    <w:rsid w:val="001B3428"/>
    <w:rsid w:val="001B784B"/>
    <w:rsid w:val="001C02C6"/>
    <w:rsid w:val="001C210E"/>
    <w:rsid w:val="001C305C"/>
    <w:rsid w:val="001C60B5"/>
    <w:rsid w:val="001D06D2"/>
    <w:rsid w:val="001D3A63"/>
    <w:rsid w:val="001E0FEA"/>
    <w:rsid w:val="001E5B78"/>
    <w:rsid w:val="00202AB8"/>
    <w:rsid w:val="00211B9D"/>
    <w:rsid w:val="00214BA4"/>
    <w:rsid w:val="0022713F"/>
    <w:rsid w:val="002317AD"/>
    <w:rsid w:val="0024352A"/>
    <w:rsid w:val="00250088"/>
    <w:rsid w:val="00257CD2"/>
    <w:rsid w:val="00263CF9"/>
    <w:rsid w:val="00264D50"/>
    <w:rsid w:val="00264F2B"/>
    <w:rsid w:val="00273D26"/>
    <w:rsid w:val="002A6B4B"/>
    <w:rsid w:val="002B0BC9"/>
    <w:rsid w:val="002B2ACE"/>
    <w:rsid w:val="002B40D7"/>
    <w:rsid w:val="002B712E"/>
    <w:rsid w:val="002C0A83"/>
    <w:rsid w:val="002C170B"/>
    <w:rsid w:val="002D11B1"/>
    <w:rsid w:val="002E0C37"/>
    <w:rsid w:val="002E2E74"/>
    <w:rsid w:val="002E6258"/>
    <w:rsid w:val="002F3401"/>
    <w:rsid w:val="0030027F"/>
    <w:rsid w:val="00300678"/>
    <w:rsid w:val="003018F5"/>
    <w:rsid w:val="00304FD0"/>
    <w:rsid w:val="00305721"/>
    <w:rsid w:val="00312D85"/>
    <w:rsid w:val="00322D2E"/>
    <w:rsid w:val="00323CC4"/>
    <w:rsid w:val="003251AB"/>
    <w:rsid w:val="00326EC6"/>
    <w:rsid w:val="00330DB8"/>
    <w:rsid w:val="00337864"/>
    <w:rsid w:val="00340C77"/>
    <w:rsid w:val="00343973"/>
    <w:rsid w:val="00345CAF"/>
    <w:rsid w:val="003461AF"/>
    <w:rsid w:val="0037176B"/>
    <w:rsid w:val="00371966"/>
    <w:rsid w:val="003731CC"/>
    <w:rsid w:val="00390817"/>
    <w:rsid w:val="00397EDD"/>
    <w:rsid w:val="003A3414"/>
    <w:rsid w:val="003B40BB"/>
    <w:rsid w:val="003B7361"/>
    <w:rsid w:val="003B7B09"/>
    <w:rsid w:val="003C146E"/>
    <w:rsid w:val="003C6952"/>
    <w:rsid w:val="003C7CC4"/>
    <w:rsid w:val="003D5085"/>
    <w:rsid w:val="003E55BD"/>
    <w:rsid w:val="003E62E6"/>
    <w:rsid w:val="003F3D59"/>
    <w:rsid w:val="003F3E7F"/>
    <w:rsid w:val="003F60C7"/>
    <w:rsid w:val="0040037A"/>
    <w:rsid w:val="00407604"/>
    <w:rsid w:val="00416DED"/>
    <w:rsid w:val="00427779"/>
    <w:rsid w:val="004375CA"/>
    <w:rsid w:val="004377A5"/>
    <w:rsid w:val="004421C8"/>
    <w:rsid w:val="00446126"/>
    <w:rsid w:val="004471CE"/>
    <w:rsid w:val="0046169C"/>
    <w:rsid w:val="00471199"/>
    <w:rsid w:val="0047529F"/>
    <w:rsid w:val="00480353"/>
    <w:rsid w:val="00486C03"/>
    <w:rsid w:val="00486F40"/>
    <w:rsid w:val="00487698"/>
    <w:rsid w:val="00487BE6"/>
    <w:rsid w:val="004939C2"/>
    <w:rsid w:val="00497F39"/>
    <w:rsid w:val="004A4626"/>
    <w:rsid w:val="004A6253"/>
    <w:rsid w:val="004B11DC"/>
    <w:rsid w:val="004B2377"/>
    <w:rsid w:val="004B31A5"/>
    <w:rsid w:val="004B5FC4"/>
    <w:rsid w:val="004D632B"/>
    <w:rsid w:val="004E2B42"/>
    <w:rsid w:val="004F24A1"/>
    <w:rsid w:val="00504A87"/>
    <w:rsid w:val="00506C55"/>
    <w:rsid w:val="00514A82"/>
    <w:rsid w:val="00522E53"/>
    <w:rsid w:val="0052328C"/>
    <w:rsid w:val="00536FA4"/>
    <w:rsid w:val="00544C9E"/>
    <w:rsid w:val="00550928"/>
    <w:rsid w:val="00554429"/>
    <w:rsid w:val="00554FDF"/>
    <w:rsid w:val="0055720E"/>
    <w:rsid w:val="00557708"/>
    <w:rsid w:val="00563A3B"/>
    <w:rsid w:val="00564789"/>
    <w:rsid w:val="005767ED"/>
    <w:rsid w:val="00577744"/>
    <w:rsid w:val="00581B9A"/>
    <w:rsid w:val="00584091"/>
    <w:rsid w:val="00590736"/>
    <w:rsid w:val="005B4E75"/>
    <w:rsid w:val="005B6CBD"/>
    <w:rsid w:val="005C1E9B"/>
    <w:rsid w:val="005C7D40"/>
    <w:rsid w:val="005D2563"/>
    <w:rsid w:val="005D2E61"/>
    <w:rsid w:val="005D4034"/>
    <w:rsid w:val="005D5FC4"/>
    <w:rsid w:val="005E33CB"/>
    <w:rsid w:val="0060193E"/>
    <w:rsid w:val="00602E30"/>
    <w:rsid w:val="00603C65"/>
    <w:rsid w:val="00607476"/>
    <w:rsid w:val="00611958"/>
    <w:rsid w:val="0062294A"/>
    <w:rsid w:val="00625D32"/>
    <w:rsid w:val="00626815"/>
    <w:rsid w:val="006310BB"/>
    <w:rsid w:val="00631491"/>
    <w:rsid w:val="00642297"/>
    <w:rsid w:val="00650116"/>
    <w:rsid w:val="00654789"/>
    <w:rsid w:val="00657B25"/>
    <w:rsid w:val="00660772"/>
    <w:rsid w:val="00672175"/>
    <w:rsid w:val="00680248"/>
    <w:rsid w:val="00680CAE"/>
    <w:rsid w:val="0068275A"/>
    <w:rsid w:val="0068334E"/>
    <w:rsid w:val="006B1CD2"/>
    <w:rsid w:val="006B29D1"/>
    <w:rsid w:val="006B483F"/>
    <w:rsid w:val="006B6115"/>
    <w:rsid w:val="006C4A51"/>
    <w:rsid w:val="006D0542"/>
    <w:rsid w:val="006F654D"/>
    <w:rsid w:val="00713011"/>
    <w:rsid w:val="00737008"/>
    <w:rsid w:val="00751CD3"/>
    <w:rsid w:val="007538EF"/>
    <w:rsid w:val="00753E99"/>
    <w:rsid w:val="00754449"/>
    <w:rsid w:val="007623DA"/>
    <w:rsid w:val="00777050"/>
    <w:rsid w:val="007774C7"/>
    <w:rsid w:val="00796AF2"/>
    <w:rsid w:val="007A0EF6"/>
    <w:rsid w:val="007A47F5"/>
    <w:rsid w:val="007C12A4"/>
    <w:rsid w:val="007C2C46"/>
    <w:rsid w:val="007C45C0"/>
    <w:rsid w:val="007C69D8"/>
    <w:rsid w:val="007D01C9"/>
    <w:rsid w:val="007D03B8"/>
    <w:rsid w:val="007D04C7"/>
    <w:rsid w:val="007D79E4"/>
    <w:rsid w:val="007E45DA"/>
    <w:rsid w:val="007E7FF2"/>
    <w:rsid w:val="007F3D0D"/>
    <w:rsid w:val="007F7EA7"/>
    <w:rsid w:val="008036D5"/>
    <w:rsid w:val="008046DF"/>
    <w:rsid w:val="00805FAF"/>
    <w:rsid w:val="00824D05"/>
    <w:rsid w:val="00827A22"/>
    <w:rsid w:val="00836BCD"/>
    <w:rsid w:val="00836F3B"/>
    <w:rsid w:val="008524C0"/>
    <w:rsid w:val="008554E7"/>
    <w:rsid w:val="00857182"/>
    <w:rsid w:val="008653E0"/>
    <w:rsid w:val="00872D81"/>
    <w:rsid w:val="00872DD5"/>
    <w:rsid w:val="0087331D"/>
    <w:rsid w:val="0087511B"/>
    <w:rsid w:val="00880111"/>
    <w:rsid w:val="00882E37"/>
    <w:rsid w:val="00883713"/>
    <w:rsid w:val="00884FD3"/>
    <w:rsid w:val="00890264"/>
    <w:rsid w:val="008902AA"/>
    <w:rsid w:val="00890A9D"/>
    <w:rsid w:val="00893619"/>
    <w:rsid w:val="008A2D5F"/>
    <w:rsid w:val="008A48E1"/>
    <w:rsid w:val="008B6FBC"/>
    <w:rsid w:val="008C12E0"/>
    <w:rsid w:val="008C745A"/>
    <w:rsid w:val="008D4CCD"/>
    <w:rsid w:val="008E5DFE"/>
    <w:rsid w:val="008F1F7E"/>
    <w:rsid w:val="00911572"/>
    <w:rsid w:val="00912C7B"/>
    <w:rsid w:val="00916053"/>
    <w:rsid w:val="00921F72"/>
    <w:rsid w:val="009233B4"/>
    <w:rsid w:val="00923A14"/>
    <w:rsid w:val="009328E2"/>
    <w:rsid w:val="00934DBA"/>
    <w:rsid w:val="00944FDA"/>
    <w:rsid w:val="0095436C"/>
    <w:rsid w:val="00961E2C"/>
    <w:rsid w:val="009653C8"/>
    <w:rsid w:val="009741D0"/>
    <w:rsid w:val="00980587"/>
    <w:rsid w:val="00980F99"/>
    <w:rsid w:val="0098365C"/>
    <w:rsid w:val="009839AC"/>
    <w:rsid w:val="0098440F"/>
    <w:rsid w:val="009878C1"/>
    <w:rsid w:val="00987E54"/>
    <w:rsid w:val="0099481D"/>
    <w:rsid w:val="00995693"/>
    <w:rsid w:val="009A1727"/>
    <w:rsid w:val="009A4394"/>
    <w:rsid w:val="009B2519"/>
    <w:rsid w:val="009C0774"/>
    <w:rsid w:val="009C0B0C"/>
    <w:rsid w:val="009D1EE4"/>
    <w:rsid w:val="009F4068"/>
    <w:rsid w:val="009F5E18"/>
    <w:rsid w:val="009F7F6B"/>
    <w:rsid w:val="00A05A1B"/>
    <w:rsid w:val="00A06B87"/>
    <w:rsid w:val="00A1524F"/>
    <w:rsid w:val="00A250EA"/>
    <w:rsid w:val="00A25B36"/>
    <w:rsid w:val="00A27646"/>
    <w:rsid w:val="00A279F5"/>
    <w:rsid w:val="00A34009"/>
    <w:rsid w:val="00A435F1"/>
    <w:rsid w:val="00A45520"/>
    <w:rsid w:val="00A47987"/>
    <w:rsid w:val="00A5686E"/>
    <w:rsid w:val="00A56D26"/>
    <w:rsid w:val="00A60C7E"/>
    <w:rsid w:val="00A60D6C"/>
    <w:rsid w:val="00A64917"/>
    <w:rsid w:val="00A81F33"/>
    <w:rsid w:val="00AA293F"/>
    <w:rsid w:val="00AA5A01"/>
    <w:rsid w:val="00AA7656"/>
    <w:rsid w:val="00AB112A"/>
    <w:rsid w:val="00AC45EB"/>
    <w:rsid w:val="00AC5841"/>
    <w:rsid w:val="00AD39CC"/>
    <w:rsid w:val="00AD7227"/>
    <w:rsid w:val="00AE3D01"/>
    <w:rsid w:val="00AE60C3"/>
    <w:rsid w:val="00AF3146"/>
    <w:rsid w:val="00AF4080"/>
    <w:rsid w:val="00AF5F95"/>
    <w:rsid w:val="00B00419"/>
    <w:rsid w:val="00B0581A"/>
    <w:rsid w:val="00B06037"/>
    <w:rsid w:val="00B32022"/>
    <w:rsid w:val="00B36A9F"/>
    <w:rsid w:val="00B47936"/>
    <w:rsid w:val="00B509E3"/>
    <w:rsid w:val="00B51340"/>
    <w:rsid w:val="00B52B29"/>
    <w:rsid w:val="00B80218"/>
    <w:rsid w:val="00B85CFB"/>
    <w:rsid w:val="00B936DE"/>
    <w:rsid w:val="00B93BD6"/>
    <w:rsid w:val="00B94BB0"/>
    <w:rsid w:val="00BA3E2A"/>
    <w:rsid w:val="00BA5F03"/>
    <w:rsid w:val="00BC39AE"/>
    <w:rsid w:val="00BC5B9C"/>
    <w:rsid w:val="00BF3CAE"/>
    <w:rsid w:val="00BF3E39"/>
    <w:rsid w:val="00C02ED4"/>
    <w:rsid w:val="00C05D9F"/>
    <w:rsid w:val="00C06EA8"/>
    <w:rsid w:val="00C1444B"/>
    <w:rsid w:val="00C16C86"/>
    <w:rsid w:val="00C177C7"/>
    <w:rsid w:val="00C17DDB"/>
    <w:rsid w:val="00C25A1F"/>
    <w:rsid w:val="00C27E7A"/>
    <w:rsid w:val="00C3069B"/>
    <w:rsid w:val="00C40173"/>
    <w:rsid w:val="00C60260"/>
    <w:rsid w:val="00C61EAB"/>
    <w:rsid w:val="00C84EE5"/>
    <w:rsid w:val="00C87F23"/>
    <w:rsid w:val="00C9163D"/>
    <w:rsid w:val="00C946D2"/>
    <w:rsid w:val="00C94C11"/>
    <w:rsid w:val="00CA4D3A"/>
    <w:rsid w:val="00CA4DA9"/>
    <w:rsid w:val="00CA5841"/>
    <w:rsid w:val="00CA7E0D"/>
    <w:rsid w:val="00CB0E6B"/>
    <w:rsid w:val="00CC764D"/>
    <w:rsid w:val="00CC7C3B"/>
    <w:rsid w:val="00CE2FFC"/>
    <w:rsid w:val="00CE6807"/>
    <w:rsid w:val="00CE6EB8"/>
    <w:rsid w:val="00CF2B8A"/>
    <w:rsid w:val="00CF7674"/>
    <w:rsid w:val="00D23590"/>
    <w:rsid w:val="00D25D84"/>
    <w:rsid w:val="00D26E48"/>
    <w:rsid w:val="00D34F08"/>
    <w:rsid w:val="00D41503"/>
    <w:rsid w:val="00D4405E"/>
    <w:rsid w:val="00D45A01"/>
    <w:rsid w:val="00D45D00"/>
    <w:rsid w:val="00D46EB1"/>
    <w:rsid w:val="00D55785"/>
    <w:rsid w:val="00D60F40"/>
    <w:rsid w:val="00D64BA8"/>
    <w:rsid w:val="00D713DC"/>
    <w:rsid w:val="00D74461"/>
    <w:rsid w:val="00D87080"/>
    <w:rsid w:val="00D9551D"/>
    <w:rsid w:val="00DA2383"/>
    <w:rsid w:val="00DC0F00"/>
    <w:rsid w:val="00DC144F"/>
    <w:rsid w:val="00DC594E"/>
    <w:rsid w:val="00DD2F88"/>
    <w:rsid w:val="00DE2218"/>
    <w:rsid w:val="00DE55DE"/>
    <w:rsid w:val="00DE7DF5"/>
    <w:rsid w:val="00DE7F1C"/>
    <w:rsid w:val="00DF30F4"/>
    <w:rsid w:val="00DF60B6"/>
    <w:rsid w:val="00DF6B65"/>
    <w:rsid w:val="00E01426"/>
    <w:rsid w:val="00E02A10"/>
    <w:rsid w:val="00E0318A"/>
    <w:rsid w:val="00E07F66"/>
    <w:rsid w:val="00E11F44"/>
    <w:rsid w:val="00E24001"/>
    <w:rsid w:val="00E24F55"/>
    <w:rsid w:val="00E263D4"/>
    <w:rsid w:val="00E333F3"/>
    <w:rsid w:val="00E343B1"/>
    <w:rsid w:val="00E371EA"/>
    <w:rsid w:val="00E37B54"/>
    <w:rsid w:val="00E40D18"/>
    <w:rsid w:val="00E43A3C"/>
    <w:rsid w:val="00E51131"/>
    <w:rsid w:val="00E550B4"/>
    <w:rsid w:val="00E56DBB"/>
    <w:rsid w:val="00E66466"/>
    <w:rsid w:val="00E704B3"/>
    <w:rsid w:val="00E70D0C"/>
    <w:rsid w:val="00E805CD"/>
    <w:rsid w:val="00E80D54"/>
    <w:rsid w:val="00E91E8C"/>
    <w:rsid w:val="00E95483"/>
    <w:rsid w:val="00EA23FA"/>
    <w:rsid w:val="00EA4379"/>
    <w:rsid w:val="00EB0509"/>
    <w:rsid w:val="00EB0841"/>
    <w:rsid w:val="00EC611C"/>
    <w:rsid w:val="00EC6188"/>
    <w:rsid w:val="00EC710F"/>
    <w:rsid w:val="00ED2339"/>
    <w:rsid w:val="00ED57C9"/>
    <w:rsid w:val="00EE1810"/>
    <w:rsid w:val="00EE7097"/>
    <w:rsid w:val="00EF229F"/>
    <w:rsid w:val="00F02F81"/>
    <w:rsid w:val="00F2582A"/>
    <w:rsid w:val="00F31259"/>
    <w:rsid w:val="00F31C10"/>
    <w:rsid w:val="00F34984"/>
    <w:rsid w:val="00F35E5A"/>
    <w:rsid w:val="00F44AD2"/>
    <w:rsid w:val="00F47429"/>
    <w:rsid w:val="00F47896"/>
    <w:rsid w:val="00F479A1"/>
    <w:rsid w:val="00F95B15"/>
    <w:rsid w:val="00FA1BA6"/>
    <w:rsid w:val="00FA2CE4"/>
    <w:rsid w:val="00FA62CB"/>
    <w:rsid w:val="00FA7943"/>
    <w:rsid w:val="00FB67EB"/>
    <w:rsid w:val="00FC2859"/>
    <w:rsid w:val="00FC7FAE"/>
    <w:rsid w:val="00FD1D43"/>
    <w:rsid w:val="00FE03B2"/>
    <w:rsid w:val="00FE0490"/>
    <w:rsid w:val="00FE2E18"/>
    <w:rsid w:val="00FF1936"/>
    <w:rsid w:val="00FF256C"/>
    <w:rsid w:val="00FF6FEF"/>
    <w:rsid w:val="024F2A06"/>
    <w:rsid w:val="058170C3"/>
    <w:rsid w:val="06419471"/>
    <w:rsid w:val="066025E1"/>
    <w:rsid w:val="0716616E"/>
    <w:rsid w:val="076F46D8"/>
    <w:rsid w:val="07DB6E3A"/>
    <w:rsid w:val="08ABF136"/>
    <w:rsid w:val="0CA82AD5"/>
    <w:rsid w:val="0CB1F0F3"/>
    <w:rsid w:val="0E1C4A4B"/>
    <w:rsid w:val="0E6F0104"/>
    <w:rsid w:val="0FEA59EA"/>
    <w:rsid w:val="1272A400"/>
    <w:rsid w:val="1597792F"/>
    <w:rsid w:val="161591B1"/>
    <w:rsid w:val="170D1C42"/>
    <w:rsid w:val="17837169"/>
    <w:rsid w:val="1796A3BD"/>
    <w:rsid w:val="17AF20D1"/>
    <w:rsid w:val="19977CBE"/>
    <w:rsid w:val="1B387FF7"/>
    <w:rsid w:val="1B44B837"/>
    <w:rsid w:val="1B80396D"/>
    <w:rsid w:val="1D1C09CE"/>
    <w:rsid w:val="1DEEB6DE"/>
    <w:rsid w:val="22170517"/>
    <w:rsid w:val="234391DC"/>
    <w:rsid w:val="23E9CE4A"/>
    <w:rsid w:val="265916FF"/>
    <w:rsid w:val="26B6CDC9"/>
    <w:rsid w:val="28895C17"/>
    <w:rsid w:val="28E21D93"/>
    <w:rsid w:val="2AA69653"/>
    <w:rsid w:val="2B526CFF"/>
    <w:rsid w:val="2D655A12"/>
    <w:rsid w:val="2D83C044"/>
    <w:rsid w:val="3004BEA2"/>
    <w:rsid w:val="300BEDD9"/>
    <w:rsid w:val="302043E4"/>
    <w:rsid w:val="30F20068"/>
    <w:rsid w:val="318EB30C"/>
    <w:rsid w:val="32BB1ABA"/>
    <w:rsid w:val="330EA32C"/>
    <w:rsid w:val="335419E6"/>
    <w:rsid w:val="35352021"/>
    <w:rsid w:val="35E7495F"/>
    <w:rsid w:val="36FC4148"/>
    <w:rsid w:val="37372E8E"/>
    <w:rsid w:val="3815D7AC"/>
    <w:rsid w:val="39EF68E7"/>
    <w:rsid w:val="3B72DB34"/>
    <w:rsid w:val="3B76A10D"/>
    <w:rsid w:val="3CDD3D87"/>
    <w:rsid w:val="4100CAC9"/>
    <w:rsid w:val="43395AD1"/>
    <w:rsid w:val="43934B3D"/>
    <w:rsid w:val="45578F9B"/>
    <w:rsid w:val="456CC812"/>
    <w:rsid w:val="4573BF5F"/>
    <w:rsid w:val="47026987"/>
    <w:rsid w:val="47DD3424"/>
    <w:rsid w:val="47ED821E"/>
    <w:rsid w:val="48D74CF5"/>
    <w:rsid w:val="4921AE67"/>
    <w:rsid w:val="49903E41"/>
    <w:rsid w:val="49F87FBF"/>
    <w:rsid w:val="4AF03429"/>
    <w:rsid w:val="4DF759D8"/>
    <w:rsid w:val="4E908B60"/>
    <w:rsid w:val="4F7BEBD6"/>
    <w:rsid w:val="4FEAECF0"/>
    <w:rsid w:val="5084B2DE"/>
    <w:rsid w:val="509F565B"/>
    <w:rsid w:val="51C6026A"/>
    <w:rsid w:val="520391A4"/>
    <w:rsid w:val="52361ECC"/>
    <w:rsid w:val="5239BBC9"/>
    <w:rsid w:val="5420E19D"/>
    <w:rsid w:val="5473A225"/>
    <w:rsid w:val="54BA76E2"/>
    <w:rsid w:val="54F33C82"/>
    <w:rsid w:val="586B40AC"/>
    <w:rsid w:val="5DA90825"/>
    <w:rsid w:val="61723A32"/>
    <w:rsid w:val="61FD0076"/>
    <w:rsid w:val="66214CC6"/>
    <w:rsid w:val="677FCB43"/>
    <w:rsid w:val="68ADD613"/>
    <w:rsid w:val="6A5B45F2"/>
    <w:rsid w:val="6AB76C05"/>
    <w:rsid w:val="6AC15943"/>
    <w:rsid w:val="6AF27473"/>
    <w:rsid w:val="6B145C61"/>
    <w:rsid w:val="6F0025FC"/>
    <w:rsid w:val="7837AC48"/>
    <w:rsid w:val="78AAD180"/>
    <w:rsid w:val="78F6E158"/>
    <w:rsid w:val="7902FB98"/>
    <w:rsid w:val="79186510"/>
    <w:rsid w:val="7981A2D8"/>
    <w:rsid w:val="79827920"/>
    <w:rsid w:val="7E5513FB"/>
    <w:rsid w:val="7FDAF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97A94"/>
  <w15:docId w15:val="{30306BB0-11F4-44F2-8A10-BB962B9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14A82"/>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F5 List Paragraph,List Paragraph1,Dot pt,List Paragraph Char Char Char,Indicator Text,Numbered Para 1,Bullet Points,MAIN CONTENT,Bullet 1,List Paragraph11,List Paragraph12,Colorful List - Accent 11,Bullet Style,OBC Bullet,No Spacing1,L,B"/>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E91E8C"/>
    <w:rPr>
      <w:sz w:val="20"/>
      <w:szCs w:val="20"/>
    </w:rPr>
  </w:style>
  <w:style w:type="character" w:customStyle="1" w:styleId="FootnoteTextChar">
    <w:name w:val="Footnote Text Char"/>
    <w:basedOn w:val="DefaultParagraphFont"/>
    <w:link w:val="FootnoteText"/>
    <w:uiPriority w:val="99"/>
    <w:semiHidden/>
    <w:rsid w:val="00E91E8C"/>
    <w:rPr>
      <w:rFonts w:ascii="Verdana" w:hAnsi="Verdana"/>
      <w:sz w:val="20"/>
      <w:szCs w:val="20"/>
    </w:rPr>
  </w:style>
  <w:style w:type="character" w:styleId="FootnoteReference">
    <w:name w:val="footnote reference"/>
    <w:basedOn w:val="DefaultParagraphFont"/>
    <w:uiPriority w:val="99"/>
    <w:semiHidden/>
    <w:unhideWhenUsed/>
    <w:rsid w:val="00E91E8C"/>
    <w:rPr>
      <w:vertAlign w:val="superscript"/>
    </w:rPr>
  </w:style>
  <w:style w:type="paragraph" w:styleId="TOC1">
    <w:name w:val="toc 1"/>
    <w:basedOn w:val="Normal"/>
    <w:next w:val="Normal"/>
    <w:autoRedefine/>
    <w:uiPriority w:val="39"/>
    <w:unhideWhenUsed/>
    <w:rsid w:val="00060266"/>
    <w:pPr>
      <w:tabs>
        <w:tab w:val="right" w:leader="dot" w:pos="9016"/>
      </w:tabs>
      <w:jc w:val="both"/>
    </w:pPr>
    <w:rPr>
      <w:rFonts w:eastAsia="Calibri" w:cs="Times New Roman"/>
    </w:rPr>
  </w:style>
  <w:style w:type="character" w:customStyle="1" w:styleId="ListParagraphChar">
    <w:name w:val="List Paragraph Char"/>
    <w:aliases w:val="F5 List Paragraph Char,List Paragraph1 Char,Dot pt Char,List Paragraph Char Char Char Char,Indicator Text Char,Numbered Para 1 Char,Bullet Points Char,MAIN CONTENT Char,Bullet 1 Char,List Paragraph11 Char,List Paragraph12 Char,L Char"/>
    <w:basedOn w:val="DefaultParagraphFont"/>
    <w:link w:val="ListParagraph"/>
    <w:uiPriority w:val="34"/>
    <w:qFormat/>
    <w:locked/>
    <w:rsid w:val="00060266"/>
    <w:rPr>
      <w:rFonts w:ascii="Verdana" w:hAnsi="Verdana"/>
      <w:sz w:val="24"/>
    </w:rPr>
  </w:style>
  <w:style w:type="character" w:customStyle="1" w:styleId="Heading3Char">
    <w:name w:val="Heading 3 Char"/>
    <w:basedOn w:val="DefaultParagraphFont"/>
    <w:link w:val="Heading3"/>
    <w:uiPriority w:val="9"/>
    <w:rsid w:val="00514A82"/>
    <w:rPr>
      <w:rFonts w:ascii="Verdana" w:eastAsiaTheme="majorEastAsia" w:hAnsi="Verdana" w:cstheme="majorBidi"/>
      <w:sz w:val="24"/>
      <w:szCs w:val="24"/>
    </w:rPr>
  </w:style>
  <w:style w:type="paragraph" w:styleId="NormalWeb">
    <w:name w:val="Normal (Web)"/>
    <w:basedOn w:val="Normal"/>
    <w:uiPriority w:val="99"/>
    <w:unhideWhenUsed/>
    <w:rsid w:val="0065011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83679">
      <w:bodyDiv w:val="1"/>
      <w:marLeft w:val="0"/>
      <w:marRight w:val="0"/>
      <w:marTop w:val="0"/>
      <w:marBottom w:val="0"/>
      <w:divBdr>
        <w:top w:val="none" w:sz="0" w:space="0" w:color="auto"/>
        <w:left w:val="none" w:sz="0" w:space="0" w:color="auto"/>
        <w:bottom w:val="none" w:sz="0" w:space="0" w:color="auto"/>
        <w:right w:val="none" w:sz="0" w:space="0" w:color="auto"/>
      </w:divBdr>
    </w:div>
    <w:div w:id="994187629">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134441725">
      <w:bodyDiv w:val="1"/>
      <w:marLeft w:val="0"/>
      <w:marRight w:val="0"/>
      <w:marTop w:val="0"/>
      <w:marBottom w:val="0"/>
      <w:divBdr>
        <w:top w:val="none" w:sz="0" w:space="0" w:color="auto"/>
        <w:left w:val="none" w:sz="0" w:space="0" w:color="auto"/>
        <w:bottom w:val="none" w:sz="0" w:space="0" w:color="auto"/>
        <w:right w:val="none" w:sz="0" w:space="0" w:color="auto"/>
      </w:divBdr>
      <w:divsChild>
        <w:div w:id="1473599286">
          <w:marLeft w:val="1166"/>
          <w:marRight w:val="0"/>
          <w:marTop w:val="100"/>
          <w:marBottom w:val="0"/>
          <w:divBdr>
            <w:top w:val="none" w:sz="0" w:space="0" w:color="auto"/>
            <w:left w:val="none" w:sz="0" w:space="0" w:color="auto"/>
            <w:bottom w:val="none" w:sz="0" w:space="0" w:color="auto"/>
            <w:right w:val="none" w:sz="0" w:space="0" w:color="auto"/>
          </w:divBdr>
        </w:div>
      </w:divsChild>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2"/>
  </w:compat>
  <w:rsids>
    <w:rsidRoot w:val="00942F3C"/>
    <w:rsid w:val="00063750"/>
    <w:rsid w:val="001061B6"/>
    <w:rsid w:val="00155805"/>
    <w:rsid w:val="001B7E71"/>
    <w:rsid w:val="003D3909"/>
    <w:rsid w:val="0045397F"/>
    <w:rsid w:val="004838BF"/>
    <w:rsid w:val="0048530B"/>
    <w:rsid w:val="005A164A"/>
    <w:rsid w:val="00760EAF"/>
    <w:rsid w:val="007A4DC1"/>
    <w:rsid w:val="00884126"/>
    <w:rsid w:val="00895D61"/>
    <w:rsid w:val="00942F3C"/>
    <w:rsid w:val="0098440F"/>
    <w:rsid w:val="009D581F"/>
    <w:rsid w:val="00A12BED"/>
    <w:rsid w:val="00AA293F"/>
    <w:rsid w:val="00AB42D4"/>
    <w:rsid w:val="00B21099"/>
    <w:rsid w:val="00B518DF"/>
    <w:rsid w:val="00B661DB"/>
    <w:rsid w:val="00BA24EE"/>
    <w:rsid w:val="00CF449E"/>
    <w:rsid w:val="00D50FC7"/>
    <w:rsid w:val="00DD5A62"/>
    <w:rsid w:val="00E861E6"/>
    <w:rsid w:val="00EF6FF0"/>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12" ma:contentTypeDescription="Create a new document." ma:contentTypeScope="" ma:versionID="95c4ae110dd52aad694586f6ab48a37f">
  <xsd:schema xmlns:xsd="http://www.w3.org/2001/XMLSchema" xmlns:xs="http://www.w3.org/2001/XMLSchema" xmlns:p="http://schemas.microsoft.com/office/2006/metadata/properties" xmlns:ns3="7eb3d039-33b6-4495-9bc2-698ff4d5488a" xmlns:ns4="c9a6731c-53d6-464c-b253-c810b90fd6a8" targetNamespace="http://schemas.microsoft.com/office/2006/metadata/properties" ma:root="true" ma:fieldsID="700db2962b5117df75bcce3833bb6a2b" ns3:_="" ns4:_="">
    <xsd:import namespace="7eb3d039-33b6-4495-9bc2-698ff4d5488a"/>
    <xsd:import namespace="c9a6731c-53d6-464c-b253-c810b90fd6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d039-33b6-4495-9bc2-698ff4d548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E4FD6-408B-48BD-A088-9C453C496D1C}">
  <ds:schemaRefs>
    <ds:schemaRef ds:uri="http://purl.org/dc/terms/"/>
    <ds:schemaRef ds:uri="http://schemas.openxmlformats.org/package/2006/metadata/core-properties"/>
    <ds:schemaRef ds:uri="http://purl.org/dc/dcmitype/"/>
    <ds:schemaRef ds:uri="http://schemas.microsoft.com/office/2006/documentManagement/types"/>
    <ds:schemaRef ds:uri="7eb3d039-33b6-4495-9bc2-698ff4d5488a"/>
    <ds:schemaRef ds:uri="http://purl.org/dc/elements/1.1/"/>
    <ds:schemaRef ds:uri="c9a6731c-53d6-464c-b253-c810b90fd6a8"/>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3.xml><?xml version="1.0" encoding="utf-8"?>
<ds:datastoreItem xmlns:ds="http://schemas.openxmlformats.org/officeDocument/2006/customXml" ds:itemID="{527F4F2B-8CFF-4A55-A181-987E862A6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d039-33b6-4495-9bc2-698ff4d5488a"/>
    <ds:schemaRef ds:uri="c9a6731c-53d6-464c-b253-c810b90f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7689E-9C69-466B-A795-EC9576DC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subject/>
  <dc:creator>Cathie Steele</dc:creator>
  <cp:keywords>board committee</cp:keywords>
  <dc:description/>
  <cp:lastModifiedBy>Helen Bushell (Public Health Wales - No. 2 Capital Quarter)</cp:lastModifiedBy>
  <cp:revision>12</cp:revision>
  <cp:lastPrinted>2017-10-16T08:46:00Z</cp:lastPrinted>
  <dcterms:created xsi:type="dcterms:W3CDTF">2021-05-18T15:32:00Z</dcterms:created>
  <dcterms:modified xsi:type="dcterms:W3CDTF">2021-05-21T13:11:00Z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