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954"/>
        <w:gridCol w:w="894"/>
        <w:gridCol w:w="1506"/>
        <w:gridCol w:w="334"/>
        <w:gridCol w:w="1662"/>
        <w:gridCol w:w="1818"/>
      </w:tblGrid>
      <w:tr w:rsidR="0013075E" w:rsidRPr="008F1F7E" w14:paraId="0E4DFC5C" w14:textId="77777777" w:rsidTr="00BE200C">
        <w:tc>
          <w:tcPr>
            <w:tcW w:w="5202" w:type="dxa"/>
            <w:gridSpan w:val="4"/>
            <w:vMerge w:val="restart"/>
          </w:tcPr>
          <w:p w14:paraId="2BB94CDE" w14:textId="77777777" w:rsidR="0013075E" w:rsidRPr="008F1F7E" w:rsidRDefault="0013075E" w:rsidP="00CF7674">
            <w:r w:rsidRPr="008F1F7E">
              <w:rPr>
                <w:b/>
                <w:noProof/>
                <w:lang w:eastAsia="en-GB"/>
              </w:rPr>
              <w:drawing>
                <wp:inline distT="0" distB="0" distL="0" distR="0" wp14:anchorId="48D6F386" wp14:editId="7949318B">
                  <wp:extent cx="3122083" cy="734018"/>
                  <wp:effectExtent l="19050" t="0" r="2117" b="0"/>
                  <wp:docPr id="4" name="Picture 1" descr="Compressed Public Health Wal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ressed Public Health Wale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503" cy="73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4" w:type="dxa"/>
            <w:gridSpan w:val="3"/>
            <w:tcBorders>
              <w:bottom w:val="nil"/>
            </w:tcBorders>
          </w:tcPr>
          <w:p w14:paraId="7EC6B8FC" w14:textId="77777777" w:rsidR="0013075E" w:rsidRPr="00D34F08" w:rsidRDefault="0013075E" w:rsidP="00EE7097">
            <w:pPr>
              <w:jc w:val="right"/>
              <w:rPr>
                <w:b/>
                <w:szCs w:val="24"/>
              </w:rPr>
            </w:pPr>
            <w:r w:rsidRPr="00D34F08">
              <w:rPr>
                <w:b/>
                <w:szCs w:val="24"/>
              </w:rPr>
              <w:t>Name of Meeting</w:t>
            </w:r>
          </w:p>
          <w:sdt>
            <w:sdtPr>
              <w:rPr>
                <w:rStyle w:val="Dropdown"/>
              </w:rPr>
              <w:alias w:val="Name of meeting"/>
              <w:tag w:val="Name of meeting"/>
              <w:id w:val="1886526"/>
              <w:placeholder>
                <w:docPart w:val="B71CEBAFED744FBDBE7668212525C5EB"/>
              </w:placeholder>
              <w:dropDownList>
                <w:listItem w:value="Choose an item."/>
                <w:listItem w:displayText="Board" w:value="Board"/>
                <w:listItem w:displayText="Audit and Corporate Governance Committee" w:value="Audit and Corporate Governance Committee"/>
                <w:listItem w:displayText="People and Organisational Development Committee" w:value="People and Organisational Development Committee"/>
                <w:listItem w:displayText="Quality, Safety and Improvement Committee" w:value="Quality, Safety and Improvement Committee"/>
                <w:listItem w:displayText="Remuneration and Terms of Service Committee" w:value="Remuneration and Terms of Service Committee"/>
                <w:listItem w:displayText="Business Executive Team Meeting" w:value="Business Executive Team Meeting"/>
                <w:listItem w:displayText="Strategic Planning Executive Team" w:value="Strategic Planning Executive Team"/>
                <w:listItem w:displayText="Policy and Strategy Executive Team Meeting" w:value="Policy and Strategy Executive Team Meeting"/>
                <w:listItem w:displayText="Senior Leadership Team" w:value="Senior Leadership Team"/>
                <w:listItem w:displayText="Other (stated below)" w:value="Other (stated below)"/>
              </w:dropDownList>
            </w:sdtPr>
            <w:sdtEndPr>
              <w:rPr>
                <w:rStyle w:val="DefaultParagraphFont"/>
                <w:b/>
                <w:sz w:val="22"/>
                <w:szCs w:val="24"/>
              </w:rPr>
            </w:sdtEndPr>
            <w:sdtContent>
              <w:p w14:paraId="28B3A1AC" w14:textId="2BBCE569" w:rsidR="0013075E" w:rsidRPr="00EE7097" w:rsidRDefault="0063502C" w:rsidP="00EE7097">
                <w:pPr>
                  <w:jc w:val="right"/>
                  <w:rPr>
                    <w:b/>
                    <w:szCs w:val="24"/>
                  </w:rPr>
                </w:pPr>
                <w:r>
                  <w:rPr>
                    <w:rStyle w:val="Dropdown"/>
                  </w:rPr>
                  <w:t>Board</w:t>
                </w:r>
              </w:p>
            </w:sdtContent>
          </w:sdt>
        </w:tc>
      </w:tr>
      <w:tr w:rsidR="0064025C" w:rsidRPr="0064025C" w14:paraId="73547A19" w14:textId="77777777" w:rsidTr="00BE200C">
        <w:tc>
          <w:tcPr>
            <w:tcW w:w="5202" w:type="dxa"/>
            <w:gridSpan w:val="4"/>
            <w:vMerge/>
          </w:tcPr>
          <w:p w14:paraId="60D703BA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nil"/>
            </w:tcBorders>
          </w:tcPr>
          <w:p w14:paraId="33B6DA27" w14:textId="77777777" w:rsidR="00D34F08" w:rsidRPr="0064025C" w:rsidRDefault="00D34F08" w:rsidP="00EE7097">
            <w:pPr>
              <w:jc w:val="right"/>
              <w:rPr>
                <w:b/>
              </w:rPr>
            </w:pPr>
            <w:r w:rsidRPr="0064025C">
              <w:rPr>
                <w:b/>
              </w:rPr>
              <w:t>Date of Meeting</w:t>
            </w:r>
          </w:p>
          <w:p w14:paraId="08DBCD02" w14:textId="72686F5C" w:rsidR="0013075E" w:rsidRPr="0064025C" w:rsidRDefault="0063502C" w:rsidP="0064025C">
            <w:pPr>
              <w:jc w:val="right"/>
            </w:pPr>
            <w:r>
              <w:t>24</w:t>
            </w:r>
            <w:r w:rsidR="003E19F6">
              <w:t xml:space="preserve"> </w:t>
            </w:r>
            <w:r w:rsidR="00B12B71">
              <w:t>September</w:t>
            </w:r>
            <w:r w:rsidR="0064025C">
              <w:t xml:space="preserve"> 2020</w:t>
            </w:r>
          </w:p>
        </w:tc>
      </w:tr>
      <w:tr w:rsidR="0013075E" w:rsidRPr="008F1F7E" w14:paraId="11A61A5D" w14:textId="77777777" w:rsidTr="00BE200C">
        <w:tc>
          <w:tcPr>
            <w:tcW w:w="5202" w:type="dxa"/>
            <w:gridSpan w:val="4"/>
            <w:vMerge/>
            <w:tcBorders>
              <w:bottom w:val="single" w:sz="4" w:space="0" w:color="auto"/>
            </w:tcBorders>
          </w:tcPr>
          <w:p w14:paraId="0ADD1004" w14:textId="77777777" w:rsidR="0013075E" w:rsidRPr="008F1F7E" w:rsidRDefault="0013075E" w:rsidP="00CF7674">
            <w:pPr>
              <w:rPr>
                <w:b/>
                <w:noProof/>
                <w:lang w:eastAsia="en-GB"/>
              </w:rPr>
            </w:pPr>
          </w:p>
        </w:tc>
        <w:tc>
          <w:tcPr>
            <w:tcW w:w="3814" w:type="dxa"/>
            <w:gridSpan w:val="3"/>
            <w:tcBorders>
              <w:top w:val="nil"/>
              <w:bottom w:val="single" w:sz="4" w:space="0" w:color="auto"/>
            </w:tcBorders>
          </w:tcPr>
          <w:p w14:paraId="5DBC118A" w14:textId="77777777" w:rsidR="0013075E" w:rsidRPr="008F1F7E" w:rsidRDefault="0013075E" w:rsidP="00EE7097">
            <w:pPr>
              <w:jc w:val="right"/>
              <w:rPr>
                <w:b/>
              </w:rPr>
            </w:pPr>
            <w:r w:rsidRPr="008F1F7E">
              <w:rPr>
                <w:b/>
              </w:rPr>
              <w:t>Agenda item:</w:t>
            </w:r>
          </w:p>
          <w:p w14:paraId="12F9BBCB" w14:textId="432A97B9" w:rsidR="0013075E" w:rsidRPr="00EE7097" w:rsidRDefault="0063502C" w:rsidP="00EE7097">
            <w:pPr>
              <w:jc w:val="right"/>
              <w:rPr>
                <w:i/>
                <w:color w:val="FF0000"/>
              </w:rPr>
            </w:pPr>
            <w:r>
              <w:rPr>
                <w:i/>
              </w:rPr>
              <w:t>5.4</w:t>
            </w:r>
          </w:p>
        </w:tc>
      </w:tr>
      <w:tr w:rsidR="00EE7097" w:rsidRPr="008F1F7E" w14:paraId="4BCBCEEA" w14:textId="77777777" w:rsidTr="00BE200C">
        <w:tc>
          <w:tcPr>
            <w:tcW w:w="9016" w:type="dxa"/>
            <w:gridSpan w:val="7"/>
            <w:tcBorders>
              <w:left w:val="nil"/>
              <w:right w:val="nil"/>
            </w:tcBorders>
            <w:vAlign w:val="center"/>
          </w:tcPr>
          <w:p w14:paraId="2C4E1D6E" w14:textId="77777777" w:rsidR="00D34F08" w:rsidRPr="00912C7B" w:rsidRDefault="00D34F08" w:rsidP="00FA4F17">
            <w:pPr>
              <w:jc w:val="center"/>
              <w:rPr>
                <w:b/>
                <w:sz w:val="28"/>
              </w:rPr>
            </w:pPr>
          </w:p>
        </w:tc>
      </w:tr>
      <w:tr w:rsidR="00EE7097" w:rsidRPr="008F1F7E" w14:paraId="1AFD529F" w14:textId="77777777" w:rsidTr="00F133B1">
        <w:trPr>
          <w:trHeight w:val="959"/>
        </w:trPr>
        <w:tc>
          <w:tcPr>
            <w:tcW w:w="9016" w:type="dxa"/>
            <w:gridSpan w:val="7"/>
            <w:vAlign w:val="center"/>
          </w:tcPr>
          <w:p w14:paraId="46072403" w14:textId="1818B78D" w:rsidR="00EE7097" w:rsidRPr="00FA4F17" w:rsidRDefault="00F133B1" w:rsidP="00B12B71">
            <w:pPr>
              <w:keepNext/>
              <w:spacing w:before="240" w:after="240"/>
              <w:contextualSpacing/>
              <w:jc w:val="center"/>
              <w:outlineLvl w:val="0"/>
              <w:rPr>
                <w:rFonts w:eastAsia="Times New Roman" w:cs="Times New Roman"/>
                <w:b/>
                <w:kern w:val="28"/>
                <w:sz w:val="36"/>
                <w:szCs w:val="48"/>
              </w:rPr>
            </w:pPr>
            <w:r>
              <w:rPr>
                <w:rFonts w:eastAsia="Times New Roman" w:cs="Times New Roman"/>
                <w:b/>
                <w:kern w:val="28"/>
                <w:sz w:val="36"/>
                <w:szCs w:val="48"/>
              </w:rPr>
              <w:t>Strategic Risk Register (SRR)</w:t>
            </w:r>
          </w:p>
        </w:tc>
      </w:tr>
      <w:tr w:rsidR="00EE7097" w:rsidRPr="001C60B5" w14:paraId="67143985" w14:textId="77777777" w:rsidTr="00BE200C">
        <w:tc>
          <w:tcPr>
            <w:tcW w:w="2802" w:type="dxa"/>
            <w:gridSpan w:val="2"/>
          </w:tcPr>
          <w:p w14:paraId="035754D7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Executive lead:</w:t>
            </w:r>
          </w:p>
        </w:tc>
        <w:tc>
          <w:tcPr>
            <w:tcW w:w="6214" w:type="dxa"/>
            <w:gridSpan w:val="5"/>
          </w:tcPr>
          <w:p w14:paraId="485E5CA0" w14:textId="1AEB6A4F" w:rsidR="00EE7097" w:rsidRPr="00FA4F17" w:rsidRDefault="00C46E6D" w:rsidP="00C46E6D">
            <w:pPr>
              <w:rPr>
                <w:szCs w:val="24"/>
              </w:rPr>
            </w:pPr>
            <w:r>
              <w:rPr>
                <w:szCs w:val="24"/>
              </w:rPr>
              <w:t xml:space="preserve">Rhiannon Beaumont-Wood, Executive Director Quality, Nursing and Allied Health professionals </w:t>
            </w:r>
            <w:r w:rsidR="00375114">
              <w:rPr>
                <w:szCs w:val="24"/>
              </w:rPr>
              <w:t xml:space="preserve"> </w:t>
            </w:r>
          </w:p>
        </w:tc>
      </w:tr>
      <w:tr w:rsidR="00BE200C" w:rsidRPr="001C60B5" w14:paraId="5C7D81FC" w14:textId="77777777" w:rsidTr="00BE200C">
        <w:tc>
          <w:tcPr>
            <w:tcW w:w="2802" w:type="dxa"/>
            <w:gridSpan w:val="2"/>
          </w:tcPr>
          <w:p w14:paraId="0DEF8387" w14:textId="77777777" w:rsidR="00BE200C" w:rsidRPr="001C60B5" w:rsidRDefault="00BE200C" w:rsidP="00BE200C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Author:</w:t>
            </w:r>
          </w:p>
        </w:tc>
        <w:tc>
          <w:tcPr>
            <w:tcW w:w="6214" w:type="dxa"/>
            <w:gridSpan w:val="5"/>
          </w:tcPr>
          <w:p w14:paraId="38958E36" w14:textId="51322D9C" w:rsidR="00E36FFA" w:rsidRPr="00FA4F17" w:rsidRDefault="00C46E6D" w:rsidP="00BE200C">
            <w:pPr>
              <w:rPr>
                <w:szCs w:val="24"/>
              </w:rPr>
            </w:pPr>
            <w:r>
              <w:rPr>
                <w:szCs w:val="24"/>
              </w:rPr>
              <w:t xml:space="preserve">Helen Bushell, Board Secretary and Head of Board Business Unit </w:t>
            </w:r>
            <w:r w:rsidR="00E36FFA">
              <w:rPr>
                <w:szCs w:val="24"/>
              </w:rPr>
              <w:t xml:space="preserve"> </w:t>
            </w:r>
          </w:p>
        </w:tc>
      </w:tr>
      <w:tr w:rsidR="00BE200C" w:rsidRPr="001C60B5" w14:paraId="67206A15" w14:textId="77777777" w:rsidTr="00BE200C">
        <w:trPr>
          <w:trHeight w:val="149"/>
        </w:trPr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55F08E9E" w14:textId="77777777" w:rsidR="00BE200C" w:rsidRPr="005B4E75" w:rsidRDefault="00BE200C" w:rsidP="00BE200C">
            <w:pPr>
              <w:rPr>
                <w:b/>
                <w:sz w:val="12"/>
                <w:szCs w:val="12"/>
              </w:rPr>
            </w:pPr>
          </w:p>
        </w:tc>
        <w:tc>
          <w:tcPr>
            <w:tcW w:w="6214" w:type="dxa"/>
            <w:gridSpan w:val="5"/>
            <w:tcBorders>
              <w:left w:val="nil"/>
              <w:right w:val="nil"/>
            </w:tcBorders>
          </w:tcPr>
          <w:p w14:paraId="089C16B9" w14:textId="77777777" w:rsidR="00BE200C" w:rsidRPr="00FA4F17" w:rsidRDefault="00BE200C" w:rsidP="00BE200C">
            <w:pPr>
              <w:rPr>
                <w:sz w:val="12"/>
                <w:szCs w:val="12"/>
              </w:rPr>
            </w:pPr>
          </w:p>
        </w:tc>
      </w:tr>
      <w:tr w:rsidR="00C46E6D" w:rsidRPr="001C60B5" w14:paraId="35028766" w14:textId="77777777" w:rsidTr="00BE200C">
        <w:tc>
          <w:tcPr>
            <w:tcW w:w="2802" w:type="dxa"/>
            <w:gridSpan w:val="2"/>
          </w:tcPr>
          <w:p w14:paraId="61928E47" w14:textId="77777777" w:rsidR="00C46E6D" w:rsidRPr="001C60B5" w:rsidRDefault="00C46E6D" w:rsidP="00C46E6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Approval/Scrutiny route:</w:t>
            </w:r>
          </w:p>
        </w:tc>
        <w:tc>
          <w:tcPr>
            <w:tcW w:w="6214" w:type="dxa"/>
            <w:gridSpan w:val="5"/>
          </w:tcPr>
          <w:p w14:paraId="4E693426" w14:textId="36B3FE0F" w:rsidR="00C46E6D" w:rsidRPr="00FA4F17" w:rsidRDefault="0063502C" w:rsidP="0063502C">
            <w:pPr>
              <w:rPr>
                <w:szCs w:val="24"/>
              </w:rPr>
            </w:pPr>
            <w:r>
              <w:rPr>
                <w:szCs w:val="24"/>
              </w:rPr>
              <w:t xml:space="preserve">Business Executive Team – 14 September 2020 </w:t>
            </w:r>
            <w:r w:rsidR="00C46E6D">
              <w:rPr>
                <w:szCs w:val="24"/>
              </w:rPr>
              <w:t xml:space="preserve"> </w:t>
            </w:r>
          </w:p>
        </w:tc>
      </w:tr>
      <w:tr w:rsidR="00C46E6D" w:rsidRPr="001C60B5" w14:paraId="537725C4" w14:textId="77777777" w:rsidTr="00BE200C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D11159E" w14:textId="77777777" w:rsidR="00C46E6D" w:rsidRPr="00FA4F17" w:rsidRDefault="00C46E6D" w:rsidP="00C46E6D">
            <w:pPr>
              <w:rPr>
                <w:b/>
                <w:sz w:val="12"/>
                <w:szCs w:val="12"/>
              </w:rPr>
            </w:pPr>
          </w:p>
        </w:tc>
      </w:tr>
      <w:tr w:rsidR="00C46E6D" w:rsidRPr="001C60B5" w14:paraId="56878760" w14:textId="77777777" w:rsidTr="00BE200C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CF0A21A" w14:textId="77777777" w:rsidR="00C46E6D" w:rsidRPr="001C60B5" w:rsidRDefault="00C46E6D" w:rsidP="00C46E6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Purpose</w:t>
            </w:r>
          </w:p>
        </w:tc>
      </w:tr>
      <w:tr w:rsidR="00C46E6D" w:rsidRPr="001C60B5" w14:paraId="25806191" w14:textId="77777777" w:rsidTr="00BE200C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930F053" w14:textId="32062704" w:rsidR="00C46E6D" w:rsidRPr="00C46E6D" w:rsidRDefault="00C46E6D" w:rsidP="0063502C">
            <w:pPr>
              <w:spacing w:before="240" w:after="240"/>
              <w:rPr>
                <w:rFonts w:eastAsia="Times New Roman" w:cs="Times New Roman"/>
                <w:szCs w:val="20"/>
              </w:rPr>
            </w:pPr>
            <w:r w:rsidRPr="00FA4F17">
              <w:rPr>
                <w:rFonts w:eastAsia="Times New Roman" w:cs="Times New Roman"/>
                <w:szCs w:val="20"/>
              </w:rPr>
              <w:t>This pa</w:t>
            </w:r>
            <w:r>
              <w:rPr>
                <w:rFonts w:eastAsia="Times New Roman" w:cs="Times New Roman"/>
                <w:szCs w:val="20"/>
              </w:rPr>
              <w:t xml:space="preserve">per provides the revised strategic risk register </w:t>
            </w:r>
            <w:r w:rsidR="0063502C">
              <w:rPr>
                <w:rFonts w:eastAsia="Times New Roman" w:cs="Times New Roman"/>
                <w:szCs w:val="20"/>
              </w:rPr>
              <w:t xml:space="preserve">for the Boards consideration. </w:t>
            </w:r>
            <w:r>
              <w:rPr>
                <w:rFonts w:eastAsia="Times New Roman" w:cs="Times New Roman"/>
                <w:szCs w:val="20"/>
              </w:rPr>
              <w:t xml:space="preserve"> </w:t>
            </w:r>
          </w:p>
        </w:tc>
      </w:tr>
      <w:tr w:rsidR="00C46E6D" w:rsidRPr="001C60B5" w14:paraId="2E9C02F3" w14:textId="77777777" w:rsidTr="00BE200C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492BC11B" w14:textId="77777777" w:rsidR="00C46E6D" w:rsidRPr="005B4E75" w:rsidRDefault="00C46E6D" w:rsidP="00C46E6D">
            <w:pPr>
              <w:rPr>
                <w:b/>
                <w:sz w:val="12"/>
                <w:szCs w:val="12"/>
              </w:rPr>
            </w:pPr>
          </w:p>
        </w:tc>
      </w:tr>
      <w:tr w:rsidR="00C46E6D" w:rsidRPr="001C60B5" w14:paraId="0D3AD6C7" w14:textId="77777777" w:rsidTr="00BE200C">
        <w:tc>
          <w:tcPr>
            <w:tcW w:w="9016" w:type="dxa"/>
            <w:gridSpan w:val="7"/>
          </w:tcPr>
          <w:p w14:paraId="3229EB76" w14:textId="77777777" w:rsidR="00C46E6D" w:rsidRPr="0013075E" w:rsidRDefault="00C46E6D" w:rsidP="00C46E6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Recommendation: </w:t>
            </w:r>
          </w:p>
        </w:tc>
      </w:tr>
      <w:tr w:rsidR="00C46E6D" w:rsidRPr="001C60B5" w14:paraId="57F525E2" w14:textId="77777777" w:rsidTr="00BE200C">
        <w:tc>
          <w:tcPr>
            <w:tcW w:w="1848" w:type="dxa"/>
            <w:tcBorders>
              <w:bottom w:val="single" w:sz="4" w:space="0" w:color="auto"/>
            </w:tcBorders>
          </w:tcPr>
          <w:p w14:paraId="254E39A8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APPROVE</w:t>
            </w:r>
          </w:p>
          <w:p w14:paraId="45069FB2" w14:textId="6E42BCC6" w:rsidR="00C46E6D" w:rsidRPr="007A47F5" w:rsidRDefault="00C46E6D" w:rsidP="00C46E6D">
            <w:pPr>
              <w:jc w:val="center"/>
              <w:rPr>
                <w:rFonts w:ascii="Wingdings" w:hAnsi="Wingdings"/>
                <w:szCs w:val="24"/>
              </w:rPr>
            </w:pPr>
            <w:r>
              <w:rPr>
                <w:rFonts w:ascii="Wingdings" w:hAnsi="Wingdings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="Wingdings" w:hAnsi="Wingdings"/>
                <w:szCs w:val="24"/>
              </w:rPr>
              <w:instrText xml:space="preserve"> FORMCHECKBOX </w:instrText>
            </w:r>
            <w:r w:rsidR="00743E1B">
              <w:rPr>
                <w:rFonts w:ascii="Wingdings" w:hAnsi="Wingdings"/>
                <w:szCs w:val="24"/>
              </w:rPr>
            </w:r>
            <w:r w:rsidR="00743E1B">
              <w:rPr>
                <w:rFonts w:ascii="Wingdings" w:hAnsi="Wingdings"/>
                <w:szCs w:val="24"/>
              </w:rPr>
              <w:fldChar w:fldCharType="separate"/>
            </w:r>
            <w:r>
              <w:rPr>
                <w:rFonts w:ascii="Wingdings" w:hAnsi="Wingdings"/>
                <w:szCs w:val="24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</w:tcPr>
          <w:p w14:paraId="2A295C50" w14:textId="77777777" w:rsidR="00C46E6D" w:rsidRDefault="00C46E6D" w:rsidP="00C46E6D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CONSIDER</w:t>
            </w:r>
          </w:p>
          <w:p w14:paraId="0FC72B14" w14:textId="3E906596" w:rsidR="00C46E6D" w:rsidRPr="007A47F5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Cs w:val="24"/>
              </w:rPr>
              <w:instrText xml:space="preserve"> FORMCHECKBOX </w:instrText>
            </w:r>
            <w:r w:rsidR="00743E1B">
              <w:rPr>
                <w:szCs w:val="24"/>
              </w:rPr>
            </w:r>
            <w:r w:rsidR="00743E1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14:paraId="66CC52B7" w14:textId="77777777" w:rsidR="00C46E6D" w:rsidRDefault="00C46E6D" w:rsidP="00C46E6D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RECOMMEND</w:t>
            </w:r>
          </w:p>
          <w:p w14:paraId="478E1604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Cs w:val="24"/>
              </w:rPr>
              <w:instrText xml:space="preserve"> FORMCHECKBOX </w:instrText>
            </w:r>
            <w:r w:rsidR="00743E1B">
              <w:rPr>
                <w:szCs w:val="24"/>
              </w:rPr>
            </w:r>
            <w:r w:rsidR="00743E1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0EF61A2" w14:textId="77777777" w:rsidR="00C46E6D" w:rsidRDefault="00C46E6D" w:rsidP="00C46E6D">
            <w:pPr>
              <w:jc w:val="center"/>
              <w:rPr>
                <w:szCs w:val="24"/>
              </w:rPr>
            </w:pPr>
            <w:r w:rsidRPr="007A47F5">
              <w:rPr>
                <w:szCs w:val="24"/>
              </w:rPr>
              <w:t>ADOPT</w:t>
            </w:r>
          </w:p>
          <w:p w14:paraId="6A8156F2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Cs w:val="24"/>
              </w:rPr>
              <w:instrText xml:space="preserve"> FORMCHECKBOX </w:instrText>
            </w:r>
            <w:r w:rsidR="00743E1B">
              <w:rPr>
                <w:szCs w:val="24"/>
              </w:rPr>
            </w:r>
            <w:r w:rsidR="00743E1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7EF16C9C" w14:textId="77777777" w:rsidR="00C46E6D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ASSURANCE</w:t>
            </w:r>
          </w:p>
          <w:p w14:paraId="0EE08FB1" w14:textId="77777777" w:rsidR="00C46E6D" w:rsidRPr="007A47F5" w:rsidRDefault="00C46E6D" w:rsidP="00C46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Cs w:val="24"/>
              </w:rPr>
              <w:instrText xml:space="preserve"> FORMCHECKBOX </w:instrText>
            </w:r>
            <w:r w:rsidR="00743E1B">
              <w:rPr>
                <w:szCs w:val="24"/>
              </w:rPr>
            </w:r>
            <w:r w:rsidR="00743E1B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C46E6D" w:rsidRPr="001C60B5" w14:paraId="3800EBBC" w14:textId="77777777" w:rsidTr="00BE200C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72BB2BDC" w14:textId="294A52E9" w:rsidR="00C46E6D" w:rsidRPr="00E85AE8" w:rsidRDefault="00C46E6D" w:rsidP="00C46E6D">
            <w:pPr>
              <w:rPr>
                <w:szCs w:val="24"/>
              </w:rPr>
            </w:pPr>
            <w:r w:rsidRPr="00E85AE8">
              <w:rPr>
                <w:szCs w:val="24"/>
              </w:rPr>
              <w:t xml:space="preserve">The </w:t>
            </w:r>
            <w:r w:rsidR="0063502C">
              <w:rPr>
                <w:szCs w:val="24"/>
              </w:rPr>
              <w:t>Board</w:t>
            </w:r>
            <w:r w:rsidRPr="00E85AE8">
              <w:rPr>
                <w:szCs w:val="24"/>
              </w:rPr>
              <w:t xml:space="preserve"> is asked to: </w:t>
            </w:r>
          </w:p>
          <w:p w14:paraId="118E922F" w14:textId="77777777" w:rsidR="00C46E6D" w:rsidRPr="003D4DC8" w:rsidRDefault="00C46E6D" w:rsidP="00C46E6D">
            <w:pPr>
              <w:pStyle w:val="ListParagraph"/>
              <w:jc w:val="both"/>
              <w:rPr>
                <w:szCs w:val="24"/>
              </w:rPr>
            </w:pPr>
          </w:p>
          <w:p w14:paraId="2CB23B9A" w14:textId="77777777" w:rsidR="0063502C" w:rsidRDefault="0063502C" w:rsidP="0063502C">
            <w:pPr>
              <w:pStyle w:val="ListParagraph"/>
              <w:numPr>
                <w:ilvl w:val="0"/>
                <w:numId w:val="31"/>
              </w:numPr>
              <w:jc w:val="both"/>
            </w:pPr>
            <w:r w:rsidRPr="0063502C">
              <w:rPr>
                <w:b/>
              </w:rPr>
              <w:t>Approve</w:t>
            </w:r>
            <w:r>
              <w:t xml:space="preserve"> the revised strategic risk register (1 to 3 and 5 to 8) in the Public Board Meeting, and;</w:t>
            </w:r>
          </w:p>
          <w:p w14:paraId="57176816" w14:textId="341ECF23" w:rsidR="00C46E6D" w:rsidRPr="009566CA" w:rsidRDefault="0063502C" w:rsidP="0063502C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rPr>
                <w:b/>
              </w:rPr>
              <w:t xml:space="preserve">Approve </w:t>
            </w:r>
            <w:r w:rsidRPr="0063502C">
              <w:t>risk 4 in the Private meeting of the Board.</w:t>
            </w:r>
            <w:r>
              <w:rPr>
                <w:b/>
              </w:rPr>
              <w:t xml:space="preserve"> </w:t>
            </w:r>
          </w:p>
        </w:tc>
      </w:tr>
    </w:tbl>
    <w:p w14:paraId="166059AD" w14:textId="77777777" w:rsidR="00916053" w:rsidRDefault="0091605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834"/>
      </w:tblGrid>
      <w:tr w:rsidR="00D713DC" w:rsidRPr="001C60B5" w14:paraId="4E368315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95CF52D" w14:textId="77777777" w:rsidR="00D713DC" w:rsidRPr="005B4E75" w:rsidRDefault="00D713DC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2CA5905F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1C4F9E43" w14:textId="77777777" w:rsidR="00EE7097" w:rsidRPr="001C60B5" w:rsidRDefault="00EE7097" w:rsidP="00680248">
            <w:pPr>
              <w:rPr>
                <w:szCs w:val="24"/>
              </w:rPr>
            </w:pPr>
            <w:r w:rsidRPr="001C60B5">
              <w:rPr>
                <w:b/>
                <w:szCs w:val="24"/>
              </w:rPr>
              <w:t xml:space="preserve">Link to Public Health Wales </w:t>
            </w:r>
            <w:hyperlink r:id="rId9" w:history="1">
              <w:r w:rsidRPr="001C60B5">
                <w:rPr>
                  <w:rStyle w:val="Hyperlink"/>
                  <w:b/>
                  <w:szCs w:val="24"/>
                </w:rPr>
                <w:t>Strategic Plan</w:t>
              </w:r>
            </w:hyperlink>
          </w:p>
          <w:p w14:paraId="35773DD1" w14:textId="77777777" w:rsidR="00EE7097" w:rsidRPr="001C60B5" w:rsidRDefault="00EE7097" w:rsidP="00680248">
            <w:pPr>
              <w:rPr>
                <w:szCs w:val="24"/>
              </w:rPr>
            </w:pPr>
          </w:p>
          <w:p w14:paraId="3A8B4DB9" w14:textId="77777777" w:rsidR="0013075E" w:rsidRDefault="00B52B29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Public Health Wales has an agreed strategic plan</w:t>
            </w:r>
            <w:r>
              <w:rPr>
                <w:szCs w:val="24"/>
              </w:rPr>
              <w:t xml:space="preserve">, which has identified seven strategic priorities and well-being objectives.  </w:t>
            </w:r>
          </w:p>
          <w:p w14:paraId="0D318109" w14:textId="77777777" w:rsidR="00B52B29" w:rsidRDefault="00B52B29" w:rsidP="00EE7097">
            <w:pPr>
              <w:rPr>
                <w:bCs/>
                <w:szCs w:val="24"/>
              </w:rPr>
            </w:pPr>
          </w:p>
          <w:p w14:paraId="3F2FED0B" w14:textId="77777777" w:rsidR="00EE7097" w:rsidRPr="001C60B5" w:rsidRDefault="00EE7097" w:rsidP="00EE7097">
            <w:pPr>
              <w:rPr>
                <w:szCs w:val="24"/>
              </w:rPr>
            </w:pPr>
            <w:r w:rsidRPr="001C60B5">
              <w:rPr>
                <w:szCs w:val="24"/>
              </w:rPr>
              <w:t>This report contributes to the following:</w:t>
            </w:r>
          </w:p>
        </w:tc>
      </w:tr>
      <w:tr w:rsidR="00EE7097" w:rsidRPr="001C60B5" w14:paraId="208300DF" w14:textId="77777777" w:rsidTr="00480353">
        <w:tc>
          <w:tcPr>
            <w:tcW w:w="3192" w:type="dxa"/>
            <w:shd w:val="clear" w:color="auto" w:fill="auto"/>
          </w:tcPr>
          <w:p w14:paraId="66A04A07" w14:textId="77777777" w:rsidR="00EE7097" w:rsidRPr="001C60B5" w:rsidRDefault="00B52B29" w:rsidP="00B52B29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Strategic </w:t>
            </w:r>
            <w:r>
              <w:rPr>
                <w:b/>
                <w:szCs w:val="24"/>
              </w:rPr>
              <w:t>Priority/Well-being Objective</w:t>
            </w:r>
          </w:p>
        </w:tc>
        <w:tc>
          <w:tcPr>
            <w:tcW w:w="5834" w:type="dxa"/>
            <w:shd w:val="clear" w:color="auto" w:fill="auto"/>
          </w:tcPr>
          <w:p w14:paraId="2E44CD41" w14:textId="3ED429F6" w:rsidR="00EE7097" w:rsidRPr="0013075E" w:rsidRDefault="00743E1B" w:rsidP="00554429">
            <w:pPr>
              <w:rPr>
                <w:szCs w:val="24"/>
              </w:rPr>
            </w:pPr>
            <w:sdt>
              <w:sdtPr>
                <w:rPr>
                  <w:rStyle w:val="Dropdown"/>
                </w:rPr>
                <w:alias w:val="Strategic Objective"/>
                <w:tag w:val="Strategic Objective"/>
                <w:id w:val="1886465"/>
                <w:placeholder>
                  <w:docPart w:val="0E25CCC5DD4F43AAA642CDCC18DDB6A6"/>
                </w:placeholder>
                <w:dropDownList>
                  <w:listItem w:value="Choose an item."/>
                  <w:listItem w:displayText="1 - Influencing the wider determinants of health" w:value="1 - Influencing the wider determinants of health"/>
                  <w:listItem w:displayText="2 - Improving mental-well-being and building resilience" w:value="2 - Improving mental-well-being and building resilience"/>
                  <w:listItem w:displayText="3 - Promoting healthy behaviours" w:value="3 - Promoting healthy behaviours"/>
                  <w:listItem w:displayText="4 - Securing a healthy future for the next generation through a focus on early years" w:value="4 - Securing a healthy future for the next generation through a focus on early years"/>
                  <w:listItem w:displayText="5 - Protecting the public from infection and environmental threats to health" w:value="5 - Protecting the public from infection and environmental threats to health"/>
                  <w:listItem w:displayText="6 - Supporting the development of a sustainable health and care system focused on prevention and early intervention" w:value="6 - Supporting the development of a sustainable health and care system focused on prevention and early intervention"/>
                  <w:listItem w:displayText="7 - Building and mobilising knowledge and skills to improve health and well-being across Wales" w:value="7 - Building and mobilising knowledge and skills to improve health and well-being across Wales"/>
                  <w:listItem w:displayText="All Strategic Priorities/Well-being Objectives" w:value="All Strategic Priorities/Well-being Objectives"/>
                </w:dropDownList>
              </w:sdtPr>
              <w:sdtEndPr>
                <w:rPr>
                  <w:rStyle w:val="DefaultParagraphFont"/>
                  <w:sz w:val="22"/>
                  <w:szCs w:val="24"/>
                </w:rPr>
              </w:sdtEndPr>
              <w:sdtContent>
                <w:r w:rsidR="00C633CE">
                  <w:rPr>
                    <w:rStyle w:val="Dropdown"/>
                  </w:rPr>
                  <w:t>All Strategic Priorities/Well-being Objectives</w:t>
                </w:r>
              </w:sdtContent>
            </w:sdt>
          </w:p>
        </w:tc>
      </w:tr>
      <w:tr w:rsidR="00EE7097" w:rsidRPr="001C60B5" w14:paraId="113812B2" w14:textId="77777777" w:rsidTr="00480353">
        <w:tc>
          <w:tcPr>
            <w:tcW w:w="902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CC51EB6" w14:textId="77777777" w:rsidR="00EE7097" w:rsidRPr="005B4E75" w:rsidRDefault="00EE7097" w:rsidP="00211B9D">
            <w:pPr>
              <w:rPr>
                <w:b/>
                <w:sz w:val="12"/>
                <w:szCs w:val="12"/>
              </w:rPr>
            </w:pPr>
          </w:p>
        </w:tc>
      </w:tr>
      <w:tr w:rsidR="00EE7097" w:rsidRPr="001C60B5" w14:paraId="068903DC" w14:textId="77777777" w:rsidTr="00480353">
        <w:tc>
          <w:tcPr>
            <w:tcW w:w="9026" w:type="dxa"/>
            <w:gridSpan w:val="2"/>
            <w:shd w:val="clear" w:color="auto" w:fill="F2F2F2" w:themeFill="background1" w:themeFillShade="F2"/>
          </w:tcPr>
          <w:p w14:paraId="2F3203B1" w14:textId="77777777" w:rsidR="00EE7097" w:rsidRPr="00C0426C" w:rsidRDefault="00EE7097" w:rsidP="00211B9D">
            <w:pPr>
              <w:rPr>
                <w:i/>
                <w:szCs w:val="24"/>
              </w:rPr>
            </w:pPr>
            <w:r w:rsidRPr="00C0426C">
              <w:rPr>
                <w:b/>
                <w:szCs w:val="24"/>
              </w:rPr>
              <w:t xml:space="preserve">Summary impact analysis </w:t>
            </w:r>
            <w:r w:rsidRPr="00C0426C">
              <w:rPr>
                <w:i/>
                <w:szCs w:val="24"/>
              </w:rPr>
              <w:t xml:space="preserve"> </w:t>
            </w:r>
          </w:p>
          <w:p w14:paraId="2CC46CA7" w14:textId="77777777" w:rsidR="00EE7097" w:rsidRPr="00C0426C" w:rsidRDefault="00EE7097" w:rsidP="00CA5841">
            <w:pPr>
              <w:rPr>
                <w:szCs w:val="24"/>
              </w:rPr>
            </w:pPr>
          </w:p>
        </w:tc>
      </w:tr>
      <w:tr w:rsidR="00EE7097" w:rsidRPr="001C60B5" w14:paraId="6F33476D" w14:textId="77777777" w:rsidTr="00480353">
        <w:tc>
          <w:tcPr>
            <w:tcW w:w="3192" w:type="dxa"/>
          </w:tcPr>
          <w:p w14:paraId="5165C372" w14:textId="77777777" w:rsidR="00EE7097" w:rsidRPr="001C60B5" w:rsidRDefault="00EE7097" w:rsidP="00097ACD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Equality and Health Impact Assessment</w:t>
            </w:r>
          </w:p>
        </w:tc>
        <w:tc>
          <w:tcPr>
            <w:tcW w:w="5834" w:type="dxa"/>
          </w:tcPr>
          <w:p w14:paraId="4807D2EA" w14:textId="77777777" w:rsidR="00EE7097" w:rsidRPr="00DC6C8A" w:rsidRDefault="00DC6C8A" w:rsidP="005D5FC4">
            <w:pPr>
              <w:rPr>
                <w:szCs w:val="24"/>
              </w:rPr>
            </w:pPr>
            <w:r>
              <w:rPr>
                <w:szCs w:val="24"/>
              </w:rPr>
              <w:t>An EHIA is not required</w:t>
            </w:r>
          </w:p>
        </w:tc>
      </w:tr>
      <w:tr w:rsidR="003A3414" w:rsidRPr="001C60B5" w14:paraId="70453DDD" w14:textId="77777777" w:rsidTr="00480353">
        <w:tc>
          <w:tcPr>
            <w:tcW w:w="3192" w:type="dxa"/>
          </w:tcPr>
          <w:p w14:paraId="1D481A6F" w14:textId="77777777" w:rsidR="003A3414" w:rsidRPr="001C60B5" w:rsidRDefault="003A341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Risk and Assurance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722AD549" w14:textId="68B832C5" w:rsidR="003A3414" w:rsidRPr="00C0426C" w:rsidRDefault="00C46E6D" w:rsidP="00160AD0">
            <w:pPr>
              <w:rPr>
                <w:szCs w:val="24"/>
              </w:rPr>
            </w:pPr>
            <w:r>
              <w:rPr>
                <w:szCs w:val="24"/>
              </w:rPr>
              <w:t>The strategic risk register is a key source of assurance to the Board setting out the approach and management of strategic level risks.</w:t>
            </w:r>
            <w:r w:rsidR="00DC6C8A">
              <w:rPr>
                <w:szCs w:val="24"/>
              </w:rPr>
              <w:t xml:space="preserve"> </w:t>
            </w:r>
          </w:p>
        </w:tc>
      </w:tr>
      <w:tr w:rsidR="00EE7097" w:rsidRPr="001C60B5" w14:paraId="296C0A22" w14:textId="77777777" w:rsidTr="00480353">
        <w:trPr>
          <w:trHeight w:val="1030"/>
        </w:trPr>
        <w:tc>
          <w:tcPr>
            <w:tcW w:w="3192" w:type="dxa"/>
            <w:vMerge w:val="restart"/>
          </w:tcPr>
          <w:p w14:paraId="2B633A4D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Health and Care Standards</w:t>
            </w:r>
          </w:p>
        </w:tc>
        <w:tc>
          <w:tcPr>
            <w:tcW w:w="5834" w:type="dxa"/>
            <w:tcBorders>
              <w:bottom w:val="nil"/>
            </w:tcBorders>
          </w:tcPr>
          <w:p w14:paraId="18C06EEC" w14:textId="77777777" w:rsidR="00EE7097" w:rsidRPr="001C60B5" w:rsidRDefault="00EE7097" w:rsidP="00126327">
            <w:pPr>
              <w:rPr>
                <w:szCs w:val="24"/>
              </w:rPr>
            </w:pPr>
            <w:r w:rsidRPr="001C60B5">
              <w:rPr>
                <w:szCs w:val="24"/>
              </w:rPr>
              <w:t xml:space="preserve">This report supports and/or takes into account the </w:t>
            </w:r>
            <w:hyperlink r:id="rId10" w:history="1">
              <w:r w:rsidRPr="001C60B5">
                <w:rPr>
                  <w:rStyle w:val="Hyperlink"/>
                  <w:color w:val="0000FF"/>
                  <w:szCs w:val="24"/>
                </w:rPr>
                <w:t>Health and Care Standards for NHS Wales</w:t>
              </w:r>
            </w:hyperlink>
            <w:r w:rsidRPr="001C60B5">
              <w:rPr>
                <w:szCs w:val="24"/>
              </w:rPr>
              <w:t xml:space="preserve"> Quality Themes</w:t>
            </w:r>
            <w:r w:rsidRPr="001C60B5">
              <w:rPr>
                <w:i/>
                <w:color w:val="FF0000"/>
                <w:szCs w:val="24"/>
              </w:rPr>
              <w:t xml:space="preserve"> </w:t>
            </w:r>
          </w:p>
        </w:tc>
      </w:tr>
      <w:tr w:rsidR="00E263D4" w:rsidRPr="001C60B5" w14:paraId="050DC791" w14:textId="77777777" w:rsidTr="00480353">
        <w:trPr>
          <w:trHeight w:val="281"/>
        </w:trPr>
        <w:tc>
          <w:tcPr>
            <w:tcW w:w="3192" w:type="dxa"/>
            <w:vMerge/>
          </w:tcPr>
          <w:p w14:paraId="30CD8F3F" w14:textId="77777777" w:rsidR="00E263D4" w:rsidRPr="001C60B5" w:rsidRDefault="00E263D4" w:rsidP="00E263D4">
            <w:pPr>
              <w:rPr>
                <w:b/>
                <w:szCs w:val="24"/>
              </w:rPr>
            </w:pPr>
          </w:p>
        </w:tc>
        <w:tc>
          <w:tcPr>
            <w:tcW w:w="5834" w:type="dxa"/>
            <w:tcBorders>
              <w:top w:val="nil"/>
              <w:bottom w:val="nil"/>
            </w:tcBorders>
          </w:tcPr>
          <w:sdt>
            <w:sdtPr>
              <w:rPr>
                <w:rStyle w:val="Dropdown"/>
              </w:rPr>
              <w:alias w:val="Health and Care Standards"/>
              <w:tag w:val="Health and Care Standards"/>
              <w:id w:val="29471429"/>
              <w:placeholder>
                <w:docPart w:val="C04374CD51A040E4BEE1F4C1F29763FE"/>
              </w:placeholder>
              <w:dropDownList>
                <w:listItem w:value="Choose an item."/>
                <w:listItem w:displayText="Governance, Leadership and Accountability" w:value="Governance, Leadership and Accountability"/>
                <w:listItem w:displayText="Person Centred Care" w:value="Person Centred Care"/>
                <w:listItem w:displayText="Theme 1 - Staying Healthy" w:value="Theme 1 - Staying Healthy"/>
                <w:listItem w:displayText="Theme 2 - Safe Care" w:value="Theme 2 - Safe Care"/>
                <w:listItem w:displayText="Theme 3 - Effective Care" w:value="Theme 3 - Effective Care"/>
                <w:listItem w:displayText="Theme 4 - Dignified Care" w:value="Theme 4 - Dignified Care"/>
                <w:listItem w:displayText="Theme 5 - Timely Care" w:value="Theme 5 - Timely Care"/>
                <w:listItem w:displayText="Theme 6 - Individual Care" w:value="Theme 6 - Individual Care"/>
                <w:listItem w:displayText="Theme 7 - Staff and Resources" w:value="Theme 7 - Staff and Resources"/>
                <w:listItem w:displayText="All themes" w:value="All themes"/>
              </w:dropDownList>
            </w:sdtPr>
            <w:sdtEndPr>
              <w:rPr>
                <w:rStyle w:val="DefaultParagraphFont"/>
                <w:sz w:val="22"/>
                <w:szCs w:val="24"/>
              </w:rPr>
            </w:sdtEndPr>
            <w:sdtContent>
              <w:p w14:paraId="58FD3602" w14:textId="52F0D6DD" w:rsidR="00E263D4" w:rsidRPr="001C60B5" w:rsidRDefault="00C46E6D" w:rsidP="00E263D4">
                <w:pPr>
                  <w:ind w:left="436"/>
                  <w:rPr>
                    <w:szCs w:val="24"/>
                  </w:rPr>
                </w:pPr>
                <w:r>
                  <w:rPr>
                    <w:rStyle w:val="Dropdown"/>
                  </w:rPr>
                  <w:t>All themes</w:t>
                </w:r>
              </w:p>
            </w:sdtContent>
          </w:sdt>
        </w:tc>
      </w:tr>
      <w:tr w:rsidR="00EE7097" w:rsidRPr="001C60B5" w14:paraId="0472E29F" w14:textId="77777777" w:rsidTr="00480353">
        <w:tc>
          <w:tcPr>
            <w:tcW w:w="3192" w:type="dxa"/>
          </w:tcPr>
          <w:p w14:paraId="7CADBB2C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>Financial implications</w:t>
            </w:r>
          </w:p>
        </w:tc>
        <w:tc>
          <w:tcPr>
            <w:tcW w:w="5834" w:type="dxa"/>
          </w:tcPr>
          <w:p w14:paraId="2FF27B59" w14:textId="6B6DCDBF" w:rsidR="00EE7097" w:rsidRPr="00C0426C" w:rsidRDefault="00C46E6D" w:rsidP="00C46E6D">
            <w:pPr>
              <w:rPr>
                <w:szCs w:val="24"/>
              </w:rPr>
            </w:pPr>
            <w:r>
              <w:rPr>
                <w:szCs w:val="24"/>
              </w:rPr>
              <w:t xml:space="preserve">None as a result of this paper. Any cost related to the management of the strategic risks are encompassed within relevant organisational budgets. </w:t>
            </w:r>
            <w:r w:rsidR="00160AD0">
              <w:rPr>
                <w:szCs w:val="24"/>
              </w:rPr>
              <w:t xml:space="preserve"> </w:t>
            </w:r>
          </w:p>
        </w:tc>
      </w:tr>
      <w:tr w:rsidR="00EE7097" w:rsidRPr="001C60B5" w14:paraId="43C060C9" w14:textId="77777777" w:rsidTr="00480353">
        <w:tc>
          <w:tcPr>
            <w:tcW w:w="3192" w:type="dxa"/>
          </w:tcPr>
          <w:p w14:paraId="466CA6B5" w14:textId="77777777" w:rsidR="00EE7097" w:rsidRPr="001C60B5" w:rsidRDefault="00EE7097">
            <w:pPr>
              <w:rPr>
                <w:b/>
                <w:szCs w:val="24"/>
              </w:rPr>
            </w:pPr>
            <w:r w:rsidRPr="001C60B5">
              <w:rPr>
                <w:b/>
                <w:szCs w:val="24"/>
              </w:rPr>
              <w:t xml:space="preserve">People implications </w:t>
            </w:r>
          </w:p>
        </w:tc>
        <w:tc>
          <w:tcPr>
            <w:tcW w:w="5834" w:type="dxa"/>
            <w:tcBorders>
              <w:bottom w:val="single" w:sz="4" w:space="0" w:color="auto"/>
            </w:tcBorders>
          </w:tcPr>
          <w:p w14:paraId="51444964" w14:textId="2237E838" w:rsidR="00EE7097" w:rsidRPr="00C0426C" w:rsidRDefault="00C46E6D" w:rsidP="003D4DC8">
            <w:pPr>
              <w:rPr>
                <w:szCs w:val="24"/>
              </w:rPr>
            </w:pPr>
            <w:r>
              <w:rPr>
                <w:szCs w:val="24"/>
              </w:rPr>
              <w:t xml:space="preserve">None as a result of this paper. Any people related requirements related to the management of the strategic risks are encompassed within relevant organisational budgets.  </w:t>
            </w:r>
          </w:p>
        </w:tc>
      </w:tr>
    </w:tbl>
    <w:p w14:paraId="464DE898" w14:textId="77777777" w:rsidR="007D03B8" w:rsidRPr="001C60B5" w:rsidRDefault="007D03B8" w:rsidP="006F654D">
      <w:pPr>
        <w:pStyle w:val="ListBullet"/>
        <w:rPr>
          <w:b/>
          <w:color w:val="FF0000"/>
          <w:szCs w:val="24"/>
        </w:rPr>
        <w:sectPr w:rsidR="007D03B8" w:rsidRPr="001C60B5" w:rsidSect="008902AA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E0E670" w14:textId="1530FEAD" w:rsidR="00DC6C8A" w:rsidRPr="001C60B5" w:rsidRDefault="00C633CE" w:rsidP="00DC6C8A">
      <w:pPr>
        <w:pStyle w:val="Heading1"/>
        <w:numPr>
          <w:ilvl w:val="0"/>
          <w:numId w:val="2"/>
        </w:numPr>
        <w:ind w:left="567" w:hanging="567"/>
        <w:rPr>
          <w:szCs w:val="24"/>
        </w:rPr>
      </w:pPr>
      <w:r>
        <w:rPr>
          <w:szCs w:val="24"/>
        </w:rPr>
        <w:lastRenderedPageBreak/>
        <w:t>Background</w:t>
      </w:r>
    </w:p>
    <w:p w14:paraId="0FF51AA7" w14:textId="77777777" w:rsidR="00DC6C8A" w:rsidRDefault="00DC6C8A" w:rsidP="00DC6C8A">
      <w:pPr>
        <w:rPr>
          <w:szCs w:val="24"/>
        </w:rPr>
      </w:pPr>
    </w:p>
    <w:p w14:paraId="7EC1EAEB" w14:textId="02D41653" w:rsidR="00216100" w:rsidRDefault="00BC3A54" w:rsidP="00216100">
      <w:pPr>
        <w:pStyle w:val="ListParagraph"/>
        <w:ind w:left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The Strategic Risk Register </w:t>
      </w:r>
      <w:r w:rsidR="00C633CE">
        <w:rPr>
          <w:rFonts w:eastAsia="Times New Roman" w:cs="Times New Roman"/>
          <w:szCs w:val="20"/>
        </w:rPr>
        <w:t xml:space="preserve">(SRR) </w:t>
      </w:r>
      <w:r>
        <w:rPr>
          <w:rFonts w:eastAsia="Times New Roman" w:cs="Times New Roman"/>
          <w:szCs w:val="20"/>
        </w:rPr>
        <w:t xml:space="preserve">is a key tool within the organisations approach to risk management; setting out strategic level risks, risk ratings, sources of assurance and relevant actions plans in response to the risks. </w:t>
      </w:r>
    </w:p>
    <w:p w14:paraId="3122DC42" w14:textId="0C8BD280" w:rsidR="00BC3A54" w:rsidRDefault="00BC3A54" w:rsidP="00216100">
      <w:pPr>
        <w:pStyle w:val="ListParagraph"/>
        <w:ind w:left="0"/>
        <w:jc w:val="both"/>
        <w:rPr>
          <w:rFonts w:eastAsia="Times New Roman" w:cs="Times New Roman"/>
          <w:szCs w:val="20"/>
        </w:rPr>
      </w:pPr>
    </w:p>
    <w:p w14:paraId="6B173424" w14:textId="2D4A8A4D" w:rsidR="00BC3A54" w:rsidRDefault="00BC3A54" w:rsidP="00216100">
      <w:pPr>
        <w:pStyle w:val="ListParagraph"/>
        <w:ind w:left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Over recent months </w:t>
      </w:r>
      <w:r w:rsidR="00C633CE">
        <w:rPr>
          <w:rFonts w:eastAsia="Times New Roman" w:cs="Times New Roman"/>
          <w:szCs w:val="20"/>
        </w:rPr>
        <w:t>a series of activities have taken place to ensure the SRR remains current and appropriate to the challenging environment the organisation is operating within</w:t>
      </w:r>
      <w:r w:rsidR="00595402">
        <w:rPr>
          <w:rFonts w:eastAsia="Times New Roman" w:cs="Times New Roman"/>
          <w:szCs w:val="20"/>
        </w:rPr>
        <w:t xml:space="preserve"> (COVID-19)</w:t>
      </w:r>
      <w:r w:rsidR="00C633CE">
        <w:rPr>
          <w:rFonts w:eastAsia="Times New Roman" w:cs="Times New Roman"/>
          <w:szCs w:val="20"/>
        </w:rPr>
        <w:t xml:space="preserve">. </w:t>
      </w:r>
    </w:p>
    <w:p w14:paraId="5A3E53E4" w14:textId="08D9C277" w:rsidR="00C633CE" w:rsidRDefault="00C633CE" w:rsidP="00216100">
      <w:pPr>
        <w:pStyle w:val="ListParagraph"/>
        <w:ind w:left="0"/>
        <w:jc w:val="both"/>
        <w:rPr>
          <w:rFonts w:eastAsia="Times New Roman" w:cs="Times New Roman"/>
          <w:szCs w:val="20"/>
        </w:rPr>
      </w:pPr>
    </w:p>
    <w:p w14:paraId="250607CE" w14:textId="39032C01" w:rsidR="00C633CE" w:rsidRDefault="00C633CE" w:rsidP="00216100">
      <w:pPr>
        <w:pStyle w:val="ListParagraph"/>
        <w:ind w:left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In summary, the activities have included: </w:t>
      </w:r>
    </w:p>
    <w:p w14:paraId="49BBF48F" w14:textId="6A672A3C" w:rsidR="00C633CE" w:rsidRDefault="00C633CE" w:rsidP="00216100">
      <w:pPr>
        <w:pStyle w:val="ListParagraph"/>
        <w:ind w:left="0"/>
        <w:jc w:val="both"/>
        <w:rPr>
          <w:rFonts w:eastAsia="Times New Roman" w:cs="Times New Roman"/>
          <w:szCs w:val="20"/>
        </w:rPr>
      </w:pPr>
    </w:p>
    <w:p w14:paraId="12CC1D63" w14:textId="606A1199" w:rsidR="00C633CE" w:rsidRDefault="00C633CE" w:rsidP="00C633CE">
      <w:pPr>
        <w:pStyle w:val="ListParagraph"/>
        <w:numPr>
          <w:ilvl w:val="0"/>
          <w:numId w:val="3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Board session held to review the risk appetite in relation to strategic priority 5 (protecting the public from infection);</w:t>
      </w:r>
    </w:p>
    <w:p w14:paraId="6031FA1D" w14:textId="77AE3D19" w:rsidR="00C633CE" w:rsidRDefault="00C633CE" w:rsidP="00C633CE">
      <w:pPr>
        <w:pStyle w:val="ListParagraph"/>
        <w:numPr>
          <w:ilvl w:val="0"/>
          <w:numId w:val="3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The above Board session also considered the description of the COVID-19 risk and the ‘caused by’ explanations. The risk has since been further developed;</w:t>
      </w:r>
    </w:p>
    <w:p w14:paraId="30CA7F11" w14:textId="17ABE0D2" w:rsidR="00C633CE" w:rsidRDefault="00C633CE" w:rsidP="00C633CE">
      <w:pPr>
        <w:pStyle w:val="ListParagraph"/>
        <w:numPr>
          <w:ilvl w:val="0"/>
          <w:numId w:val="3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Executive leads have reviewed all strategic risks (1-8) and made relevant changes – resulting in the content being updated in light of COVID-19;</w:t>
      </w:r>
    </w:p>
    <w:p w14:paraId="42E69F0A" w14:textId="776BB1BE" w:rsidR="00C633CE" w:rsidRDefault="00C633CE" w:rsidP="00C633CE">
      <w:pPr>
        <w:pStyle w:val="ListParagraph"/>
        <w:numPr>
          <w:ilvl w:val="0"/>
          <w:numId w:val="32"/>
        </w:num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 xml:space="preserve">Separately but related, the corporate risk register is also being reviewed. </w:t>
      </w:r>
    </w:p>
    <w:p w14:paraId="36A67F7E" w14:textId="77777777" w:rsidR="00FB5433" w:rsidRDefault="00FB5433" w:rsidP="00216100">
      <w:pPr>
        <w:pStyle w:val="ListParagraph"/>
        <w:ind w:left="0"/>
        <w:jc w:val="both"/>
      </w:pPr>
    </w:p>
    <w:p w14:paraId="73E3261C" w14:textId="77777777" w:rsidR="00216100" w:rsidRDefault="00216100" w:rsidP="00DC6C8A">
      <w:pPr>
        <w:pStyle w:val="ListParagraph"/>
        <w:ind w:left="0"/>
      </w:pPr>
    </w:p>
    <w:p w14:paraId="611AB54D" w14:textId="1130274B" w:rsidR="00DC6C8A" w:rsidRPr="001C60B5" w:rsidRDefault="00C633CE" w:rsidP="00DC6C8A">
      <w:pPr>
        <w:pStyle w:val="Heading1"/>
        <w:numPr>
          <w:ilvl w:val="0"/>
          <w:numId w:val="2"/>
        </w:numPr>
        <w:spacing w:before="0"/>
        <w:ind w:left="567" w:hanging="567"/>
        <w:rPr>
          <w:szCs w:val="24"/>
        </w:rPr>
      </w:pPr>
      <w:r>
        <w:rPr>
          <w:szCs w:val="24"/>
        </w:rPr>
        <w:t>Current Situation</w:t>
      </w:r>
    </w:p>
    <w:p w14:paraId="58AA4854" w14:textId="77777777" w:rsidR="00DC6C8A" w:rsidRDefault="00DC6C8A" w:rsidP="00DC6C8A"/>
    <w:p w14:paraId="74FDE3A7" w14:textId="0137C68E" w:rsidR="009566CA" w:rsidRDefault="00C633CE" w:rsidP="00493ED8">
      <w:pPr>
        <w:jc w:val="both"/>
      </w:pPr>
      <w:r>
        <w:t>Al</w:t>
      </w:r>
      <w:r w:rsidR="0063502C">
        <w:t xml:space="preserve">l risks have been reviewed by lead </w:t>
      </w:r>
      <w:r>
        <w:t xml:space="preserve">Executive team </w:t>
      </w:r>
      <w:r w:rsidR="0063502C">
        <w:t>members</w:t>
      </w:r>
      <w:r w:rsidR="00CE5C15">
        <w:t xml:space="preserve"> individually;</w:t>
      </w:r>
      <w:r w:rsidR="0063502C">
        <w:t xml:space="preserve"> and collectively by the Business Executive Team. </w:t>
      </w:r>
    </w:p>
    <w:p w14:paraId="53B0728D" w14:textId="23C379B2" w:rsidR="00595402" w:rsidRDefault="00595402" w:rsidP="00493ED8">
      <w:pPr>
        <w:jc w:val="both"/>
      </w:pPr>
    </w:p>
    <w:p w14:paraId="1D20556F" w14:textId="252B1845" w:rsidR="00595402" w:rsidRDefault="00595402" w:rsidP="00493ED8">
      <w:pPr>
        <w:jc w:val="both"/>
      </w:pPr>
      <w:r>
        <w:t xml:space="preserve">The </w:t>
      </w:r>
      <w:r w:rsidR="0063502C">
        <w:t>Board is asked</w:t>
      </w:r>
      <w:r>
        <w:t xml:space="preserve"> to note the following:</w:t>
      </w:r>
    </w:p>
    <w:p w14:paraId="3385FAB5" w14:textId="55BBEFB2" w:rsidR="00595402" w:rsidRDefault="00595402" w:rsidP="00493ED8">
      <w:pPr>
        <w:jc w:val="both"/>
      </w:pPr>
    </w:p>
    <w:p w14:paraId="25E7680B" w14:textId="2822790D" w:rsidR="00595402" w:rsidRDefault="00CE5C15" w:rsidP="00595402">
      <w:pPr>
        <w:pStyle w:val="ListParagraph"/>
        <w:numPr>
          <w:ilvl w:val="0"/>
          <w:numId w:val="33"/>
        </w:numPr>
        <w:jc w:val="both"/>
      </w:pPr>
      <w:proofErr w:type="gramStart"/>
      <w:r>
        <w:t>all</w:t>
      </w:r>
      <w:proofErr w:type="gramEnd"/>
      <w:r>
        <w:t xml:space="preserve"> risks have been reviewed and updated</w:t>
      </w:r>
      <w:r w:rsidR="00595402">
        <w:t xml:space="preserve"> with changes to risk descriptors, score</w:t>
      </w:r>
      <w:r w:rsidR="003D0D61">
        <w:t xml:space="preserve">s, assurances and action plans. Where action plans have been updated the dates and actions are relevant to the current environment; </w:t>
      </w:r>
    </w:p>
    <w:p w14:paraId="2BCB588D" w14:textId="788CE8A9" w:rsidR="00595402" w:rsidRDefault="00595402" w:rsidP="00595402">
      <w:pPr>
        <w:pStyle w:val="ListParagraph"/>
        <w:numPr>
          <w:ilvl w:val="0"/>
          <w:numId w:val="33"/>
        </w:numPr>
        <w:jc w:val="both"/>
      </w:pPr>
      <w:r>
        <w:t>the assessment of assurances has been completed for risks 1,2 and 8 (</w:t>
      </w:r>
      <w:r w:rsidR="003D0D61">
        <w:t>due to COVID-19 the assessment of</w:t>
      </w:r>
      <w:r w:rsidR="00CE5C15">
        <w:t xml:space="preserve"> assurances in the other risks </w:t>
      </w:r>
      <w:r w:rsidR="003D0D61">
        <w:t>as been paused);</w:t>
      </w:r>
    </w:p>
    <w:p w14:paraId="4914D0A1" w14:textId="76D0A6D9" w:rsidR="00595402" w:rsidRDefault="00CE5C15" w:rsidP="00595402">
      <w:pPr>
        <w:pStyle w:val="ListParagraph"/>
        <w:numPr>
          <w:ilvl w:val="0"/>
          <w:numId w:val="33"/>
        </w:numPr>
        <w:jc w:val="both"/>
      </w:pPr>
      <w:proofErr w:type="gramStart"/>
      <w:r>
        <w:t>i</w:t>
      </w:r>
      <w:r w:rsidR="00595402">
        <w:t>f</w:t>
      </w:r>
      <w:proofErr w:type="gramEnd"/>
      <w:r w:rsidR="00595402">
        <w:t xml:space="preserve"> an assurance is not active it is marked as ‘not assessed’</w:t>
      </w:r>
      <w:r w:rsidR="003D0D61">
        <w:t xml:space="preserve"> (risks 1,2 and 8). </w:t>
      </w:r>
    </w:p>
    <w:p w14:paraId="5FA6C95B" w14:textId="6890E2C4" w:rsidR="000245FC" w:rsidRPr="003D0D61" w:rsidRDefault="000245FC" w:rsidP="003D0D61">
      <w:pPr>
        <w:jc w:val="both"/>
        <w:rPr>
          <w:b/>
          <w:i/>
        </w:rPr>
      </w:pPr>
    </w:p>
    <w:p w14:paraId="02E665EF" w14:textId="1748C1C3" w:rsidR="003D0D61" w:rsidRPr="003D0D61" w:rsidRDefault="00743E1B" w:rsidP="003D0D61">
      <w:pPr>
        <w:jc w:val="both"/>
        <w:rPr>
          <w:b/>
          <w:i/>
        </w:rPr>
      </w:pPr>
      <w:r>
        <w:rPr>
          <w:b/>
          <w:i/>
        </w:rPr>
        <w:t>The previous r</w:t>
      </w:r>
      <w:r w:rsidR="003D0D61" w:rsidRPr="003D0D61">
        <w:rPr>
          <w:b/>
          <w:i/>
        </w:rPr>
        <w:t xml:space="preserve">isk 7 (innovation), executive lead – John Boulton </w:t>
      </w:r>
    </w:p>
    <w:p w14:paraId="46BB3575" w14:textId="0E18C22D" w:rsidR="003D0D61" w:rsidRDefault="0063502C" w:rsidP="003D0D61">
      <w:pPr>
        <w:jc w:val="both"/>
      </w:pPr>
      <w:r>
        <w:t>Following review, it was</w:t>
      </w:r>
      <w:r w:rsidR="003D0D61">
        <w:t xml:space="preserve"> proposed to remove </w:t>
      </w:r>
      <w:r w:rsidR="00743E1B">
        <w:t>the strategic risk</w:t>
      </w:r>
      <w:r w:rsidR="003D0D61">
        <w:t xml:space="preserve"> </w:t>
      </w:r>
      <w:r w:rsidR="000245FC">
        <w:t>on the basis the</w:t>
      </w:r>
      <w:r w:rsidR="00743E1B">
        <w:t xml:space="preserve"> </w:t>
      </w:r>
      <w:r w:rsidR="000245FC">
        <w:t>organisational</w:t>
      </w:r>
      <w:r w:rsidR="003D0D61">
        <w:t xml:space="preserve"> approach will co</w:t>
      </w:r>
      <w:bookmarkStart w:id="5" w:name="_GoBack"/>
      <w:bookmarkEnd w:id="5"/>
      <w:r w:rsidR="003D0D61">
        <w:t xml:space="preserve">ntinue to be developed and an opportunity now exists to capitalise on the high levels of innovation seen throughout the response to the pandemic. The development of the new </w:t>
      </w:r>
      <w:r w:rsidR="003D0D61">
        <w:lastRenderedPageBreak/>
        <w:t xml:space="preserve">Operating Plan also presents an opportunity to ‘embed’ innovation across our work. </w:t>
      </w:r>
      <w:r>
        <w:t xml:space="preserve">This approach is supported by the Business Executive Team. </w:t>
      </w:r>
    </w:p>
    <w:p w14:paraId="140A884D" w14:textId="1B284ABB" w:rsidR="0063502C" w:rsidRDefault="0063502C" w:rsidP="003D0D61">
      <w:pPr>
        <w:jc w:val="both"/>
      </w:pPr>
    </w:p>
    <w:p w14:paraId="73C7B8A1" w14:textId="174484D4" w:rsidR="0063502C" w:rsidRPr="00C633CE" w:rsidRDefault="0063502C" w:rsidP="003D0D61">
      <w:pPr>
        <w:jc w:val="both"/>
      </w:pPr>
      <w:r w:rsidRPr="0063502C">
        <w:rPr>
          <w:b/>
        </w:rPr>
        <w:t>Risk 4</w:t>
      </w:r>
      <w:r>
        <w:t xml:space="preserve"> (There is a risk that PHW will suffer a major IT security breach resulting in failure to service delivery and/or loss of personal data) is provided to the Board within the Private meeting </w:t>
      </w:r>
      <w:r w:rsidR="00DF65BB">
        <w:t xml:space="preserve">due to </w:t>
      </w:r>
      <w:r>
        <w:t>the sensitivity of information provided within the document.</w:t>
      </w:r>
    </w:p>
    <w:p w14:paraId="44D7D0BB" w14:textId="22F8DD0B" w:rsidR="0021392D" w:rsidRDefault="0021392D" w:rsidP="0021392D">
      <w:pPr>
        <w:jc w:val="both"/>
      </w:pPr>
    </w:p>
    <w:p w14:paraId="4044BA86" w14:textId="6A8726F1" w:rsidR="00E97882" w:rsidRDefault="00E97882" w:rsidP="0021392D">
      <w:pPr>
        <w:jc w:val="both"/>
      </w:pPr>
    </w:p>
    <w:p w14:paraId="5DEDE53C" w14:textId="0C39413B" w:rsidR="000245FC" w:rsidRDefault="000245FC" w:rsidP="0021392D">
      <w:pPr>
        <w:jc w:val="both"/>
      </w:pPr>
    </w:p>
    <w:p w14:paraId="0B882045" w14:textId="5D7175E7" w:rsidR="000245FC" w:rsidRDefault="000245FC" w:rsidP="0021392D">
      <w:pPr>
        <w:jc w:val="both"/>
      </w:pPr>
    </w:p>
    <w:p w14:paraId="64C515FA" w14:textId="65EC412D" w:rsidR="000245FC" w:rsidRDefault="000245FC" w:rsidP="0021392D">
      <w:pPr>
        <w:jc w:val="both"/>
      </w:pPr>
    </w:p>
    <w:p w14:paraId="338D357D" w14:textId="070FDB8D" w:rsidR="000245FC" w:rsidRDefault="000245FC" w:rsidP="0021392D">
      <w:pPr>
        <w:jc w:val="both"/>
      </w:pPr>
    </w:p>
    <w:p w14:paraId="06665E4F" w14:textId="034FE592" w:rsidR="000245FC" w:rsidRDefault="000245FC" w:rsidP="0021392D">
      <w:pPr>
        <w:jc w:val="both"/>
      </w:pPr>
    </w:p>
    <w:p w14:paraId="2B26B332" w14:textId="6B3C5FF4" w:rsidR="000245FC" w:rsidRDefault="000245FC" w:rsidP="0021392D">
      <w:pPr>
        <w:jc w:val="both"/>
      </w:pPr>
    </w:p>
    <w:p w14:paraId="063A1558" w14:textId="04F86C67" w:rsidR="000245FC" w:rsidRDefault="000245FC" w:rsidP="0021392D">
      <w:pPr>
        <w:jc w:val="both"/>
      </w:pPr>
    </w:p>
    <w:p w14:paraId="4963547A" w14:textId="6F904FFB" w:rsidR="000245FC" w:rsidRDefault="000245FC" w:rsidP="0021392D">
      <w:pPr>
        <w:jc w:val="both"/>
      </w:pPr>
    </w:p>
    <w:p w14:paraId="0E593D95" w14:textId="12449294" w:rsidR="000245FC" w:rsidRDefault="000245FC" w:rsidP="0021392D">
      <w:pPr>
        <w:jc w:val="both"/>
      </w:pPr>
    </w:p>
    <w:p w14:paraId="6BB8058A" w14:textId="1D6E79E6" w:rsidR="000245FC" w:rsidRDefault="000245FC" w:rsidP="0021392D">
      <w:pPr>
        <w:jc w:val="both"/>
      </w:pPr>
    </w:p>
    <w:p w14:paraId="324721AE" w14:textId="213BFBB7" w:rsidR="000245FC" w:rsidRDefault="000245FC" w:rsidP="0021392D">
      <w:pPr>
        <w:jc w:val="both"/>
      </w:pPr>
    </w:p>
    <w:p w14:paraId="15345E52" w14:textId="4222A7D0" w:rsidR="000245FC" w:rsidRDefault="000245FC" w:rsidP="0021392D">
      <w:pPr>
        <w:jc w:val="both"/>
      </w:pPr>
    </w:p>
    <w:p w14:paraId="468CC010" w14:textId="3114ADE9" w:rsidR="000245FC" w:rsidRDefault="000245FC" w:rsidP="0021392D">
      <w:pPr>
        <w:jc w:val="both"/>
      </w:pPr>
    </w:p>
    <w:p w14:paraId="01608E81" w14:textId="25130F58" w:rsidR="000245FC" w:rsidRDefault="000245FC" w:rsidP="0021392D">
      <w:pPr>
        <w:jc w:val="both"/>
      </w:pPr>
    </w:p>
    <w:p w14:paraId="674064AE" w14:textId="20518B45" w:rsidR="000245FC" w:rsidRDefault="000245FC" w:rsidP="0021392D">
      <w:pPr>
        <w:jc w:val="both"/>
      </w:pPr>
    </w:p>
    <w:p w14:paraId="7358A629" w14:textId="22BDC50D" w:rsidR="000245FC" w:rsidRDefault="000245FC" w:rsidP="0021392D">
      <w:pPr>
        <w:jc w:val="both"/>
      </w:pPr>
    </w:p>
    <w:p w14:paraId="653D4908" w14:textId="014C11EE" w:rsidR="000245FC" w:rsidRDefault="000245FC" w:rsidP="0021392D">
      <w:pPr>
        <w:jc w:val="both"/>
      </w:pPr>
    </w:p>
    <w:p w14:paraId="5E588DB5" w14:textId="50A748D6" w:rsidR="000245FC" w:rsidRDefault="000245FC" w:rsidP="0021392D">
      <w:pPr>
        <w:jc w:val="both"/>
      </w:pPr>
    </w:p>
    <w:p w14:paraId="3CA20B90" w14:textId="7EC7065D" w:rsidR="000245FC" w:rsidRDefault="000245FC" w:rsidP="0021392D">
      <w:pPr>
        <w:jc w:val="both"/>
      </w:pPr>
    </w:p>
    <w:p w14:paraId="344C2076" w14:textId="23CED652" w:rsidR="000245FC" w:rsidRDefault="000245FC" w:rsidP="0021392D">
      <w:pPr>
        <w:jc w:val="both"/>
      </w:pPr>
    </w:p>
    <w:p w14:paraId="5100DEC8" w14:textId="08A770B9" w:rsidR="000245FC" w:rsidRDefault="000245FC" w:rsidP="0021392D">
      <w:pPr>
        <w:jc w:val="both"/>
      </w:pPr>
    </w:p>
    <w:p w14:paraId="1A9C1C89" w14:textId="56AC6935" w:rsidR="000245FC" w:rsidRDefault="000245FC" w:rsidP="0021392D">
      <w:pPr>
        <w:jc w:val="both"/>
      </w:pPr>
    </w:p>
    <w:p w14:paraId="2F4CFDCE" w14:textId="535C506A" w:rsidR="000245FC" w:rsidRDefault="000245FC" w:rsidP="0021392D">
      <w:pPr>
        <w:jc w:val="both"/>
      </w:pPr>
    </w:p>
    <w:p w14:paraId="1785D93D" w14:textId="331DE75E" w:rsidR="000245FC" w:rsidRDefault="000245FC" w:rsidP="0021392D">
      <w:pPr>
        <w:jc w:val="both"/>
      </w:pPr>
    </w:p>
    <w:p w14:paraId="1D41D5AC" w14:textId="0643573C" w:rsidR="000245FC" w:rsidRDefault="000245FC" w:rsidP="0021392D">
      <w:pPr>
        <w:jc w:val="both"/>
      </w:pPr>
    </w:p>
    <w:p w14:paraId="60765BA2" w14:textId="0A4AE700" w:rsidR="000245FC" w:rsidRDefault="000245FC" w:rsidP="0021392D">
      <w:pPr>
        <w:jc w:val="both"/>
      </w:pPr>
    </w:p>
    <w:p w14:paraId="768CB207" w14:textId="346EDC92" w:rsidR="000245FC" w:rsidRDefault="000245FC" w:rsidP="0021392D">
      <w:pPr>
        <w:jc w:val="both"/>
      </w:pPr>
    </w:p>
    <w:p w14:paraId="1C1095CC" w14:textId="1DF9270D" w:rsidR="000245FC" w:rsidRDefault="000245FC" w:rsidP="0021392D">
      <w:pPr>
        <w:jc w:val="both"/>
      </w:pPr>
    </w:p>
    <w:p w14:paraId="7A5BDADC" w14:textId="7EAEF4D2" w:rsidR="000245FC" w:rsidRDefault="000245FC" w:rsidP="0021392D">
      <w:pPr>
        <w:jc w:val="both"/>
      </w:pPr>
    </w:p>
    <w:p w14:paraId="18F30604" w14:textId="1621E187" w:rsidR="000245FC" w:rsidRDefault="000245FC" w:rsidP="0021392D">
      <w:pPr>
        <w:jc w:val="both"/>
      </w:pPr>
    </w:p>
    <w:p w14:paraId="2CD5B99B" w14:textId="1162DDDB" w:rsidR="000245FC" w:rsidRDefault="000245FC" w:rsidP="0021392D">
      <w:pPr>
        <w:jc w:val="both"/>
      </w:pPr>
    </w:p>
    <w:p w14:paraId="18E5C98B" w14:textId="77777777" w:rsidR="000245FC" w:rsidRDefault="000245FC" w:rsidP="0021392D">
      <w:pPr>
        <w:jc w:val="both"/>
      </w:pPr>
    </w:p>
    <w:p w14:paraId="50C78F42" w14:textId="20C501E8" w:rsidR="000245FC" w:rsidRDefault="000245FC" w:rsidP="0021392D">
      <w:pPr>
        <w:jc w:val="both"/>
      </w:pPr>
    </w:p>
    <w:p w14:paraId="40E6DF3F" w14:textId="518EBE1F" w:rsidR="000245FC" w:rsidRDefault="000245FC" w:rsidP="0021392D">
      <w:pPr>
        <w:jc w:val="both"/>
      </w:pPr>
    </w:p>
    <w:p w14:paraId="6C207A15" w14:textId="114AF55E" w:rsidR="000245FC" w:rsidRDefault="000245FC" w:rsidP="0021392D">
      <w:pPr>
        <w:jc w:val="both"/>
      </w:pPr>
    </w:p>
    <w:p w14:paraId="03B3CB3A" w14:textId="5E441738" w:rsidR="000245FC" w:rsidRDefault="000245FC" w:rsidP="0021392D">
      <w:pPr>
        <w:jc w:val="both"/>
      </w:pPr>
    </w:p>
    <w:p w14:paraId="753BA6AB" w14:textId="0BB6635B" w:rsidR="000245FC" w:rsidRDefault="000245FC" w:rsidP="0021392D">
      <w:pPr>
        <w:jc w:val="both"/>
      </w:pPr>
    </w:p>
    <w:p w14:paraId="6CB179FA" w14:textId="364898E2" w:rsidR="000245FC" w:rsidRDefault="000245FC" w:rsidP="0021392D">
      <w:pPr>
        <w:jc w:val="both"/>
        <w:sectPr w:rsidR="000245FC" w:rsidSect="00493ED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BA307E" w14:textId="3EF8DFE0" w:rsidR="000245FC" w:rsidRDefault="000245FC" w:rsidP="0021392D">
      <w:pPr>
        <w:jc w:val="both"/>
      </w:pPr>
    </w:p>
    <w:p w14:paraId="48A0AB38" w14:textId="64DC1F2F" w:rsidR="00DC6C8A" w:rsidRDefault="002531C1" w:rsidP="00DC6C8A">
      <w:pPr>
        <w:pStyle w:val="Heading1"/>
        <w:numPr>
          <w:ilvl w:val="0"/>
          <w:numId w:val="2"/>
        </w:numPr>
        <w:spacing w:before="0"/>
        <w:ind w:left="567" w:hanging="567"/>
        <w:rPr>
          <w:szCs w:val="24"/>
        </w:rPr>
      </w:pPr>
      <w:r>
        <w:rPr>
          <w:szCs w:val="24"/>
        </w:rPr>
        <w:t xml:space="preserve">Overview of Risk Scores </w:t>
      </w:r>
    </w:p>
    <w:p w14:paraId="1C732C7B" w14:textId="12A901BD" w:rsidR="00493ED8" w:rsidRPr="00606DF0" w:rsidRDefault="00493ED8" w:rsidP="00493ED8">
      <w:pPr>
        <w:jc w:val="both"/>
      </w:pPr>
    </w:p>
    <w:p w14:paraId="3BB3A83A" w14:textId="1D8BCF88" w:rsidR="00E97882" w:rsidRDefault="00F656D9" w:rsidP="00A5300C">
      <w:pPr>
        <w:jc w:val="both"/>
      </w:pPr>
      <w:r>
        <w:t>For ease of review, t</w:t>
      </w:r>
      <w:r w:rsidR="003D0D61">
        <w:t xml:space="preserve">he risk scores across the </w:t>
      </w:r>
      <w:r w:rsidR="000245FC">
        <w:t xml:space="preserve">recommended eight </w:t>
      </w:r>
      <w:r w:rsidR="003D0D61">
        <w:t xml:space="preserve">risks are as </w:t>
      </w:r>
      <w:r>
        <w:t xml:space="preserve">contained in the following table: </w:t>
      </w:r>
    </w:p>
    <w:p w14:paraId="4C404F75" w14:textId="6F187539" w:rsidR="003D0D61" w:rsidRDefault="003D0D61" w:rsidP="00A5300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6"/>
        <w:gridCol w:w="1408"/>
        <w:gridCol w:w="1239"/>
        <w:gridCol w:w="1263"/>
        <w:gridCol w:w="1412"/>
      </w:tblGrid>
      <w:tr w:rsidR="003D0D61" w14:paraId="31B9AB01" w14:textId="7C92E8D6" w:rsidTr="000245FC">
        <w:tc>
          <w:tcPr>
            <w:tcW w:w="9067" w:type="dxa"/>
          </w:tcPr>
          <w:p w14:paraId="39A8A969" w14:textId="0F0097BE" w:rsidR="003D0D61" w:rsidRPr="003D0D61" w:rsidRDefault="003D0D61" w:rsidP="003D0D61">
            <w:pPr>
              <w:jc w:val="center"/>
              <w:rPr>
                <w:b/>
              </w:rPr>
            </w:pPr>
            <w:r w:rsidRPr="003D0D61">
              <w:rPr>
                <w:b/>
              </w:rPr>
              <w:t>Risk and descriptor</w:t>
            </w:r>
          </w:p>
        </w:tc>
        <w:tc>
          <w:tcPr>
            <w:tcW w:w="709" w:type="dxa"/>
          </w:tcPr>
          <w:p w14:paraId="1677F24B" w14:textId="37886DE0" w:rsidR="003D0D61" w:rsidRPr="003D0D61" w:rsidRDefault="003D0D61" w:rsidP="003D0D61">
            <w:pPr>
              <w:jc w:val="center"/>
              <w:rPr>
                <w:b/>
              </w:rPr>
            </w:pPr>
            <w:r w:rsidRPr="003D0D61">
              <w:rPr>
                <w:b/>
              </w:rPr>
              <w:t>Inherent risk</w:t>
            </w:r>
          </w:p>
        </w:tc>
        <w:tc>
          <w:tcPr>
            <w:tcW w:w="1239" w:type="dxa"/>
          </w:tcPr>
          <w:p w14:paraId="1296F639" w14:textId="500AD414" w:rsidR="003D0D61" w:rsidRPr="003D0D61" w:rsidRDefault="003D0D61" w:rsidP="003D0D61">
            <w:pPr>
              <w:jc w:val="center"/>
              <w:rPr>
                <w:b/>
              </w:rPr>
            </w:pPr>
            <w:r w:rsidRPr="003D0D61">
              <w:rPr>
                <w:b/>
              </w:rPr>
              <w:t>Current risk</w:t>
            </w:r>
          </w:p>
        </w:tc>
        <w:tc>
          <w:tcPr>
            <w:tcW w:w="1276" w:type="dxa"/>
          </w:tcPr>
          <w:p w14:paraId="4470AD6B" w14:textId="442AF5E6" w:rsidR="003D0D61" w:rsidRPr="003D0D61" w:rsidRDefault="003D0D61" w:rsidP="003D0D61">
            <w:pPr>
              <w:jc w:val="center"/>
              <w:rPr>
                <w:b/>
              </w:rPr>
            </w:pPr>
            <w:r w:rsidRPr="003D0D61">
              <w:rPr>
                <w:b/>
              </w:rPr>
              <w:t>Target risk</w:t>
            </w:r>
          </w:p>
        </w:tc>
        <w:tc>
          <w:tcPr>
            <w:tcW w:w="1418" w:type="dxa"/>
          </w:tcPr>
          <w:p w14:paraId="2AFB4E68" w14:textId="4968AEDC" w:rsidR="003D0D61" w:rsidRPr="003D0D61" w:rsidRDefault="003D0D61" w:rsidP="003D0D61">
            <w:pPr>
              <w:jc w:val="center"/>
              <w:rPr>
                <w:b/>
              </w:rPr>
            </w:pPr>
            <w:r w:rsidRPr="003D0D61">
              <w:rPr>
                <w:b/>
              </w:rPr>
              <w:t>Risk decision</w:t>
            </w:r>
          </w:p>
        </w:tc>
      </w:tr>
      <w:tr w:rsidR="000245FC" w14:paraId="06C81C5D" w14:textId="05FBBE95" w:rsidTr="000245FC">
        <w:tc>
          <w:tcPr>
            <w:tcW w:w="9067" w:type="dxa"/>
          </w:tcPr>
          <w:p w14:paraId="3AE203A1" w14:textId="5FEC0F57" w:rsidR="003D0D61" w:rsidRDefault="003D0D61" w:rsidP="003D0D61">
            <w:pPr>
              <w:jc w:val="both"/>
            </w:pPr>
            <w:r>
              <w:t>1 – There is a risk that PHW will be unable to fulfil its strategic objectives because it does not have the correct numbers of people with the rights skills, attitudes</w:t>
            </w:r>
            <w:r w:rsidR="003D0694">
              <w:t xml:space="preserve"> and behaviours</w:t>
            </w:r>
          </w:p>
        </w:tc>
        <w:tc>
          <w:tcPr>
            <w:tcW w:w="709" w:type="dxa"/>
            <w:shd w:val="clear" w:color="auto" w:fill="FF0000"/>
          </w:tcPr>
          <w:p w14:paraId="0BB20F28" w14:textId="05EDFC56" w:rsidR="003D0D61" w:rsidRDefault="003D0D61" w:rsidP="00A5300C">
            <w:pPr>
              <w:jc w:val="both"/>
            </w:pPr>
            <w:r>
              <w:t>16</w:t>
            </w:r>
          </w:p>
        </w:tc>
        <w:tc>
          <w:tcPr>
            <w:tcW w:w="1239" w:type="dxa"/>
            <w:shd w:val="clear" w:color="auto" w:fill="FF0000"/>
          </w:tcPr>
          <w:p w14:paraId="48FC38F0" w14:textId="07DD4D0D" w:rsidR="003D0D61" w:rsidRDefault="003D0D61" w:rsidP="00A5300C">
            <w:pPr>
              <w:jc w:val="both"/>
            </w:pPr>
            <w:r>
              <w:t>16</w:t>
            </w:r>
          </w:p>
        </w:tc>
        <w:tc>
          <w:tcPr>
            <w:tcW w:w="1276" w:type="dxa"/>
            <w:shd w:val="clear" w:color="auto" w:fill="FFC000"/>
          </w:tcPr>
          <w:p w14:paraId="0F212D00" w14:textId="05087C82" w:rsidR="003D0D61" w:rsidRDefault="003D0D61" w:rsidP="00A5300C">
            <w:pPr>
              <w:jc w:val="both"/>
            </w:pPr>
            <w:r>
              <w:t>8</w:t>
            </w:r>
          </w:p>
        </w:tc>
        <w:tc>
          <w:tcPr>
            <w:tcW w:w="1418" w:type="dxa"/>
          </w:tcPr>
          <w:p w14:paraId="25CB0298" w14:textId="4145DD5F" w:rsidR="003D0D61" w:rsidRDefault="003D0D61" w:rsidP="00A5300C">
            <w:pPr>
              <w:jc w:val="both"/>
            </w:pPr>
            <w:r>
              <w:t>Treat</w:t>
            </w:r>
          </w:p>
        </w:tc>
      </w:tr>
      <w:tr w:rsidR="003D0694" w14:paraId="77548230" w14:textId="782F37FD" w:rsidTr="000245FC">
        <w:tc>
          <w:tcPr>
            <w:tcW w:w="9067" w:type="dxa"/>
          </w:tcPr>
          <w:p w14:paraId="45F4DA93" w14:textId="07A324A4" w:rsidR="003D0D61" w:rsidRDefault="003D0D61" w:rsidP="003D0D61">
            <w:pPr>
              <w:jc w:val="both"/>
            </w:pPr>
            <w:r w:rsidRPr="000245FC">
              <w:rPr>
                <w:rFonts w:cs="Arial"/>
                <w:szCs w:val="24"/>
              </w:rPr>
              <w:t>2 - There is a risk that PHW will cause significant harm to patients, service users or staff members. This will be caused by misdiagnosis or incorrect identification of serious health conditions, timeliness</w:t>
            </w:r>
            <w:r>
              <w:rPr>
                <w:rFonts w:ascii="Arial" w:hAnsi="Arial" w:cs="Arial"/>
                <w:sz w:val="28"/>
                <w:szCs w:val="32"/>
              </w:rPr>
              <w:t xml:space="preserve"> of </w:t>
            </w:r>
            <w:r w:rsidRPr="000245FC">
              <w:rPr>
                <w:rFonts w:cs="Arial"/>
                <w:szCs w:val="32"/>
              </w:rPr>
              <w:t>service provision, the provision of inappropriate clinical advice or the failure of sta</w:t>
            </w:r>
            <w:r w:rsidR="003D0694">
              <w:rPr>
                <w:rFonts w:cs="Arial"/>
                <w:szCs w:val="32"/>
              </w:rPr>
              <w:t>ff to follow correct procedures</w:t>
            </w:r>
          </w:p>
        </w:tc>
        <w:tc>
          <w:tcPr>
            <w:tcW w:w="709" w:type="dxa"/>
            <w:shd w:val="clear" w:color="auto" w:fill="FF0000"/>
          </w:tcPr>
          <w:p w14:paraId="5D721B7B" w14:textId="765D55D7" w:rsidR="003D0D61" w:rsidRDefault="003D0D61" w:rsidP="00A5300C">
            <w:pPr>
              <w:jc w:val="both"/>
            </w:pPr>
            <w:r>
              <w:t>25</w:t>
            </w:r>
          </w:p>
        </w:tc>
        <w:tc>
          <w:tcPr>
            <w:tcW w:w="1239" w:type="dxa"/>
            <w:shd w:val="clear" w:color="auto" w:fill="FF0000"/>
          </w:tcPr>
          <w:p w14:paraId="7D9534F7" w14:textId="46E36C0B" w:rsidR="003D0D61" w:rsidRDefault="003D0D61" w:rsidP="00A5300C">
            <w:pPr>
              <w:jc w:val="both"/>
            </w:pPr>
            <w:r>
              <w:t>20</w:t>
            </w:r>
          </w:p>
        </w:tc>
        <w:tc>
          <w:tcPr>
            <w:tcW w:w="1276" w:type="dxa"/>
            <w:shd w:val="clear" w:color="auto" w:fill="FF0000"/>
          </w:tcPr>
          <w:p w14:paraId="601DEE86" w14:textId="060B4D5B" w:rsidR="003D0D61" w:rsidRDefault="003D0D61" w:rsidP="00A5300C">
            <w:pPr>
              <w:jc w:val="both"/>
            </w:pPr>
            <w:r>
              <w:t>15</w:t>
            </w:r>
          </w:p>
        </w:tc>
        <w:tc>
          <w:tcPr>
            <w:tcW w:w="1418" w:type="dxa"/>
          </w:tcPr>
          <w:p w14:paraId="4683DCA5" w14:textId="29250014" w:rsidR="003D0D61" w:rsidRDefault="003D0D61" w:rsidP="00A5300C">
            <w:pPr>
              <w:jc w:val="both"/>
            </w:pPr>
            <w:r>
              <w:t xml:space="preserve">Treat </w:t>
            </w:r>
          </w:p>
        </w:tc>
      </w:tr>
      <w:tr w:rsidR="003D0694" w14:paraId="6E88AFE6" w14:textId="4BB489F8" w:rsidTr="000245FC">
        <w:tc>
          <w:tcPr>
            <w:tcW w:w="9067" w:type="dxa"/>
          </w:tcPr>
          <w:p w14:paraId="001360C8" w14:textId="38BB69CA" w:rsidR="003D0D61" w:rsidRDefault="003D0D61" w:rsidP="003D0694">
            <w:pPr>
              <w:jc w:val="both"/>
            </w:pPr>
            <w:r>
              <w:t xml:space="preserve">3 - </w:t>
            </w:r>
            <w:r w:rsidR="003D0694" w:rsidRPr="003D0694">
              <w:rPr>
                <w:rFonts w:cs="Arial"/>
                <w:szCs w:val="24"/>
              </w:rPr>
              <w:t>There is a risk that PHW will fail to deliver a sustainable, high quality and effective infection and screening services. This will be caused by a lack of sufficient workforce capacity; over-reliance on existing systems/procedures, lack of sufficient change capacity and an estate and infrastructu</w:t>
            </w:r>
            <w:r w:rsidR="003D0694">
              <w:rPr>
                <w:rFonts w:cs="Arial"/>
                <w:szCs w:val="24"/>
              </w:rPr>
              <w:t>re which is not fit for purpose</w:t>
            </w:r>
          </w:p>
        </w:tc>
        <w:tc>
          <w:tcPr>
            <w:tcW w:w="709" w:type="dxa"/>
            <w:shd w:val="clear" w:color="auto" w:fill="FF0000"/>
          </w:tcPr>
          <w:p w14:paraId="02747728" w14:textId="786D347D" w:rsidR="003D0D61" w:rsidRDefault="003D0D61" w:rsidP="00A5300C">
            <w:pPr>
              <w:jc w:val="both"/>
            </w:pPr>
            <w:r>
              <w:t>25</w:t>
            </w:r>
          </w:p>
        </w:tc>
        <w:tc>
          <w:tcPr>
            <w:tcW w:w="1239" w:type="dxa"/>
            <w:shd w:val="clear" w:color="auto" w:fill="FF0000"/>
          </w:tcPr>
          <w:p w14:paraId="490BEA3C" w14:textId="6413E0AC" w:rsidR="003D0D61" w:rsidRDefault="003D0D61" w:rsidP="00A5300C">
            <w:pPr>
              <w:jc w:val="both"/>
            </w:pPr>
            <w:r>
              <w:t>20</w:t>
            </w:r>
          </w:p>
        </w:tc>
        <w:tc>
          <w:tcPr>
            <w:tcW w:w="1276" w:type="dxa"/>
            <w:shd w:val="clear" w:color="auto" w:fill="FF0000"/>
          </w:tcPr>
          <w:p w14:paraId="6925E9D6" w14:textId="448A4BC4" w:rsidR="003D0D61" w:rsidRDefault="003D0D61" w:rsidP="00A5300C">
            <w:pPr>
              <w:jc w:val="both"/>
            </w:pPr>
            <w:r>
              <w:t>15</w:t>
            </w:r>
          </w:p>
        </w:tc>
        <w:tc>
          <w:tcPr>
            <w:tcW w:w="1418" w:type="dxa"/>
          </w:tcPr>
          <w:p w14:paraId="681DDBBD" w14:textId="630619A8" w:rsidR="003D0D61" w:rsidRDefault="003D0D61" w:rsidP="00A5300C">
            <w:pPr>
              <w:jc w:val="both"/>
            </w:pPr>
            <w:r>
              <w:t xml:space="preserve">Treat </w:t>
            </w:r>
          </w:p>
        </w:tc>
      </w:tr>
      <w:tr w:rsidR="003D0D61" w14:paraId="4D3679D6" w14:textId="5C83CA09" w:rsidTr="000245FC">
        <w:tc>
          <w:tcPr>
            <w:tcW w:w="9067" w:type="dxa"/>
          </w:tcPr>
          <w:p w14:paraId="0CD0FFBF" w14:textId="66BF3BBB" w:rsidR="003D0D61" w:rsidRDefault="003D0D61" w:rsidP="003D0D61">
            <w:pPr>
              <w:jc w:val="both"/>
            </w:pPr>
            <w:r>
              <w:t xml:space="preserve">4 – There is a risk that PHW will suffer a major IT security breach resulting in failure to service delivery and/or loss of personal data </w:t>
            </w:r>
          </w:p>
        </w:tc>
        <w:tc>
          <w:tcPr>
            <w:tcW w:w="709" w:type="dxa"/>
            <w:shd w:val="clear" w:color="auto" w:fill="FF0000"/>
          </w:tcPr>
          <w:p w14:paraId="48EFF929" w14:textId="48EF2D7A" w:rsidR="003D0D61" w:rsidRDefault="003D0D61" w:rsidP="00A5300C">
            <w:pPr>
              <w:jc w:val="both"/>
            </w:pPr>
            <w:r>
              <w:t>25</w:t>
            </w:r>
          </w:p>
        </w:tc>
        <w:tc>
          <w:tcPr>
            <w:tcW w:w="1239" w:type="dxa"/>
            <w:shd w:val="clear" w:color="auto" w:fill="FF0000"/>
          </w:tcPr>
          <w:p w14:paraId="39366B44" w14:textId="32E778B1" w:rsidR="003D0D61" w:rsidRDefault="003D0D61" w:rsidP="00A5300C">
            <w:pPr>
              <w:jc w:val="both"/>
            </w:pPr>
            <w:r>
              <w:t>20</w:t>
            </w:r>
          </w:p>
        </w:tc>
        <w:tc>
          <w:tcPr>
            <w:tcW w:w="1276" w:type="dxa"/>
            <w:shd w:val="clear" w:color="auto" w:fill="FF0000"/>
          </w:tcPr>
          <w:p w14:paraId="77BDF394" w14:textId="39939ED4" w:rsidR="003D0D61" w:rsidRDefault="003D0D61" w:rsidP="00A5300C">
            <w:pPr>
              <w:jc w:val="both"/>
            </w:pPr>
            <w:r>
              <w:t>15</w:t>
            </w:r>
          </w:p>
        </w:tc>
        <w:tc>
          <w:tcPr>
            <w:tcW w:w="1418" w:type="dxa"/>
          </w:tcPr>
          <w:p w14:paraId="46EA9615" w14:textId="4A1FF813" w:rsidR="003D0D61" w:rsidRDefault="003D0D61" w:rsidP="00A5300C">
            <w:pPr>
              <w:jc w:val="both"/>
            </w:pPr>
            <w:r>
              <w:t xml:space="preserve">Treat </w:t>
            </w:r>
          </w:p>
        </w:tc>
      </w:tr>
      <w:tr w:rsidR="003D0D61" w14:paraId="31335B85" w14:textId="308C832A" w:rsidTr="000245FC">
        <w:tc>
          <w:tcPr>
            <w:tcW w:w="9067" w:type="dxa"/>
          </w:tcPr>
          <w:p w14:paraId="3DECF75C" w14:textId="416F596B" w:rsidR="003D0D61" w:rsidRDefault="003D0D61" w:rsidP="001F14C9">
            <w:pPr>
              <w:jc w:val="both"/>
            </w:pPr>
            <w:r>
              <w:t xml:space="preserve">5 - </w:t>
            </w:r>
            <w:r w:rsidR="001F14C9" w:rsidRPr="001F14C9">
              <w:rPr>
                <w:rFonts w:cs="Arial"/>
                <w:szCs w:val="24"/>
              </w:rPr>
              <w:t>There is an increased risk as a result of COVID-19, PHW will fail to provide the level of system leadership needed to deliver the population health gains articulated in the long term strategy. This insufficient capacity/ resources within the organisation, policy and prioritisation decisions of external agencies and wider social, economic and environmental factors.</w:t>
            </w:r>
          </w:p>
        </w:tc>
        <w:tc>
          <w:tcPr>
            <w:tcW w:w="709" w:type="dxa"/>
            <w:shd w:val="clear" w:color="auto" w:fill="FF0000"/>
          </w:tcPr>
          <w:p w14:paraId="46DA5E7C" w14:textId="43B557EE" w:rsidR="003D0D61" w:rsidRDefault="003D0D61" w:rsidP="00A5300C">
            <w:pPr>
              <w:jc w:val="both"/>
            </w:pPr>
            <w:r>
              <w:t>25</w:t>
            </w:r>
          </w:p>
        </w:tc>
        <w:tc>
          <w:tcPr>
            <w:tcW w:w="1239" w:type="dxa"/>
            <w:shd w:val="clear" w:color="auto" w:fill="FF0000"/>
          </w:tcPr>
          <w:p w14:paraId="4267A1A0" w14:textId="48BB0B40" w:rsidR="003D0D61" w:rsidRDefault="003D0D61" w:rsidP="00A5300C">
            <w:pPr>
              <w:jc w:val="both"/>
            </w:pPr>
            <w:r>
              <w:t>25</w:t>
            </w:r>
          </w:p>
        </w:tc>
        <w:tc>
          <w:tcPr>
            <w:tcW w:w="1276" w:type="dxa"/>
            <w:shd w:val="clear" w:color="auto" w:fill="FF0000"/>
          </w:tcPr>
          <w:p w14:paraId="1CB04427" w14:textId="6B9A9682" w:rsidR="003D0D61" w:rsidRDefault="003D0D61" w:rsidP="00A5300C">
            <w:pPr>
              <w:jc w:val="both"/>
            </w:pPr>
            <w:r>
              <w:t>15</w:t>
            </w:r>
          </w:p>
        </w:tc>
        <w:tc>
          <w:tcPr>
            <w:tcW w:w="1418" w:type="dxa"/>
          </w:tcPr>
          <w:p w14:paraId="1990AC71" w14:textId="4667BE56" w:rsidR="003D0D61" w:rsidRDefault="003D0D61" w:rsidP="00A5300C">
            <w:pPr>
              <w:jc w:val="both"/>
            </w:pPr>
            <w:r>
              <w:t>Treat</w:t>
            </w:r>
          </w:p>
        </w:tc>
      </w:tr>
      <w:tr w:rsidR="00F133B1" w14:paraId="684A45F4" w14:textId="5E3417C8" w:rsidTr="00F133B1">
        <w:tc>
          <w:tcPr>
            <w:tcW w:w="9067" w:type="dxa"/>
          </w:tcPr>
          <w:p w14:paraId="1A4ABE82" w14:textId="76B8E61F" w:rsidR="003D0D61" w:rsidRDefault="003D0D61" w:rsidP="00A5300C">
            <w:pPr>
              <w:jc w:val="both"/>
            </w:pPr>
            <w:r>
              <w:t xml:space="preserve">6 - </w:t>
            </w:r>
            <w:r w:rsidR="00F133B1" w:rsidRPr="00F133B1">
              <w:rPr>
                <w:rFonts w:cs="Arial"/>
              </w:rPr>
              <w:t xml:space="preserve">There is a risk that Public Health Wales will fail to secure and align resources to deliver its statutory functions including its response to </w:t>
            </w:r>
            <w:r w:rsidR="00F133B1" w:rsidRPr="00F133B1">
              <w:rPr>
                <w:rFonts w:cs="Arial"/>
              </w:rPr>
              <w:lastRenderedPageBreak/>
              <w:t>the COVID-19 pandemic. This will be caused by funding cuts or inability to make required savings, secure funding (replaced generate income) or move resources within the organisation</w:t>
            </w:r>
          </w:p>
        </w:tc>
        <w:tc>
          <w:tcPr>
            <w:tcW w:w="709" w:type="dxa"/>
            <w:shd w:val="clear" w:color="auto" w:fill="FF0000"/>
          </w:tcPr>
          <w:p w14:paraId="407B35C0" w14:textId="120EF47A" w:rsidR="003D0D61" w:rsidRDefault="00F133B1" w:rsidP="00A5300C">
            <w:pPr>
              <w:jc w:val="both"/>
            </w:pPr>
            <w:r>
              <w:lastRenderedPageBreak/>
              <w:t>15</w:t>
            </w:r>
          </w:p>
        </w:tc>
        <w:tc>
          <w:tcPr>
            <w:tcW w:w="1239" w:type="dxa"/>
            <w:shd w:val="clear" w:color="auto" w:fill="FF0000"/>
          </w:tcPr>
          <w:p w14:paraId="51C9ED40" w14:textId="289F5B3C" w:rsidR="003D0D61" w:rsidRDefault="00F133B1" w:rsidP="00A5300C">
            <w:pPr>
              <w:jc w:val="both"/>
            </w:pPr>
            <w:r>
              <w:t>15</w:t>
            </w:r>
          </w:p>
        </w:tc>
        <w:tc>
          <w:tcPr>
            <w:tcW w:w="1276" w:type="dxa"/>
            <w:shd w:val="clear" w:color="auto" w:fill="FFC000"/>
          </w:tcPr>
          <w:p w14:paraId="4A9F9CAC" w14:textId="1A155272" w:rsidR="003D0D61" w:rsidRDefault="00F133B1" w:rsidP="00A5300C">
            <w:pPr>
              <w:jc w:val="both"/>
            </w:pPr>
            <w:r>
              <w:t>10</w:t>
            </w:r>
          </w:p>
        </w:tc>
        <w:tc>
          <w:tcPr>
            <w:tcW w:w="1418" w:type="dxa"/>
          </w:tcPr>
          <w:p w14:paraId="0F813E5B" w14:textId="1BF0EA31" w:rsidR="003D0D61" w:rsidRDefault="00F133B1" w:rsidP="00A5300C">
            <w:pPr>
              <w:jc w:val="both"/>
            </w:pPr>
            <w:r>
              <w:t xml:space="preserve">Treat </w:t>
            </w:r>
          </w:p>
        </w:tc>
      </w:tr>
      <w:tr w:rsidR="003D0D61" w14:paraId="63A75ACC" w14:textId="6C41F5B5" w:rsidTr="000245FC">
        <w:tc>
          <w:tcPr>
            <w:tcW w:w="9067" w:type="dxa"/>
          </w:tcPr>
          <w:p w14:paraId="046A88D2" w14:textId="5CAD53B2" w:rsidR="003D0D61" w:rsidRDefault="00EC4776" w:rsidP="0071365D">
            <w:pPr>
              <w:jc w:val="both"/>
            </w:pPr>
            <w:r>
              <w:t>7</w:t>
            </w:r>
            <w:r w:rsidR="003D0D61">
              <w:t xml:space="preserve"> - </w:t>
            </w:r>
            <w:r w:rsidR="0071365D" w:rsidRPr="0071365D">
              <w:rPr>
                <w:rFonts w:cs="Arial"/>
                <w:iCs/>
                <w:szCs w:val="24"/>
              </w:rPr>
              <w:t xml:space="preserve">There is a risk that </w:t>
            </w:r>
            <w:r w:rsidR="0071365D">
              <w:rPr>
                <w:rFonts w:cs="Arial"/>
                <w:iCs/>
                <w:szCs w:val="24"/>
              </w:rPr>
              <w:t>PHW</w:t>
            </w:r>
            <w:r w:rsidR="0071365D" w:rsidRPr="0071365D">
              <w:rPr>
                <w:rFonts w:cs="Arial"/>
                <w:iCs/>
                <w:szCs w:val="24"/>
              </w:rPr>
              <w:t xml:space="preserve"> will fail to deliver and effectively present accurate, relevant data/ statistics and/ or evidence based research/ evaluation to dynamically and actively inform and maximise the impact of public health action especially relating to our response to COVDI-19. This will be caused by a lack of workforce capacity with the relevant skills and knowledge to rapidly respond to changing and increasing demands of COVID-19 and technological advances in data science; staff having an over-reliance on existing systems/procedures and a lack of sufficient change capacity</w:t>
            </w:r>
          </w:p>
        </w:tc>
        <w:tc>
          <w:tcPr>
            <w:tcW w:w="709" w:type="dxa"/>
            <w:shd w:val="clear" w:color="auto" w:fill="FF0000"/>
          </w:tcPr>
          <w:p w14:paraId="060F9857" w14:textId="1D8F2E37" w:rsidR="003D0D61" w:rsidRDefault="003D0D61" w:rsidP="00A5300C">
            <w:pPr>
              <w:jc w:val="both"/>
            </w:pPr>
            <w:r>
              <w:t>12</w:t>
            </w:r>
          </w:p>
        </w:tc>
        <w:tc>
          <w:tcPr>
            <w:tcW w:w="1239" w:type="dxa"/>
            <w:shd w:val="clear" w:color="auto" w:fill="FF0000"/>
          </w:tcPr>
          <w:p w14:paraId="1F53EFFD" w14:textId="3F969179" w:rsidR="003D0D61" w:rsidRDefault="003D0D61" w:rsidP="00A5300C">
            <w:pPr>
              <w:jc w:val="both"/>
            </w:pPr>
            <w:r>
              <w:t>16</w:t>
            </w:r>
          </w:p>
        </w:tc>
        <w:tc>
          <w:tcPr>
            <w:tcW w:w="1276" w:type="dxa"/>
            <w:shd w:val="clear" w:color="auto" w:fill="FFC000"/>
          </w:tcPr>
          <w:p w14:paraId="722A8118" w14:textId="05214AE1" w:rsidR="003D0D61" w:rsidRDefault="003D0D61" w:rsidP="00A5300C">
            <w:pPr>
              <w:jc w:val="both"/>
            </w:pPr>
            <w:r>
              <w:t>8</w:t>
            </w:r>
          </w:p>
        </w:tc>
        <w:tc>
          <w:tcPr>
            <w:tcW w:w="1418" w:type="dxa"/>
          </w:tcPr>
          <w:p w14:paraId="397C19FD" w14:textId="21EC7145" w:rsidR="003D0D61" w:rsidRDefault="003D0D61" w:rsidP="00A5300C">
            <w:pPr>
              <w:jc w:val="both"/>
            </w:pPr>
            <w:r>
              <w:t xml:space="preserve">Treat </w:t>
            </w:r>
          </w:p>
        </w:tc>
      </w:tr>
      <w:tr w:rsidR="003D0D61" w14:paraId="3F1FC386" w14:textId="77777777" w:rsidTr="000245FC">
        <w:tc>
          <w:tcPr>
            <w:tcW w:w="9067" w:type="dxa"/>
          </w:tcPr>
          <w:p w14:paraId="038D3D58" w14:textId="51ADD096" w:rsidR="003D0D61" w:rsidRDefault="00EC4776" w:rsidP="0063502C">
            <w:pPr>
              <w:jc w:val="both"/>
            </w:pPr>
            <w:r>
              <w:t>8</w:t>
            </w:r>
            <w:r w:rsidR="0063502C">
              <w:t xml:space="preserve"> - </w:t>
            </w:r>
            <w:r w:rsidR="003D0D61" w:rsidRPr="003D0D61">
              <w:rPr>
                <w:bCs/>
              </w:rPr>
              <w:t xml:space="preserve">There is a risk that </w:t>
            </w:r>
            <w:r w:rsidR="003D0D61">
              <w:rPr>
                <w:bCs/>
              </w:rPr>
              <w:t>PHW</w:t>
            </w:r>
            <w:r w:rsidR="003D0D61" w:rsidRPr="003D0D61">
              <w:rPr>
                <w:bCs/>
              </w:rPr>
              <w:t xml:space="preserve"> will fail to effectively discharge its statutory responsibilities in protecting the public during the COVID-19 pandemic and ensure the organisation has an effective plan for recovery as the pandemic recedes </w:t>
            </w:r>
          </w:p>
        </w:tc>
        <w:tc>
          <w:tcPr>
            <w:tcW w:w="709" w:type="dxa"/>
            <w:shd w:val="clear" w:color="auto" w:fill="FF0000"/>
          </w:tcPr>
          <w:p w14:paraId="5C770BC5" w14:textId="19EDA41C" w:rsidR="003D0D61" w:rsidRDefault="003D0D61" w:rsidP="00A5300C">
            <w:pPr>
              <w:jc w:val="both"/>
            </w:pPr>
            <w:r>
              <w:t>20</w:t>
            </w:r>
          </w:p>
        </w:tc>
        <w:tc>
          <w:tcPr>
            <w:tcW w:w="1239" w:type="dxa"/>
            <w:shd w:val="clear" w:color="auto" w:fill="FF0000"/>
          </w:tcPr>
          <w:p w14:paraId="5E0B6440" w14:textId="78860494" w:rsidR="003D0D61" w:rsidRDefault="003D0D61" w:rsidP="00A5300C">
            <w:pPr>
              <w:jc w:val="both"/>
            </w:pPr>
            <w:r>
              <w:t>20</w:t>
            </w:r>
          </w:p>
        </w:tc>
        <w:tc>
          <w:tcPr>
            <w:tcW w:w="1276" w:type="dxa"/>
            <w:shd w:val="clear" w:color="auto" w:fill="FFC000"/>
          </w:tcPr>
          <w:p w14:paraId="7611C35D" w14:textId="3CBDB3F0" w:rsidR="003D0D61" w:rsidRDefault="003D0D61" w:rsidP="00A5300C">
            <w:pPr>
              <w:jc w:val="both"/>
            </w:pPr>
            <w:r>
              <w:t>10</w:t>
            </w:r>
          </w:p>
        </w:tc>
        <w:tc>
          <w:tcPr>
            <w:tcW w:w="1418" w:type="dxa"/>
          </w:tcPr>
          <w:p w14:paraId="2280B801" w14:textId="742A407C" w:rsidR="003D0D61" w:rsidRDefault="003D0D61" w:rsidP="00A5300C">
            <w:pPr>
              <w:jc w:val="both"/>
            </w:pPr>
            <w:r>
              <w:t>Treat</w:t>
            </w:r>
          </w:p>
        </w:tc>
      </w:tr>
    </w:tbl>
    <w:p w14:paraId="185602B2" w14:textId="77777777" w:rsidR="003D0D61" w:rsidRDefault="003D0D61" w:rsidP="00A5300C">
      <w:pPr>
        <w:jc w:val="both"/>
      </w:pPr>
    </w:p>
    <w:p w14:paraId="1A8CDB07" w14:textId="7514DB28" w:rsidR="003D0D61" w:rsidRDefault="003D0D61" w:rsidP="00A5300C">
      <w:pPr>
        <w:jc w:val="both"/>
      </w:pPr>
    </w:p>
    <w:p w14:paraId="3C288FFB" w14:textId="410EB394" w:rsidR="000245FC" w:rsidRDefault="000245FC" w:rsidP="00A5300C">
      <w:pPr>
        <w:jc w:val="both"/>
      </w:pPr>
    </w:p>
    <w:p w14:paraId="6C0C16C5" w14:textId="61D2FCD4" w:rsidR="000245FC" w:rsidRDefault="000245FC" w:rsidP="00A5300C">
      <w:pPr>
        <w:jc w:val="both"/>
      </w:pPr>
    </w:p>
    <w:p w14:paraId="5784A872" w14:textId="77777777" w:rsidR="000245FC" w:rsidRDefault="000245FC" w:rsidP="00D00903">
      <w:pPr>
        <w:rPr>
          <w:szCs w:val="24"/>
        </w:rPr>
        <w:sectPr w:rsidR="000245FC" w:rsidSect="000245FC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CC9C8D7" w14:textId="4ED18914" w:rsidR="00D00903" w:rsidRDefault="00D00903" w:rsidP="00D00903">
      <w:pPr>
        <w:rPr>
          <w:szCs w:val="24"/>
        </w:rPr>
      </w:pPr>
    </w:p>
    <w:p w14:paraId="6FA1827A" w14:textId="303353AB" w:rsidR="00F656D9" w:rsidRDefault="00F656D9" w:rsidP="00D00903">
      <w:pPr>
        <w:pStyle w:val="Heading1"/>
        <w:numPr>
          <w:ilvl w:val="0"/>
          <w:numId w:val="2"/>
        </w:numPr>
        <w:spacing w:before="0"/>
        <w:rPr>
          <w:szCs w:val="24"/>
        </w:rPr>
      </w:pPr>
      <w:r>
        <w:rPr>
          <w:szCs w:val="24"/>
        </w:rPr>
        <w:t xml:space="preserve">Next Steps </w:t>
      </w:r>
    </w:p>
    <w:p w14:paraId="3C1D97BF" w14:textId="2092C4DC" w:rsidR="00F656D9" w:rsidRDefault="00F656D9" w:rsidP="00F656D9"/>
    <w:p w14:paraId="5908DFD9" w14:textId="2A0DDD0A" w:rsidR="002531C1" w:rsidRDefault="00F656D9" w:rsidP="00F656D9">
      <w:r>
        <w:t>The Strategic Risk Register will continue to be reported to</w:t>
      </w:r>
      <w:r w:rsidR="002531C1">
        <w:t>:</w:t>
      </w:r>
      <w:r>
        <w:t xml:space="preserve"> </w:t>
      </w:r>
    </w:p>
    <w:p w14:paraId="76B7B177" w14:textId="77777777" w:rsidR="002531C1" w:rsidRDefault="002531C1" w:rsidP="00F656D9"/>
    <w:p w14:paraId="66FF8F53" w14:textId="79613BC6" w:rsidR="002531C1" w:rsidRDefault="00F656D9" w:rsidP="002531C1">
      <w:pPr>
        <w:pStyle w:val="ListParagraph"/>
        <w:numPr>
          <w:ilvl w:val="0"/>
          <w:numId w:val="35"/>
        </w:numPr>
      </w:pPr>
      <w:r>
        <w:t>the Board</w:t>
      </w:r>
      <w:r w:rsidR="002531C1">
        <w:t xml:space="preserve"> on a bi-monthly basis, for assurance;</w:t>
      </w:r>
    </w:p>
    <w:p w14:paraId="7A89202C" w14:textId="08D2BC45" w:rsidR="002531C1" w:rsidRDefault="00F656D9" w:rsidP="002531C1">
      <w:pPr>
        <w:pStyle w:val="ListParagraph"/>
        <w:numPr>
          <w:ilvl w:val="0"/>
          <w:numId w:val="35"/>
        </w:numPr>
      </w:pPr>
      <w:r>
        <w:t xml:space="preserve">to Board Committees </w:t>
      </w:r>
      <w:r w:rsidR="002531C1">
        <w:t>at each meeting for scrutiny, approval of any operational change and assurance;</w:t>
      </w:r>
    </w:p>
    <w:p w14:paraId="6C850AB9" w14:textId="25F00750" w:rsidR="00F656D9" w:rsidRDefault="00F656D9" w:rsidP="002531C1">
      <w:pPr>
        <w:pStyle w:val="ListParagraph"/>
        <w:numPr>
          <w:ilvl w:val="0"/>
          <w:numId w:val="35"/>
        </w:numPr>
      </w:pPr>
      <w:proofErr w:type="gramStart"/>
      <w:r>
        <w:t>the</w:t>
      </w:r>
      <w:proofErr w:type="gramEnd"/>
      <w:r>
        <w:t xml:space="preserve"> Executive</w:t>
      </w:r>
      <w:r w:rsidR="002531C1">
        <w:t xml:space="preserve"> Team for operational oversight. </w:t>
      </w:r>
    </w:p>
    <w:p w14:paraId="14B1292C" w14:textId="361F1902" w:rsidR="00F656D9" w:rsidRDefault="00F656D9" w:rsidP="00F656D9"/>
    <w:p w14:paraId="620F2F5A" w14:textId="77777777" w:rsidR="00F656D9" w:rsidRPr="00F656D9" w:rsidRDefault="00F656D9" w:rsidP="00F656D9"/>
    <w:p w14:paraId="742AB06D" w14:textId="159426CF" w:rsidR="00D00903" w:rsidRPr="001C60B5" w:rsidRDefault="00D00903" w:rsidP="00D00903">
      <w:pPr>
        <w:pStyle w:val="Heading1"/>
        <w:numPr>
          <w:ilvl w:val="0"/>
          <w:numId w:val="2"/>
        </w:numPr>
        <w:spacing w:before="0"/>
        <w:rPr>
          <w:szCs w:val="24"/>
        </w:rPr>
      </w:pPr>
      <w:r w:rsidRPr="001C60B5">
        <w:rPr>
          <w:szCs w:val="24"/>
        </w:rPr>
        <w:t>Recommendation</w:t>
      </w:r>
    </w:p>
    <w:p w14:paraId="24BF3B03" w14:textId="77777777" w:rsidR="00D00903" w:rsidRPr="001C60B5" w:rsidRDefault="00D00903" w:rsidP="00D00903">
      <w:pPr>
        <w:rPr>
          <w:szCs w:val="24"/>
        </w:rPr>
      </w:pPr>
    </w:p>
    <w:p w14:paraId="6FEC8BD8" w14:textId="327A3D13" w:rsidR="00C633CE" w:rsidRDefault="00D00903" w:rsidP="00FB5433">
      <w:pPr>
        <w:jc w:val="both"/>
        <w:rPr>
          <w:szCs w:val="24"/>
        </w:rPr>
      </w:pPr>
      <w:r w:rsidRPr="00E85AE8">
        <w:rPr>
          <w:szCs w:val="24"/>
        </w:rPr>
        <w:t xml:space="preserve">The </w:t>
      </w:r>
      <w:r w:rsidR="0063502C">
        <w:rPr>
          <w:szCs w:val="24"/>
        </w:rPr>
        <w:t xml:space="preserve">Board </w:t>
      </w:r>
      <w:r>
        <w:rPr>
          <w:szCs w:val="24"/>
        </w:rPr>
        <w:t>is asked to</w:t>
      </w:r>
      <w:r w:rsidR="00C633CE">
        <w:rPr>
          <w:szCs w:val="24"/>
        </w:rPr>
        <w:t>:</w:t>
      </w:r>
    </w:p>
    <w:p w14:paraId="68735337" w14:textId="77777777" w:rsidR="00C633CE" w:rsidRDefault="00C633CE" w:rsidP="00FB5433">
      <w:pPr>
        <w:jc w:val="both"/>
        <w:rPr>
          <w:szCs w:val="24"/>
        </w:rPr>
      </w:pPr>
    </w:p>
    <w:p w14:paraId="47B2526A" w14:textId="77777777" w:rsidR="0063502C" w:rsidRDefault="0063502C" w:rsidP="0063502C">
      <w:pPr>
        <w:pStyle w:val="ListParagraph"/>
        <w:numPr>
          <w:ilvl w:val="0"/>
          <w:numId w:val="31"/>
        </w:numPr>
        <w:jc w:val="both"/>
      </w:pPr>
      <w:r w:rsidRPr="0063502C">
        <w:rPr>
          <w:b/>
        </w:rPr>
        <w:t>Approve</w:t>
      </w:r>
      <w:r>
        <w:t xml:space="preserve"> the revised strategic risk register (1 to 3 and 5 to 8) in the Public Board Meeting, and;</w:t>
      </w:r>
    </w:p>
    <w:p w14:paraId="250BB822" w14:textId="1F1086F3" w:rsidR="00FB5433" w:rsidRPr="0063502C" w:rsidRDefault="0063502C" w:rsidP="0063502C">
      <w:pPr>
        <w:pStyle w:val="ListParagraph"/>
        <w:numPr>
          <w:ilvl w:val="0"/>
          <w:numId w:val="34"/>
        </w:numPr>
        <w:jc w:val="both"/>
        <w:rPr>
          <w:szCs w:val="24"/>
        </w:rPr>
      </w:pPr>
      <w:r>
        <w:rPr>
          <w:b/>
        </w:rPr>
        <w:t xml:space="preserve">Approve </w:t>
      </w:r>
      <w:r w:rsidRPr="0063502C">
        <w:t>risk 4 in the Private meeting of the Board.</w:t>
      </w:r>
    </w:p>
    <w:sectPr w:rsidR="00FB5433" w:rsidRPr="0063502C" w:rsidSect="000245F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B9B04" w14:textId="77777777" w:rsidR="002624F4" w:rsidRDefault="002624F4" w:rsidP="00497F39">
      <w:r>
        <w:separator/>
      </w:r>
    </w:p>
  </w:endnote>
  <w:endnote w:type="continuationSeparator" w:id="0">
    <w:p w14:paraId="5914D165" w14:textId="77777777" w:rsidR="002624F4" w:rsidRDefault="002624F4" w:rsidP="0049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15"/>
      <w:gridCol w:w="3007"/>
      <w:gridCol w:w="2994"/>
    </w:tblGrid>
    <w:tr w:rsidR="00BD7C30" w:rsidRPr="00511AFF" w14:paraId="604D5925" w14:textId="77777777" w:rsidTr="003B7361">
      <w:tc>
        <w:tcPr>
          <w:tcW w:w="3100" w:type="dxa"/>
        </w:tcPr>
        <w:p w14:paraId="60AF23A6" w14:textId="6215B842" w:rsidR="00BD7C30" w:rsidRPr="00511AFF" w:rsidRDefault="00BD7C30" w:rsidP="00B12B71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 xml:space="preserve"> </w:t>
          </w:r>
          <w:r w:rsidR="002531C1">
            <w:rPr>
              <w:sz w:val="20"/>
            </w:rPr>
            <w:t xml:space="preserve">21 </w:t>
          </w:r>
          <w:r w:rsidR="00B12B71">
            <w:rPr>
              <w:sz w:val="20"/>
            </w:rPr>
            <w:t xml:space="preserve">September </w:t>
          </w:r>
          <w:r>
            <w:rPr>
              <w:sz w:val="20"/>
            </w:rPr>
            <w:t>2020</w:t>
          </w:r>
        </w:p>
      </w:tc>
      <w:tc>
        <w:tcPr>
          <w:tcW w:w="3100" w:type="dxa"/>
        </w:tcPr>
        <w:p w14:paraId="39F775CA" w14:textId="478E1671" w:rsidR="00BD7C30" w:rsidRPr="00511AFF" w:rsidRDefault="00BD7C30" w:rsidP="00D401EF">
          <w:pPr>
            <w:pStyle w:val="Footer"/>
            <w:tabs>
              <w:tab w:val="center" w:pos="1433"/>
              <w:tab w:val="right" w:pos="2866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</w:t>
          </w:r>
          <w:r w:rsidR="00B12B71">
            <w:rPr>
              <w:sz w:val="20"/>
            </w:rPr>
            <w:t>0a</w:t>
          </w:r>
        </w:p>
      </w:tc>
      <w:tc>
        <w:tcPr>
          <w:tcW w:w="3101" w:type="dxa"/>
        </w:tcPr>
        <w:p w14:paraId="656EA218" w14:textId="6A353A2E" w:rsidR="00BD7C30" w:rsidRPr="00511AFF" w:rsidRDefault="00BD7C30" w:rsidP="003B7361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743E1B">
            <w:rPr>
              <w:rStyle w:val="PageNumber"/>
              <w:noProof/>
              <w:sz w:val="20"/>
            </w:rPr>
            <w:t>7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743E1B">
            <w:rPr>
              <w:rStyle w:val="PageNumber"/>
              <w:noProof/>
              <w:sz w:val="20"/>
            </w:rPr>
            <w:t>7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14:paraId="1261C5E6" w14:textId="77777777" w:rsidR="00BD7C30" w:rsidRPr="00FA7943" w:rsidRDefault="00BD7C3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4752" w14:textId="77777777" w:rsidR="002624F4" w:rsidRDefault="002624F4" w:rsidP="00497F39">
      <w:r>
        <w:separator/>
      </w:r>
    </w:p>
  </w:footnote>
  <w:footnote w:type="continuationSeparator" w:id="0">
    <w:p w14:paraId="6F1B9F1B" w14:textId="77777777" w:rsidR="002624F4" w:rsidRDefault="002624F4" w:rsidP="0049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3DB7"/>
    <w:multiLevelType w:val="singleLevel"/>
    <w:tmpl w:val="7E309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3FA6"/>
    <w:multiLevelType w:val="hybridMultilevel"/>
    <w:tmpl w:val="12C8E2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3A45"/>
    <w:multiLevelType w:val="hybridMultilevel"/>
    <w:tmpl w:val="2C448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70DF"/>
    <w:multiLevelType w:val="hybridMultilevel"/>
    <w:tmpl w:val="C6646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535F"/>
    <w:multiLevelType w:val="hybridMultilevel"/>
    <w:tmpl w:val="7BA62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46D4B"/>
    <w:multiLevelType w:val="hybridMultilevel"/>
    <w:tmpl w:val="4C28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56A7"/>
    <w:multiLevelType w:val="hybridMultilevel"/>
    <w:tmpl w:val="2176E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74834"/>
    <w:multiLevelType w:val="hybridMultilevel"/>
    <w:tmpl w:val="4AF88016"/>
    <w:lvl w:ilvl="0" w:tplc="3ABA4ED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51DC"/>
    <w:multiLevelType w:val="hybridMultilevel"/>
    <w:tmpl w:val="45B0FD90"/>
    <w:lvl w:ilvl="0" w:tplc="3ABA4EDE">
      <w:start w:val="4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423D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A0722"/>
    <w:multiLevelType w:val="hybridMultilevel"/>
    <w:tmpl w:val="A7BE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43B84"/>
    <w:multiLevelType w:val="hybridMultilevel"/>
    <w:tmpl w:val="FE943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E6F2F"/>
    <w:multiLevelType w:val="hybridMultilevel"/>
    <w:tmpl w:val="79E8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D0A03"/>
    <w:multiLevelType w:val="hybridMultilevel"/>
    <w:tmpl w:val="426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4804"/>
    <w:multiLevelType w:val="hybridMultilevel"/>
    <w:tmpl w:val="C5447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4107C"/>
    <w:multiLevelType w:val="hybridMultilevel"/>
    <w:tmpl w:val="296A3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81F22"/>
    <w:multiLevelType w:val="hybridMultilevel"/>
    <w:tmpl w:val="127EF3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0463C5B"/>
    <w:multiLevelType w:val="hybridMultilevel"/>
    <w:tmpl w:val="468A9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6423A"/>
    <w:multiLevelType w:val="hybridMultilevel"/>
    <w:tmpl w:val="E0108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F286A"/>
    <w:multiLevelType w:val="multilevel"/>
    <w:tmpl w:val="331E580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4B0129D0"/>
    <w:multiLevelType w:val="hybridMultilevel"/>
    <w:tmpl w:val="79C88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6C5A"/>
    <w:multiLevelType w:val="hybridMultilevel"/>
    <w:tmpl w:val="6C7A1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03C4D"/>
    <w:multiLevelType w:val="hybridMultilevel"/>
    <w:tmpl w:val="21A632F4"/>
    <w:lvl w:ilvl="0" w:tplc="3550992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A132D"/>
    <w:multiLevelType w:val="hybridMultilevel"/>
    <w:tmpl w:val="CA70D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44148"/>
    <w:multiLevelType w:val="hybridMultilevel"/>
    <w:tmpl w:val="6FCA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F2CC8"/>
    <w:multiLevelType w:val="hybridMultilevel"/>
    <w:tmpl w:val="FDA2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B3BEC"/>
    <w:multiLevelType w:val="hybridMultilevel"/>
    <w:tmpl w:val="0B484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34F8F"/>
    <w:multiLevelType w:val="hybridMultilevel"/>
    <w:tmpl w:val="E48C6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77AA1"/>
    <w:multiLevelType w:val="multilevel"/>
    <w:tmpl w:val="64B2633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9" w15:restartNumberingAfterBreak="0">
    <w:nsid w:val="6FC234F1"/>
    <w:multiLevelType w:val="hybridMultilevel"/>
    <w:tmpl w:val="635AF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E791A"/>
    <w:multiLevelType w:val="hybridMultilevel"/>
    <w:tmpl w:val="5E6A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31D8D"/>
    <w:multiLevelType w:val="hybridMultilevel"/>
    <w:tmpl w:val="9536E07C"/>
    <w:lvl w:ilvl="0" w:tplc="EC5C0FD4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2" w15:restartNumberingAfterBreak="0">
    <w:nsid w:val="76B25248"/>
    <w:multiLevelType w:val="hybridMultilevel"/>
    <w:tmpl w:val="BECC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32274"/>
    <w:multiLevelType w:val="hybridMultilevel"/>
    <w:tmpl w:val="DC7AD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C15E8"/>
    <w:multiLevelType w:val="hybridMultilevel"/>
    <w:tmpl w:val="239098EA"/>
    <w:lvl w:ilvl="0" w:tplc="3ABA4EDE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4"/>
  </w:num>
  <w:num w:numId="4">
    <w:abstractNumId w:val="22"/>
  </w:num>
  <w:num w:numId="5">
    <w:abstractNumId w:val="0"/>
  </w:num>
  <w:num w:numId="6">
    <w:abstractNumId w:val="8"/>
  </w:num>
  <w:num w:numId="7">
    <w:abstractNumId w:val="7"/>
  </w:num>
  <w:num w:numId="8">
    <w:abstractNumId w:val="21"/>
  </w:num>
  <w:num w:numId="9">
    <w:abstractNumId w:val="24"/>
  </w:num>
  <w:num w:numId="10">
    <w:abstractNumId w:val="6"/>
  </w:num>
  <w:num w:numId="11">
    <w:abstractNumId w:val="26"/>
  </w:num>
  <w:num w:numId="12">
    <w:abstractNumId w:val="4"/>
  </w:num>
  <w:num w:numId="13">
    <w:abstractNumId w:val="13"/>
  </w:num>
  <w:num w:numId="14">
    <w:abstractNumId w:val="16"/>
  </w:num>
  <w:num w:numId="15">
    <w:abstractNumId w:val="2"/>
  </w:num>
  <w:num w:numId="16">
    <w:abstractNumId w:val="31"/>
  </w:num>
  <w:num w:numId="17">
    <w:abstractNumId w:val="23"/>
  </w:num>
  <w:num w:numId="18">
    <w:abstractNumId w:val="29"/>
  </w:num>
  <w:num w:numId="19">
    <w:abstractNumId w:val="28"/>
  </w:num>
  <w:num w:numId="20">
    <w:abstractNumId w:val="1"/>
  </w:num>
  <w:num w:numId="21">
    <w:abstractNumId w:val="15"/>
  </w:num>
  <w:num w:numId="22">
    <w:abstractNumId w:val="25"/>
  </w:num>
  <w:num w:numId="23">
    <w:abstractNumId w:val="32"/>
  </w:num>
  <w:num w:numId="24">
    <w:abstractNumId w:val="19"/>
  </w:num>
  <w:num w:numId="25">
    <w:abstractNumId w:val="27"/>
  </w:num>
  <w:num w:numId="26">
    <w:abstractNumId w:val="20"/>
  </w:num>
  <w:num w:numId="27">
    <w:abstractNumId w:val="33"/>
  </w:num>
  <w:num w:numId="28">
    <w:abstractNumId w:val="18"/>
  </w:num>
  <w:num w:numId="29">
    <w:abstractNumId w:val="10"/>
  </w:num>
  <w:num w:numId="30">
    <w:abstractNumId w:val="12"/>
  </w:num>
  <w:num w:numId="31">
    <w:abstractNumId w:val="3"/>
  </w:num>
  <w:num w:numId="32">
    <w:abstractNumId w:val="5"/>
  </w:num>
  <w:num w:numId="33">
    <w:abstractNumId w:val="30"/>
  </w:num>
  <w:num w:numId="34">
    <w:abstractNumId w:val="1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A5"/>
    <w:rsid w:val="000037FD"/>
    <w:rsid w:val="0000561A"/>
    <w:rsid w:val="00007C61"/>
    <w:rsid w:val="00013E10"/>
    <w:rsid w:val="000245FC"/>
    <w:rsid w:val="00030476"/>
    <w:rsid w:val="00030D54"/>
    <w:rsid w:val="00051CDC"/>
    <w:rsid w:val="00051E74"/>
    <w:rsid w:val="0005502D"/>
    <w:rsid w:val="00057CFB"/>
    <w:rsid w:val="00060D8C"/>
    <w:rsid w:val="0006178B"/>
    <w:rsid w:val="00076514"/>
    <w:rsid w:val="00097ACD"/>
    <w:rsid w:val="000B306B"/>
    <w:rsid w:val="000D1DCE"/>
    <w:rsid w:val="000F46F4"/>
    <w:rsid w:val="000F5A72"/>
    <w:rsid w:val="00102EC6"/>
    <w:rsid w:val="001107EE"/>
    <w:rsid w:val="00111402"/>
    <w:rsid w:val="00121679"/>
    <w:rsid w:val="00123FD2"/>
    <w:rsid w:val="00126327"/>
    <w:rsid w:val="001272F6"/>
    <w:rsid w:val="0013075E"/>
    <w:rsid w:val="00133373"/>
    <w:rsid w:val="00133C6A"/>
    <w:rsid w:val="00134C1B"/>
    <w:rsid w:val="00134F8A"/>
    <w:rsid w:val="00136E31"/>
    <w:rsid w:val="00141FC5"/>
    <w:rsid w:val="001540EA"/>
    <w:rsid w:val="00160AD0"/>
    <w:rsid w:val="001644A9"/>
    <w:rsid w:val="001662A8"/>
    <w:rsid w:val="0018627E"/>
    <w:rsid w:val="001B2A97"/>
    <w:rsid w:val="001B3428"/>
    <w:rsid w:val="001C02C6"/>
    <w:rsid w:val="001C305C"/>
    <w:rsid w:val="001C60B5"/>
    <w:rsid w:val="001E5B78"/>
    <w:rsid w:val="001F0517"/>
    <w:rsid w:val="001F0F61"/>
    <w:rsid w:val="001F14C9"/>
    <w:rsid w:val="00202AB8"/>
    <w:rsid w:val="00211B9D"/>
    <w:rsid w:val="0021392D"/>
    <w:rsid w:val="00214BA4"/>
    <w:rsid w:val="00216100"/>
    <w:rsid w:val="00220693"/>
    <w:rsid w:val="0022713F"/>
    <w:rsid w:val="00250088"/>
    <w:rsid w:val="002531C1"/>
    <w:rsid w:val="00257CD2"/>
    <w:rsid w:val="002624F4"/>
    <w:rsid w:val="00273D26"/>
    <w:rsid w:val="00295197"/>
    <w:rsid w:val="002A30DA"/>
    <w:rsid w:val="002B0BC9"/>
    <w:rsid w:val="002B712E"/>
    <w:rsid w:val="002C0A83"/>
    <w:rsid w:val="002C170B"/>
    <w:rsid w:val="002D11B1"/>
    <w:rsid w:val="002D4533"/>
    <w:rsid w:val="002E6258"/>
    <w:rsid w:val="003018F5"/>
    <w:rsid w:val="00304FD0"/>
    <w:rsid w:val="00305721"/>
    <w:rsid w:val="00322D2E"/>
    <w:rsid w:val="00326EC6"/>
    <w:rsid w:val="00337864"/>
    <w:rsid w:val="00345CAF"/>
    <w:rsid w:val="003461AF"/>
    <w:rsid w:val="00354ACB"/>
    <w:rsid w:val="00371966"/>
    <w:rsid w:val="00375114"/>
    <w:rsid w:val="00393FFB"/>
    <w:rsid w:val="003A0833"/>
    <w:rsid w:val="003A3414"/>
    <w:rsid w:val="003B40BB"/>
    <w:rsid w:val="003B7361"/>
    <w:rsid w:val="003B7B09"/>
    <w:rsid w:val="003C6952"/>
    <w:rsid w:val="003D0694"/>
    <w:rsid w:val="003D0D61"/>
    <w:rsid w:val="003D4DC8"/>
    <w:rsid w:val="003E19F6"/>
    <w:rsid w:val="003F3D59"/>
    <w:rsid w:val="003F3E7F"/>
    <w:rsid w:val="0040037A"/>
    <w:rsid w:val="0040145B"/>
    <w:rsid w:val="00407604"/>
    <w:rsid w:val="00412323"/>
    <w:rsid w:val="00416C54"/>
    <w:rsid w:val="00427779"/>
    <w:rsid w:val="0043055E"/>
    <w:rsid w:val="004375CA"/>
    <w:rsid w:val="0046169C"/>
    <w:rsid w:val="00480353"/>
    <w:rsid w:val="00491C2F"/>
    <w:rsid w:val="00492E80"/>
    <w:rsid w:val="004939C2"/>
    <w:rsid w:val="00493ED8"/>
    <w:rsid w:val="0049701E"/>
    <w:rsid w:val="00497F39"/>
    <w:rsid w:val="004A4626"/>
    <w:rsid w:val="004A6253"/>
    <w:rsid w:val="004B31A5"/>
    <w:rsid w:val="004D632B"/>
    <w:rsid w:val="004D7408"/>
    <w:rsid w:val="004F24A1"/>
    <w:rsid w:val="00504A87"/>
    <w:rsid w:val="00506C55"/>
    <w:rsid w:val="005146DE"/>
    <w:rsid w:val="0051663F"/>
    <w:rsid w:val="00520428"/>
    <w:rsid w:val="0052328C"/>
    <w:rsid w:val="00536852"/>
    <w:rsid w:val="00536FA4"/>
    <w:rsid w:val="00544C9E"/>
    <w:rsid w:val="00554429"/>
    <w:rsid w:val="0055720E"/>
    <w:rsid w:val="00564789"/>
    <w:rsid w:val="005767ED"/>
    <w:rsid w:val="00577744"/>
    <w:rsid w:val="00590736"/>
    <w:rsid w:val="00595402"/>
    <w:rsid w:val="005A1556"/>
    <w:rsid w:val="005B1DAE"/>
    <w:rsid w:val="005B4E75"/>
    <w:rsid w:val="005C7D40"/>
    <w:rsid w:val="005D5FC4"/>
    <w:rsid w:val="005E1D38"/>
    <w:rsid w:val="005E1F73"/>
    <w:rsid w:val="005E33CB"/>
    <w:rsid w:val="005E380D"/>
    <w:rsid w:val="005F4303"/>
    <w:rsid w:val="00600233"/>
    <w:rsid w:val="00607476"/>
    <w:rsid w:val="00611958"/>
    <w:rsid w:val="006123A1"/>
    <w:rsid w:val="006310BB"/>
    <w:rsid w:val="0063502C"/>
    <w:rsid w:val="0064025C"/>
    <w:rsid w:val="00657B25"/>
    <w:rsid w:val="00660772"/>
    <w:rsid w:val="00672175"/>
    <w:rsid w:val="00680248"/>
    <w:rsid w:val="00680CAE"/>
    <w:rsid w:val="0068275A"/>
    <w:rsid w:val="0068334E"/>
    <w:rsid w:val="00692E7C"/>
    <w:rsid w:val="0069767B"/>
    <w:rsid w:val="006C4A51"/>
    <w:rsid w:val="006F24E9"/>
    <w:rsid w:val="006F654D"/>
    <w:rsid w:val="007012CE"/>
    <w:rsid w:val="00712EDB"/>
    <w:rsid w:val="0071365D"/>
    <w:rsid w:val="00726F3D"/>
    <w:rsid w:val="00737008"/>
    <w:rsid w:val="007433A5"/>
    <w:rsid w:val="00743E1B"/>
    <w:rsid w:val="00744BE2"/>
    <w:rsid w:val="00752A5D"/>
    <w:rsid w:val="00754449"/>
    <w:rsid w:val="007623DA"/>
    <w:rsid w:val="00766105"/>
    <w:rsid w:val="007738C6"/>
    <w:rsid w:val="007774C7"/>
    <w:rsid w:val="00785226"/>
    <w:rsid w:val="007A47F5"/>
    <w:rsid w:val="007A4DE2"/>
    <w:rsid w:val="007A6BB4"/>
    <w:rsid w:val="007C12E8"/>
    <w:rsid w:val="007D01C9"/>
    <w:rsid w:val="007D03B8"/>
    <w:rsid w:val="007D04C7"/>
    <w:rsid w:val="007D79E4"/>
    <w:rsid w:val="007E45DA"/>
    <w:rsid w:val="007E4D1D"/>
    <w:rsid w:val="007E6BD1"/>
    <w:rsid w:val="007F7EA7"/>
    <w:rsid w:val="008036D5"/>
    <w:rsid w:val="00805FAF"/>
    <w:rsid w:val="00824D05"/>
    <w:rsid w:val="00841B4B"/>
    <w:rsid w:val="008524C0"/>
    <w:rsid w:val="00857182"/>
    <w:rsid w:val="0085781B"/>
    <w:rsid w:val="008653E0"/>
    <w:rsid w:val="0087331D"/>
    <w:rsid w:val="00880111"/>
    <w:rsid w:val="008902AA"/>
    <w:rsid w:val="00890A9D"/>
    <w:rsid w:val="00893619"/>
    <w:rsid w:val="008A2D5F"/>
    <w:rsid w:val="008C12E0"/>
    <w:rsid w:val="008C745A"/>
    <w:rsid w:val="008C77DE"/>
    <w:rsid w:val="008D4CCD"/>
    <w:rsid w:val="008F1F7E"/>
    <w:rsid w:val="009053F5"/>
    <w:rsid w:val="00911572"/>
    <w:rsid w:val="00912C7B"/>
    <w:rsid w:val="00916053"/>
    <w:rsid w:val="00921F72"/>
    <w:rsid w:val="009233B4"/>
    <w:rsid w:val="00923A14"/>
    <w:rsid w:val="009328E2"/>
    <w:rsid w:val="00945D8E"/>
    <w:rsid w:val="009566CA"/>
    <w:rsid w:val="00961E2C"/>
    <w:rsid w:val="00963AAC"/>
    <w:rsid w:val="00980587"/>
    <w:rsid w:val="00980F99"/>
    <w:rsid w:val="0098365C"/>
    <w:rsid w:val="009878C1"/>
    <w:rsid w:val="00987E54"/>
    <w:rsid w:val="00990D35"/>
    <w:rsid w:val="009B2519"/>
    <w:rsid w:val="009B4FBA"/>
    <w:rsid w:val="009C0B0C"/>
    <w:rsid w:val="009C30E1"/>
    <w:rsid w:val="009C7B94"/>
    <w:rsid w:val="009F7F6B"/>
    <w:rsid w:val="00A06B87"/>
    <w:rsid w:val="00A25B36"/>
    <w:rsid w:val="00A279F5"/>
    <w:rsid w:val="00A34009"/>
    <w:rsid w:val="00A3478C"/>
    <w:rsid w:val="00A435F1"/>
    <w:rsid w:val="00A44250"/>
    <w:rsid w:val="00A50D05"/>
    <w:rsid w:val="00A51128"/>
    <w:rsid w:val="00A5300C"/>
    <w:rsid w:val="00A54AFA"/>
    <w:rsid w:val="00A56D26"/>
    <w:rsid w:val="00A60C7E"/>
    <w:rsid w:val="00A60D6C"/>
    <w:rsid w:val="00A96979"/>
    <w:rsid w:val="00A97A41"/>
    <w:rsid w:val="00AA2A4F"/>
    <w:rsid w:val="00AB112A"/>
    <w:rsid w:val="00AC45EB"/>
    <w:rsid w:val="00AC4F08"/>
    <w:rsid w:val="00AC5841"/>
    <w:rsid w:val="00AD7227"/>
    <w:rsid w:val="00AE1AD9"/>
    <w:rsid w:val="00AE3D01"/>
    <w:rsid w:val="00AF3146"/>
    <w:rsid w:val="00AF3D62"/>
    <w:rsid w:val="00B00419"/>
    <w:rsid w:val="00B12B71"/>
    <w:rsid w:val="00B1672B"/>
    <w:rsid w:val="00B24D79"/>
    <w:rsid w:val="00B25DC7"/>
    <w:rsid w:val="00B25FF4"/>
    <w:rsid w:val="00B4586D"/>
    <w:rsid w:val="00B47936"/>
    <w:rsid w:val="00B509E3"/>
    <w:rsid w:val="00B52B29"/>
    <w:rsid w:val="00B538B8"/>
    <w:rsid w:val="00B60F36"/>
    <w:rsid w:val="00B80218"/>
    <w:rsid w:val="00B936DE"/>
    <w:rsid w:val="00B93B6F"/>
    <w:rsid w:val="00B94BB0"/>
    <w:rsid w:val="00BA041A"/>
    <w:rsid w:val="00BA1D15"/>
    <w:rsid w:val="00BA3E2A"/>
    <w:rsid w:val="00BB6C00"/>
    <w:rsid w:val="00BC39AE"/>
    <w:rsid w:val="00BC3A54"/>
    <w:rsid w:val="00BC5B9C"/>
    <w:rsid w:val="00BC68A0"/>
    <w:rsid w:val="00BD7C30"/>
    <w:rsid w:val="00BE200C"/>
    <w:rsid w:val="00BE6297"/>
    <w:rsid w:val="00BF3E39"/>
    <w:rsid w:val="00C027C1"/>
    <w:rsid w:val="00C0426C"/>
    <w:rsid w:val="00C05D9F"/>
    <w:rsid w:val="00C13A2C"/>
    <w:rsid w:val="00C1444B"/>
    <w:rsid w:val="00C17DDB"/>
    <w:rsid w:val="00C3021F"/>
    <w:rsid w:val="00C46E6D"/>
    <w:rsid w:val="00C500A8"/>
    <w:rsid w:val="00C633CE"/>
    <w:rsid w:val="00C87F23"/>
    <w:rsid w:val="00C9163D"/>
    <w:rsid w:val="00CA15A9"/>
    <w:rsid w:val="00CA4D3A"/>
    <w:rsid w:val="00CA4DA9"/>
    <w:rsid w:val="00CA5841"/>
    <w:rsid w:val="00CA7E0D"/>
    <w:rsid w:val="00CB0E6B"/>
    <w:rsid w:val="00CC764D"/>
    <w:rsid w:val="00CD6838"/>
    <w:rsid w:val="00CE21C7"/>
    <w:rsid w:val="00CE5C15"/>
    <w:rsid w:val="00CE6807"/>
    <w:rsid w:val="00CE6EB8"/>
    <w:rsid w:val="00CF7674"/>
    <w:rsid w:val="00D0066F"/>
    <w:rsid w:val="00D00903"/>
    <w:rsid w:val="00D17A59"/>
    <w:rsid w:val="00D25D84"/>
    <w:rsid w:val="00D26E48"/>
    <w:rsid w:val="00D33EE1"/>
    <w:rsid w:val="00D34F08"/>
    <w:rsid w:val="00D401EF"/>
    <w:rsid w:val="00D41503"/>
    <w:rsid w:val="00D45A01"/>
    <w:rsid w:val="00D47B18"/>
    <w:rsid w:val="00D55785"/>
    <w:rsid w:val="00D60F40"/>
    <w:rsid w:val="00D64BA8"/>
    <w:rsid w:val="00D713DC"/>
    <w:rsid w:val="00D74461"/>
    <w:rsid w:val="00D74CEB"/>
    <w:rsid w:val="00D769E3"/>
    <w:rsid w:val="00D87080"/>
    <w:rsid w:val="00DA2383"/>
    <w:rsid w:val="00DC594E"/>
    <w:rsid w:val="00DC6C8A"/>
    <w:rsid w:val="00DE7DF5"/>
    <w:rsid w:val="00DF65BB"/>
    <w:rsid w:val="00E00163"/>
    <w:rsid w:val="00E01426"/>
    <w:rsid w:val="00E02A10"/>
    <w:rsid w:val="00E06325"/>
    <w:rsid w:val="00E07F66"/>
    <w:rsid w:val="00E11F44"/>
    <w:rsid w:val="00E24001"/>
    <w:rsid w:val="00E263D4"/>
    <w:rsid w:val="00E2706F"/>
    <w:rsid w:val="00E30182"/>
    <w:rsid w:val="00E333F3"/>
    <w:rsid w:val="00E343B1"/>
    <w:rsid w:val="00E36FFA"/>
    <w:rsid w:val="00E371EA"/>
    <w:rsid w:val="00E37B54"/>
    <w:rsid w:val="00E4756A"/>
    <w:rsid w:val="00E56DBB"/>
    <w:rsid w:val="00E80015"/>
    <w:rsid w:val="00E805CD"/>
    <w:rsid w:val="00E85AE8"/>
    <w:rsid w:val="00E943AD"/>
    <w:rsid w:val="00E97882"/>
    <w:rsid w:val="00EA23FA"/>
    <w:rsid w:val="00EA4379"/>
    <w:rsid w:val="00EB0841"/>
    <w:rsid w:val="00EC4776"/>
    <w:rsid w:val="00EC6188"/>
    <w:rsid w:val="00EE1810"/>
    <w:rsid w:val="00EE7097"/>
    <w:rsid w:val="00EF229F"/>
    <w:rsid w:val="00F133B1"/>
    <w:rsid w:val="00F2582A"/>
    <w:rsid w:val="00F31C10"/>
    <w:rsid w:val="00F47896"/>
    <w:rsid w:val="00F479A1"/>
    <w:rsid w:val="00F528E6"/>
    <w:rsid w:val="00F656D9"/>
    <w:rsid w:val="00F90D42"/>
    <w:rsid w:val="00F95B15"/>
    <w:rsid w:val="00F97A35"/>
    <w:rsid w:val="00FA4F17"/>
    <w:rsid w:val="00FA62CB"/>
    <w:rsid w:val="00FA7943"/>
    <w:rsid w:val="00FB5433"/>
    <w:rsid w:val="00FB67EB"/>
    <w:rsid w:val="00FB7FDF"/>
    <w:rsid w:val="00FC2859"/>
    <w:rsid w:val="00FC7FAE"/>
    <w:rsid w:val="00FD1D43"/>
    <w:rsid w:val="00FF1936"/>
    <w:rsid w:val="00FF256C"/>
    <w:rsid w:val="00FF475B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72C1AD"/>
  <w15:docId w15:val="{27A0FE94-4202-45C9-BFBB-1971774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AE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E74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4D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4C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E74"/>
    <w:rPr>
      <w:rFonts w:ascii="Verdana" w:eastAsiaTheme="majorEastAsia" w:hAnsi="Verdana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F39"/>
  </w:style>
  <w:style w:type="paragraph" w:styleId="Footer">
    <w:name w:val="footer"/>
    <w:basedOn w:val="Normal"/>
    <w:link w:val="FooterChar"/>
    <w:uiPriority w:val="99"/>
    <w:unhideWhenUsed/>
    <w:rsid w:val="00497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F39"/>
  </w:style>
  <w:style w:type="paragraph" w:styleId="ListBullet">
    <w:name w:val="List Bullet"/>
    <w:basedOn w:val="Normal"/>
    <w:autoRedefine/>
    <w:rsid w:val="006F654D"/>
    <w:pPr>
      <w:ind w:left="53"/>
    </w:pPr>
    <w:rPr>
      <w:rFonts w:eastAsia="Times New Roman" w:cs="Times New Roman"/>
    </w:rPr>
  </w:style>
  <w:style w:type="character" w:styleId="PageNumber">
    <w:name w:val="page number"/>
    <w:basedOn w:val="DefaultParagraphFont"/>
    <w:rsid w:val="008524C0"/>
  </w:style>
  <w:style w:type="character" w:styleId="CommentReference">
    <w:name w:val="annotation reference"/>
    <w:basedOn w:val="DefaultParagraphFont"/>
    <w:uiPriority w:val="99"/>
    <w:semiHidden/>
    <w:unhideWhenUsed/>
    <w:rsid w:val="00F47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9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789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F654D"/>
    <w:rPr>
      <w:rFonts w:ascii="Verdana" w:eastAsiaTheme="majorEastAsia" w:hAnsi="Verdana" w:cstheme="majorBidi"/>
      <w:b/>
      <w:bCs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D87080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EE7097"/>
  </w:style>
  <w:style w:type="character" w:customStyle="1" w:styleId="DateChar">
    <w:name w:val="Date Char"/>
    <w:basedOn w:val="DefaultParagraphFont"/>
    <w:link w:val="Date"/>
    <w:uiPriority w:val="99"/>
    <w:rsid w:val="00EE7097"/>
    <w:rPr>
      <w:rFonts w:ascii="Verdana" w:hAnsi="Verdana"/>
      <w:sz w:val="24"/>
    </w:rPr>
  </w:style>
  <w:style w:type="character" w:customStyle="1" w:styleId="Dropdown">
    <w:name w:val="Dropdown"/>
    <w:basedOn w:val="DefaultParagraphFont"/>
    <w:uiPriority w:val="1"/>
    <w:rsid w:val="007D79E4"/>
    <w:rPr>
      <w:rFonts w:ascii="Verdana" w:hAnsi="Verdana"/>
      <w:color w:val="auto"/>
      <w:sz w:val="24"/>
    </w:rPr>
  </w:style>
  <w:style w:type="paragraph" w:customStyle="1" w:styleId="Default">
    <w:name w:val="Default"/>
    <w:rsid w:val="005B4E7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les.nhs.uk/governance-emanual/how-the-health-and-care-standards-are-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wis.wales.nhs.uk/sitesplus/888/page/64548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CEBAFED744FBDBE7668212525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FFAD-DA6B-4E5F-9405-F00BD91B0A46}"/>
      </w:docPartPr>
      <w:docPartBody>
        <w:p w:rsidR="00942F3C" w:rsidRDefault="0098440F" w:rsidP="0098440F">
          <w:pPr>
            <w:pStyle w:val="B71CEBAFED744FBDBE7668212525C5EB1"/>
          </w:pPr>
          <w:r w:rsidRPr="007D79E4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0E25CCC5DD4F43AAA642CDCC18DD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29C5-85B6-4F9E-8653-A0627D765C50}"/>
      </w:docPartPr>
      <w:docPartBody>
        <w:p w:rsidR="00942F3C" w:rsidRDefault="0098440F" w:rsidP="0098440F">
          <w:pPr>
            <w:pStyle w:val="0E25CCC5DD4F43AAA642CDCC18DDB6A61"/>
          </w:pPr>
          <w:r w:rsidRPr="0013075E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C04374CD51A040E4BEE1F4C1F2976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C9B2-A251-47BA-B74D-C69A3BDD1888}"/>
      </w:docPartPr>
      <w:docPartBody>
        <w:p w:rsidR="00FF34A5" w:rsidRDefault="00AA293F" w:rsidP="00AA293F">
          <w:pPr>
            <w:pStyle w:val="C04374CD51A040E4BEE1F4C1F29763FE"/>
          </w:pPr>
          <w:r w:rsidRPr="001C60B5">
            <w:rPr>
              <w:rStyle w:val="PlaceholderText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2F3C"/>
    <w:rsid w:val="00006813"/>
    <w:rsid w:val="00054280"/>
    <w:rsid w:val="000A53C6"/>
    <w:rsid w:val="0012307E"/>
    <w:rsid w:val="001F1FDC"/>
    <w:rsid w:val="002E06E4"/>
    <w:rsid w:val="00310C60"/>
    <w:rsid w:val="0045397F"/>
    <w:rsid w:val="004838BF"/>
    <w:rsid w:val="00517A66"/>
    <w:rsid w:val="005A164A"/>
    <w:rsid w:val="00652CC4"/>
    <w:rsid w:val="006F3A25"/>
    <w:rsid w:val="00760EAF"/>
    <w:rsid w:val="00884126"/>
    <w:rsid w:val="00895D61"/>
    <w:rsid w:val="009410BA"/>
    <w:rsid w:val="00942F3C"/>
    <w:rsid w:val="0098440F"/>
    <w:rsid w:val="00A12BED"/>
    <w:rsid w:val="00AA293F"/>
    <w:rsid w:val="00B15DDB"/>
    <w:rsid w:val="00B518DF"/>
    <w:rsid w:val="00B661DB"/>
    <w:rsid w:val="00B93847"/>
    <w:rsid w:val="00BB60D7"/>
    <w:rsid w:val="00BC77CD"/>
    <w:rsid w:val="00CF449E"/>
    <w:rsid w:val="00CF7FE8"/>
    <w:rsid w:val="00DA631F"/>
    <w:rsid w:val="00E40040"/>
    <w:rsid w:val="00E52A5A"/>
    <w:rsid w:val="00E861E6"/>
    <w:rsid w:val="00F248A7"/>
    <w:rsid w:val="00FE0326"/>
    <w:rsid w:val="00FE6B24"/>
    <w:rsid w:val="00FF34A5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8BF"/>
    <w:rPr>
      <w:color w:val="808080"/>
    </w:rPr>
  </w:style>
  <w:style w:type="paragraph" w:customStyle="1" w:styleId="B71CEBAFED744FBDBE7668212525C5EB">
    <w:name w:val="B71CEBAFED744FBDBE7668212525C5EB"/>
    <w:rsid w:val="00942F3C"/>
  </w:style>
  <w:style w:type="paragraph" w:customStyle="1" w:styleId="0E25CCC5DD4F43AAA642CDCC18DDB6A6">
    <w:name w:val="0E25CCC5DD4F43AAA642CDCC18DDB6A6"/>
    <w:rsid w:val="00942F3C"/>
  </w:style>
  <w:style w:type="paragraph" w:customStyle="1" w:styleId="E728F56A42F140A7861FAC2D6EC403FB">
    <w:name w:val="E728F56A42F140A7861FAC2D6EC403FB"/>
    <w:rsid w:val="00942F3C"/>
  </w:style>
  <w:style w:type="paragraph" w:customStyle="1" w:styleId="C3826F269E5A473DAA5766AD56AE5566">
    <w:name w:val="C3826F269E5A473DAA5766AD56AE5566"/>
    <w:rsid w:val="00942F3C"/>
  </w:style>
  <w:style w:type="paragraph" w:customStyle="1" w:styleId="B75A7526F7D84CA2961C6F54688F4FA1">
    <w:name w:val="B75A7526F7D84CA2961C6F54688F4FA1"/>
    <w:rsid w:val="00942F3C"/>
  </w:style>
  <w:style w:type="paragraph" w:customStyle="1" w:styleId="9B8CED89FE6E489186EB32EA798E74F5">
    <w:name w:val="9B8CED89FE6E489186EB32EA798E74F5"/>
    <w:rsid w:val="00942F3C"/>
  </w:style>
  <w:style w:type="paragraph" w:customStyle="1" w:styleId="19A444ACBEA34578BA0CB31422DD2377">
    <w:name w:val="19A444ACBEA34578BA0CB31422DD2377"/>
    <w:rsid w:val="00942F3C"/>
  </w:style>
  <w:style w:type="paragraph" w:customStyle="1" w:styleId="6E50E95D2E43462FBFE7700481AFD396">
    <w:name w:val="6E50E95D2E43462FBFE7700481AFD396"/>
    <w:rsid w:val="00942F3C"/>
  </w:style>
  <w:style w:type="paragraph" w:customStyle="1" w:styleId="909A9F0FBCB944E9A4061B5A549C2BCF">
    <w:name w:val="909A9F0FBCB944E9A4061B5A549C2BCF"/>
    <w:rsid w:val="00942F3C"/>
  </w:style>
  <w:style w:type="paragraph" w:customStyle="1" w:styleId="F6834E3914FE4DD799970AFA163D778F">
    <w:name w:val="F6834E3914FE4DD799970AFA163D778F"/>
    <w:rsid w:val="00942F3C"/>
  </w:style>
  <w:style w:type="paragraph" w:customStyle="1" w:styleId="913BF181E62D408491740A566E17A0A4">
    <w:name w:val="913BF181E62D408491740A566E17A0A4"/>
    <w:rsid w:val="00942F3C"/>
  </w:style>
  <w:style w:type="paragraph" w:customStyle="1" w:styleId="B5E75E7293A34274978C09F7D4B5735C">
    <w:name w:val="B5E75E7293A34274978C09F7D4B5735C"/>
    <w:rsid w:val="00942F3C"/>
  </w:style>
  <w:style w:type="paragraph" w:customStyle="1" w:styleId="E478EFCE71904737AFBE49A1FD0AA882">
    <w:name w:val="E478EFCE71904737AFBE49A1FD0AA882"/>
    <w:rsid w:val="00942F3C"/>
  </w:style>
  <w:style w:type="paragraph" w:customStyle="1" w:styleId="7DDA5CB04D724A5ABF7EAC622872D4FA">
    <w:name w:val="7DDA5CB04D724A5ABF7EAC622872D4FA"/>
    <w:rsid w:val="00942F3C"/>
  </w:style>
  <w:style w:type="paragraph" w:customStyle="1" w:styleId="E58BB02786A64DC3902FB28155850BE6">
    <w:name w:val="E58BB02786A64DC3902FB28155850BE6"/>
    <w:rsid w:val="00942F3C"/>
  </w:style>
  <w:style w:type="paragraph" w:customStyle="1" w:styleId="8952B08D80D8485F8616604608967B5A">
    <w:name w:val="8952B08D80D8485F8616604608967B5A"/>
    <w:rsid w:val="0098440F"/>
    <w:pPr>
      <w:spacing w:after="160" w:line="259" w:lineRule="auto"/>
    </w:pPr>
  </w:style>
  <w:style w:type="paragraph" w:customStyle="1" w:styleId="9CC72616DDE34070956E56C2D18E4A4C">
    <w:name w:val="9CC72616DDE34070956E56C2D18E4A4C"/>
    <w:rsid w:val="0098440F"/>
    <w:pPr>
      <w:spacing w:after="160" w:line="259" w:lineRule="auto"/>
    </w:pPr>
  </w:style>
  <w:style w:type="paragraph" w:customStyle="1" w:styleId="2A98DF3B7D804AE5BB859F2C34349FD5">
    <w:name w:val="2A98DF3B7D804AE5BB859F2C34349FD5"/>
    <w:rsid w:val="0098440F"/>
    <w:pPr>
      <w:spacing w:after="160" w:line="259" w:lineRule="auto"/>
    </w:pPr>
  </w:style>
  <w:style w:type="paragraph" w:customStyle="1" w:styleId="80D911A8548C4A20B0918E044529BA12">
    <w:name w:val="80D911A8548C4A20B0918E044529BA12"/>
    <w:rsid w:val="0098440F"/>
    <w:pPr>
      <w:spacing w:after="160" w:line="259" w:lineRule="auto"/>
    </w:pPr>
  </w:style>
  <w:style w:type="paragraph" w:customStyle="1" w:styleId="398517B14D714148931AD0451FF0A872">
    <w:name w:val="398517B14D714148931AD0451FF0A872"/>
    <w:rsid w:val="0098440F"/>
    <w:pPr>
      <w:spacing w:after="160" w:line="259" w:lineRule="auto"/>
    </w:pPr>
  </w:style>
  <w:style w:type="paragraph" w:customStyle="1" w:styleId="B71CEBAFED744FBDBE7668212525C5EB1">
    <w:name w:val="B71CEBAFED744FBDBE7668212525C5E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0E25CCC5DD4F43AAA642CDCC18DDB6A61">
    <w:name w:val="0E25CCC5DD4F43AAA642CDCC18DDB6A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E728F56A42F140A7861FAC2D6EC403FB1">
    <w:name w:val="E728F56A42F140A7861FAC2D6EC403FB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C3826F269E5A473DAA5766AD56AE55661">
    <w:name w:val="C3826F269E5A473DAA5766AD56AE5566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B5E75E7293A34274978C09F7D4B5735C1">
    <w:name w:val="B5E75E7293A34274978C09F7D4B5735C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9B8CED89FE6E489186EB32EA798E74F51">
    <w:name w:val="9B8CED89FE6E489186EB32EA798E74F5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19A444ACBEA34578BA0CB31422DD23771">
    <w:name w:val="19A444ACBEA34578BA0CB31422DD2377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952B08D80D8485F8616604608967B5A1">
    <w:name w:val="8952B08D80D8485F8616604608967B5A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80D911A8548C4A20B0918E044529BA121">
    <w:name w:val="80D911A8548C4A20B0918E044529BA1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398517B14D714148931AD0451FF0A8721">
    <w:name w:val="398517B14D714148931AD0451FF0A8721"/>
    <w:rsid w:val="0098440F"/>
    <w:pPr>
      <w:spacing w:after="0" w:line="240" w:lineRule="auto"/>
    </w:pPr>
    <w:rPr>
      <w:rFonts w:ascii="Verdana" w:eastAsiaTheme="minorHAnsi" w:hAnsi="Verdana"/>
      <w:sz w:val="24"/>
      <w:lang w:eastAsia="en-US"/>
    </w:rPr>
  </w:style>
  <w:style w:type="paragraph" w:customStyle="1" w:styleId="4C6AAE8593DC4F618353CDFCD416CA79">
    <w:name w:val="4C6AAE8593DC4F618353CDFCD416CA79"/>
    <w:rsid w:val="00760EAF"/>
    <w:pPr>
      <w:spacing w:after="160" w:line="259" w:lineRule="auto"/>
    </w:pPr>
  </w:style>
  <w:style w:type="paragraph" w:customStyle="1" w:styleId="04161E0AAEEB4A8D8206571FD0CE6466">
    <w:name w:val="04161E0AAEEB4A8D8206571FD0CE6466"/>
    <w:rsid w:val="00760EAF"/>
    <w:pPr>
      <w:spacing w:after="160" w:line="259" w:lineRule="auto"/>
    </w:pPr>
  </w:style>
  <w:style w:type="paragraph" w:customStyle="1" w:styleId="81B00BAB8DF44AD2AB7819CCAAFC9EC8">
    <w:name w:val="81B00BAB8DF44AD2AB7819CCAAFC9EC8"/>
    <w:rsid w:val="00760EAF"/>
    <w:pPr>
      <w:spacing w:after="160" w:line="259" w:lineRule="auto"/>
    </w:pPr>
  </w:style>
  <w:style w:type="paragraph" w:customStyle="1" w:styleId="0ECE6A1159A64539822741CFAE2C9B30">
    <w:name w:val="0ECE6A1159A64539822741CFAE2C9B30"/>
    <w:rsid w:val="00760EAF"/>
    <w:pPr>
      <w:spacing w:after="160" w:line="259" w:lineRule="auto"/>
    </w:pPr>
  </w:style>
  <w:style w:type="paragraph" w:customStyle="1" w:styleId="5A5F231099F942BDB087759F1EF38FEA">
    <w:name w:val="5A5F231099F942BDB087759F1EF38FEA"/>
    <w:rsid w:val="00760EAF"/>
    <w:pPr>
      <w:spacing w:after="160" w:line="259" w:lineRule="auto"/>
    </w:pPr>
  </w:style>
  <w:style w:type="paragraph" w:customStyle="1" w:styleId="95C6797B0A2E4F0B84E72883EFECD809">
    <w:name w:val="95C6797B0A2E4F0B84E72883EFECD809"/>
    <w:rsid w:val="00760EAF"/>
    <w:pPr>
      <w:spacing w:after="160" w:line="259" w:lineRule="auto"/>
    </w:pPr>
  </w:style>
  <w:style w:type="paragraph" w:customStyle="1" w:styleId="C04374CD51A040E4BEE1F4C1F29763FE">
    <w:name w:val="C04374CD51A040E4BEE1F4C1F29763FE"/>
    <w:rsid w:val="00AA293F"/>
    <w:pPr>
      <w:spacing w:after="160" w:line="259" w:lineRule="auto"/>
    </w:pPr>
  </w:style>
  <w:style w:type="paragraph" w:customStyle="1" w:styleId="5725F11CA3AB4BF7861CEAA56AA1D24C">
    <w:name w:val="5725F11CA3AB4BF7861CEAA56AA1D24C"/>
    <w:rsid w:val="0045397F"/>
    <w:pPr>
      <w:spacing w:after="160" w:line="259" w:lineRule="auto"/>
    </w:pPr>
  </w:style>
  <w:style w:type="paragraph" w:customStyle="1" w:styleId="7F00E96D11CF4307AC6771E4BB14B953">
    <w:name w:val="7F00E96D11CF4307AC6771E4BB14B953"/>
    <w:rsid w:val="0045397F"/>
    <w:pPr>
      <w:spacing w:after="160" w:line="259" w:lineRule="auto"/>
    </w:pPr>
  </w:style>
  <w:style w:type="paragraph" w:customStyle="1" w:styleId="5A753FB1D9E14086A408EB643958D1AA">
    <w:name w:val="5A753FB1D9E14086A408EB643958D1AA"/>
    <w:rsid w:val="004838BF"/>
    <w:pPr>
      <w:spacing w:after="160" w:line="259" w:lineRule="auto"/>
    </w:pPr>
  </w:style>
  <w:style w:type="paragraph" w:customStyle="1" w:styleId="F93CAFC8B8E34EB6A8C84A0546774BB5">
    <w:name w:val="F93CAFC8B8E34EB6A8C84A0546774BB5"/>
    <w:rsid w:val="004838BF"/>
    <w:pPr>
      <w:spacing w:after="160" w:line="259" w:lineRule="auto"/>
    </w:pPr>
  </w:style>
  <w:style w:type="paragraph" w:customStyle="1" w:styleId="E19A39A2DC34427782303866B501EF52">
    <w:name w:val="E19A39A2DC34427782303866B501EF52"/>
    <w:rsid w:val="004838BF"/>
    <w:pPr>
      <w:spacing w:after="160" w:line="259" w:lineRule="auto"/>
    </w:pPr>
  </w:style>
  <w:style w:type="paragraph" w:customStyle="1" w:styleId="4037A60F381647269327C3491F818BF7">
    <w:name w:val="4037A60F381647269327C3491F818BF7"/>
    <w:rsid w:val="004838B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6B6AE-F15F-4C0A-A98C-26041084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Cathie Steele</dc:creator>
  <cp:lastModifiedBy>Helen Bushell (Public Health Wales - No. 2 Capital Quarter)</cp:lastModifiedBy>
  <cp:revision>15</cp:revision>
  <cp:lastPrinted>2020-01-16T11:21:00Z</cp:lastPrinted>
  <dcterms:created xsi:type="dcterms:W3CDTF">2020-09-12T08:16:00Z</dcterms:created>
  <dcterms:modified xsi:type="dcterms:W3CDTF">2020-09-22T09:20:00Z</dcterms:modified>
</cp:coreProperties>
</file>