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D9E7" w14:textId="4633E44A" w:rsidR="00062830" w:rsidRDefault="009524B0" w:rsidP="0008272A">
      <w:pPr>
        <w:rPr>
          <w:rFonts w:asciiTheme="minorHAnsi" w:hAnsiTheme="minorHAnsi" w:cstheme="minorHAnsi"/>
          <w:sz w:val="24"/>
          <w:szCs w:val="24"/>
        </w:rPr>
      </w:pPr>
      <w:r w:rsidRPr="009524B0">
        <w:rPr>
          <w:rFonts w:asciiTheme="minorHAnsi" w:hAnsiTheme="minorHAnsi" w:cstheme="minorHAnsi"/>
          <w:noProof/>
          <w:sz w:val="24"/>
          <w:szCs w:val="24"/>
        </w:rPr>
        <mc:AlternateContent>
          <mc:Choice Requires="wps">
            <w:drawing>
              <wp:anchor distT="45720" distB="45720" distL="114300" distR="114300" simplePos="0" relativeHeight="251659264" behindDoc="0" locked="0" layoutInCell="1" allowOverlap="1" wp14:anchorId="309C306C" wp14:editId="35EA9F7F">
                <wp:simplePos x="0" y="0"/>
                <wp:positionH relativeFrom="column">
                  <wp:posOffset>2051050</wp:posOffset>
                </wp:positionH>
                <wp:positionV relativeFrom="paragraph">
                  <wp:posOffset>0</wp:posOffset>
                </wp:positionV>
                <wp:extent cx="4184650" cy="2857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85750"/>
                        </a:xfrm>
                        <a:prstGeom prst="rect">
                          <a:avLst/>
                        </a:prstGeom>
                        <a:solidFill>
                          <a:srgbClr val="FFFFFF"/>
                        </a:solidFill>
                        <a:ln w="9525">
                          <a:noFill/>
                          <a:miter lim="800000"/>
                          <a:headEnd/>
                          <a:tailEnd/>
                        </a:ln>
                      </wps:spPr>
                      <wps:txbx>
                        <w:txbxContent>
                          <w:p w14:paraId="44E6B27C" w14:textId="52EF0CE8" w:rsidR="009524B0" w:rsidRDefault="009524B0" w:rsidP="009524B0">
                            <w:pPr>
                              <w:jc w:val="right"/>
                            </w:pPr>
                            <w:r>
                              <w:t>Appendix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C306C" id="_x0000_t202" coordsize="21600,21600" o:spt="202" path="m,l,21600r21600,l21600,xe">
                <v:stroke joinstyle="miter"/>
                <v:path gradientshapeok="t" o:connecttype="rect"/>
              </v:shapetype>
              <v:shape id="Text Box 2" o:spid="_x0000_s1026" type="#_x0000_t202" style="position:absolute;margin-left:161.5pt;margin-top:0;width:329.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xQCwIAAPYDAAAOAAAAZHJzL2Uyb0RvYy54bWysU9tu2zAMfR+wfxD0vjgJkjY14hRdugwD&#10;ugvQ9QNkWY6FyaJGKbGzrx8lu2m2vg3Tg0CK1BF5eLS+7VvDjgq9Blvw2WTKmbISKm33BX/6vnu3&#10;4swHYSthwKqCn5Tnt5u3b9ady9UcGjCVQkYg1uedK3gTgsuzzMtGtcJPwClLwRqwFYFc3GcVio7Q&#10;W5PNp9OrrAOsHIJU3tPp/RDkm4Rf10qGr3XtVWCm4FRbSDumvYx7tlmLfI/CNVqOZYh/qKIV2tKj&#10;Z6h7EQQ7oH4F1WqJ4KEOEwltBnWtpUo9UDez6V/dPDbCqdQLkePdmSb//2Dll+Oj+4Ys9O+hpwGm&#10;Jrx7APnDMwvbRti9ukOErlGioodnkbKscz4fr0aqfe4jSNl9hoqGLA4BElBfYxtZoT4ZodMATmfS&#10;VR+YpMPFbLW4WlJIUmy+Wl6THZ8Q+fNthz58VNCyaBQcaagJXRwffBhSn1PiYx6MrnbamOTgvtwa&#10;ZEdBAtilNaL/kWYs6wp+s5wvE7KFeD9po9WBBGp0W/DVNK5BMpGND7ZKKUFoM9hUtLEjPZGRgZvQ&#10;lz0lRppKqE5EFMIgRPo4ZDSAvzjrSIQF9z8PAhVn5pMlsm9mi0VUbXIWy+s5OXgZKS8jwkqCKnjg&#10;bDC3ISk98mDhjoZS68TXSyVjrSSuxPj4EaJ6L/2U9fJdN78BAAD//wMAUEsDBBQABgAIAAAAIQBV&#10;sTOi3AAAAAcBAAAPAAAAZHJzL2Rvd25yZXYueG1sTI/NTsNADITvSLzDykhcEN2Q/oc4FSCBuLb0&#10;AZzsNonIeqPstknfHnOCizXWWDOf893kOnWxQ2g9IzzNElCWK29arhGOX++PG1AhEhvqPFuEqw2w&#10;K25vcsqMH3lvL4dYKwnhkBFCE2OfaR2qxjoKM99bFu/kB0dR1qHWZqBRwl2n0yRZaUctS0NDvX1r&#10;bPV9ODuE0+f4sNyO5Uc8rveL1Su169JfEe/vppdnUNFO8e8YfvEFHQphKv2ZTVAdwjydyy8RQabY&#10;200qokRYLBPQRa7/8xc/AAAA//8DAFBLAQItABQABgAIAAAAIQC2gziS/gAAAOEBAAATAAAAAAAA&#10;AAAAAAAAAAAAAABbQ29udGVudF9UeXBlc10ueG1sUEsBAi0AFAAGAAgAAAAhADj9If/WAAAAlAEA&#10;AAsAAAAAAAAAAAAAAAAALwEAAF9yZWxzLy5yZWxzUEsBAi0AFAAGAAgAAAAhALuEnFALAgAA9gMA&#10;AA4AAAAAAAAAAAAAAAAALgIAAGRycy9lMm9Eb2MueG1sUEsBAi0AFAAGAAgAAAAhAFWxM6LcAAAA&#10;BwEAAA8AAAAAAAAAAAAAAAAAZQQAAGRycy9kb3ducmV2LnhtbFBLBQYAAAAABAAEAPMAAABuBQAA&#10;AAA=&#10;" stroked="f">
                <v:textbox>
                  <w:txbxContent>
                    <w:p w14:paraId="44E6B27C" w14:textId="52EF0CE8" w:rsidR="009524B0" w:rsidRDefault="009524B0" w:rsidP="009524B0">
                      <w:pPr>
                        <w:jc w:val="right"/>
                      </w:pPr>
                      <w:r>
                        <w:t>Appendix 1</w:t>
                      </w:r>
                    </w:p>
                  </w:txbxContent>
                </v:textbox>
                <w10:wrap type="square"/>
              </v:shape>
            </w:pict>
          </mc:Fallback>
        </mc:AlternateContent>
      </w:r>
      <w:r w:rsidR="007D4CC1" w:rsidRPr="007D4CC1">
        <w:rPr>
          <w:rFonts w:asciiTheme="minorHAnsi" w:hAnsiTheme="minorHAnsi" w:cstheme="minorHAnsi"/>
          <w:noProof/>
          <w:sz w:val="24"/>
          <w:szCs w:val="24"/>
          <w:lang w:eastAsia="en-GB"/>
        </w:rPr>
        <w:drawing>
          <wp:inline distT="0" distB="0" distL="0" distR="0" wp14:anchorId="01827B43" wp14:editId="7423D109">
            <wp:extent cx="5731510" cy="1636934"/>
            <wp:effectExtent l="0" t="0" r="2540" b="1905"/>
            <wp:docPr id="8" name="Picture 8" descr="A:\Business Support\Other Resources\LOGOS\PH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usiness Support\Other Resources\LOGOS\PHW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636934"/>
                    </a:xfrm>
                    <a:prstGeom prst="rect">
                      <a:avLst/>
                    </a:prstGeom>
                    <a:noFill/>
                    <a:ln>
                      <a:noFill/>
                    </a:ln>
                  </pic:spPr>
                </pic:pic>
              </a:graphicData>
            </a:graphic>
          </wp:inline>
        </w:drawing>
      </w:r>
    </w:p>
    <w:p w14:paraId="5532EA8F" w14:textId="288FD0D7" w:rsidR="007D4CC1" w:rsidRDefault="007D4CC1" w:rsidP="00062830">
      <w:pPr>
        <w:rPr>
          <w:rFonts w:asciiTheme="minorHAnsi" w:hAnsiTheme="minorHAnsi" w:cstheme="minorHAnsi"/>
          <w:sz w:val="24"/>
          <w:szCs w:val="24"/>
        </w:rPr>
      </w:pPr>
    </w:p>
    <w:p w14:paraId="19157949" w14:textId="72244529" w:rsidR="007D4CC1" w:rsidRDefault="007D4CC1" w:rsidP="00062830">
      <w:pPr>
        <w:rPr>
          <w:rFonts w:asciiTheme="minorHAnsi" w:hAnsiTheme="minorHAnsi" w:cstheme="minorHAnsi"/>
          <w:sz w:val="24"/>
          <w:szCs w:val="24"/>
        </w:rPr>
      </w:pPr>
    </w:p>
    <w:p w14:paraId="747E3BDD" w14:textId="56BDB0C9" w:rsidR="007D4CC1" w:rsidRDefault="007D4CC1" w:rsidP="00062830">
      <w:pPr>
        <w:rPr>
          <w:rFonts w:asciiTheme="minorHAnsi" w:hAnsiTheme="minorHAnsi" w:cstheme="minorHAnsi"/>
          <w:sz w:val="24"/>
          <w:szCs w:val="24"/>
        </w:rPr>
      </w:pPr>
    </w:p>
    <w:p w14:paraId="69751F78" w14:textId="19395781" w:rsidR="007D4CC1" w:rsidRDefault="007D4CC1" w:rsidP="00062830">
      <w:pPr>
        <w:rPr>
          <w:rFonts w:asciiTheme="minorHAnsi" w:hAnsiTheme="minorHAnsi" w:cstheme="minorHAnsi"/>
          <w:sz w:val="24"/>
          <w:szCs w:val="24"/>
        </w:rPr>
      </w:pPr>
    </w:p>
    <w:p w14:paraId="47DEAD01" w14:textId="77777777" w:rsidR="007D4CC1" w:rsidRDefault="007D4CC1" w:rsidP="00062830">
      <w:pPr>
        <w:rPr>
          <w:rFonts w:asciiTheme="minorHAnsi" w:hAnsiTheme="minorHAnsi" w:cstheme="minorHAnsi"/>
          <w:sz w:val="24"/>
          <w:szCs w:val="24"/>
        </w:rPr>
      </w:pPr>
    </w:p>
    <w:p w14:paraId="2378EEC8" w14:textId="035E2518" w:rsidR="007D4CC1" w:rsidRDefault="007D4CC1" w:rsidP="00062830">
      <w:pPr>
        <w:rPr>
          <w:rFonts w:asciiTheme="minorHAnsi" w:hAnsiTheme="minorHAnsi" w:cstheme="minorHAnsi"/>
          <w:sz w:val="24"/>
          <w:szCs w:val="24"/>
        </w:rPr>
      </w:pPr>
    </w:p>
    <w:p w14:paraId="6A7E2E60" w14:textId="77777777" w:rsidR="007D4CC1" w:rsidRPr="007D4CC1" w:rsidRDefault="007D4CC1" w:rsidP="007D4CC1">
      <w:pPr>
        <w:spacing w:after="160" w:line="259" w:lineRule="auto"/>
        <w:jc w:val="center"/>
        <w:rPr>
          <w:rFonts w:ascii="Verdana" w:eastAsia="Calibri" w:hAnsi="Verdana" w:cs="Times New Roman"/>
          <w:b/>
          <w:sz w:val="24"/>
          <w:szCs w:val="24"/>
        </w:rPr>
      </w:pPr>
      <w:r w:rsidRPr="007D4CC1">
        <w:rPr>
          <w:rFonts w:ascii="Verdana" w:eastAsia="Calibri" w:hAnsi="Verdana" w:cs="Times New Roman"/>
          <w:b/>
          <w:sz w:val="24"/>
          <w:szCs w:val="24"/>
        </w:rPr>
        <w:t>An inquiry into whether the Welsh Government is doing enough to bridge the gap in oral health inequalities and rebuild dentistry in Wales following the COVID-19 pandemic and in the context of rising costs of living.</w:t>
      </w:r>
    </w:p>
    <w:p w14:paraId="05C5F7BD" w14:textId="77777777" w:rsidR="007D4CC1" w:rsidRPr="007D4CC1" w:rsidRDefault="007D4CC1" w:rsidP="007D4CC1">
      <w:pPr>
        <w:spacing w:after="160" w:line="259" w:lineRule="auto"/>
        <w:jc w:val="center"/>
        <w:rPr>
          <w:rFonts w:ascii="Verdana" w:eastAsia="Calibri" w:hAnsi="Verdana" w:cs="Times New Roman"/>
          <w:b/>
          <w:sz w:val="24"/>
          <w:szCs w:val="24"/>
        </w:rPr>
      </w:pPr>
    </w:p>
    <w:p w14:paraId="16BDBF7E" w14:textId="77777777" w:rsidR="007D4CC1" w:rsidRPr="007D4CC1" w:rsidRDefault="007D4CC1" w:rsidP="007D4CC1">
      <w:pPr>
        <w:spacing w:after="160" w:line="259" w:lineRule="auto"/>
        <w:jc w:val="center"/>
        <w:rPr>
          <w:rFonts w:ascii="Verdana" w:eastAsia="Calibri" w:hAnsi="Verdana" w:cs="Times New Roman"/>
          <w:b/>
          <w:sz w:val="24"/>
          <w:szCs w:val="24"/>
        </w:rPr>
      </w:pPr>
      <w:r w:rsidRPr="007D4CC1">
        <w:rPr>
          <w:rFonts w:ascii="Verdana" w:eastAsia="Calibri" w:hAnsi="Verdana" w:cs="Times New Roman"/>
          <w:b/>
          <w:sz w:val="24"/>
          <w:szCs w:val="24"/>
        </w:rPr>
        <w:t>Evidence provided to Sixth Senedd Health and Social Care Committee</w:t>
      </w:r>
    </w:p>
    <w:p w14:paraId="0867F03C" w14:textId="77777777" w:rsidR="007D4CC1" w:rsidRPr="007D4CC1" w:rsidRDefault="007D4CC1" w:rsidP="007D4CC1">
      <w:pPr>
        <w:spacing w:after="160" w:line="259" w:lineRule="auto"/>
        <w:rPr>
          <w:rFonts w:ascii="Calibri" w:eastAsia="Calibri" w:hAnsi="Calibri" w:cs="Times New Roman"/>
          <w:sz w:val="24"/>
          <w:szCs w:val="24"/>
        </w:rPr>
      </w:pPr>
    </w:p>
    <w:p w14:paraId="4DC1C8BC" w14:textId="06AADC14" w:rsidR="007D4CC1" w:rsidRDefault="007D4CC1" w:rsidP="00062830">
      <w:pPr>
        <w:rPr>
          <w:rFonts w:asciiTheme="minorHAnsi" w:hAnsiTheme="minorHAnsi" w:cstheme="minorHAnsi"/>
          <w:sz w:val="24"/>
          <w:szCs w:val="24"/>
        </w:rPr>
      </w:pPr>
    </w:p>
    <w:p w14:paraId="7562ECE4" w14:textId="7A700784" w:rsidR="00062830" w:rsidRPr="006F4F7D" w:rsidRDefault="00062830" w:rsidP="00062830">
      <w:pPr>
        <w:rPr>
          <w:rFonts w:ascii="Arial" w:hAnsi="Arial" w:cs="Arial"/>
          <w:sz w:val="24"/>
          <w:szCs w:val="24"/>
        </w:rPr>
      </w:pPr>
      <w:r w:rsidRPr="006F4F7D">
        <w:rPr>
          <w:rFonts w:ascii="Arial" w:hAnsi="Arial" w:cs="Arial"/>
          <w:sz w:val="24"/>
          <w:szCs w:val="24"/>
        </w:rPr>
        <w:t>Public Health Wales is pleased to provid</w:t>
      </w:r>
      <w:r w:rsidR="006E336A">
        <w:rPr>
          <w:rFonts w:ascii="Arial" w:hAnsi="Arial" w:cs="Arial"/>
          <w:sz w:val="24"/>
          <w:szCs w:val="24"/>
        </w:rPr>
        <w:t>e this written submission to</w:t>
      </w:r>
      <w:r w:rsidRPr="006F4F7D">
        <w:rPr>
          <w:rFonts w:ascii="Arial" w:hAnsi="Arial" w:cs="Arial"/>
          <w:sz w:val="24"/>
          <w:szCs w:val="24"/>
        </w:rPr>
        <w:t xml:space="preserve"> the Sixth Senedd </w:t>
      </w:r>
      <w:hyperlink r:id="rId12" w:history="1">
        <w:r w:rsidRPr="006F4F7D">
          <w:rPr>
            <w:rStyle w:val="Hyperlink"/>
            <w:rFonts w:ascii="Arial" w:hAnsi="Arial" w:cs="Arial"/>
            <w:b/>
            <w:bCs/>
            <w:sz w:val="24"/>
            <w:szCs w:val="24"/>
          </w:rPr>
          <w:t>Health and Social Care Committee</w:t>
        </w:r>
      </w:hyperlink>
      <w:r w:rsidR="007D4CC1" w:rsidRPr="006F4F7D">
        <w:rPr>
          <w:rStyle w:val="Hyperlink"/>
          <w:rFonts w:ascii="Arial" w:hAnsi="Arial" w:cs="Arial"/>
          <w:b/>
          <w:bCs/>
          <w:sz w:val="24"/>
          <w:szCs w:val="24"/>
        </w:rPr>
        <w:t>.</w:t>
      </w:r>
      <w:r w:rsidRPr="006F4F7D">
        <w:rPr>
          <w:rFonts w:ascii="Arial" w:hAnsi="Arial" w:cs="Arial"/>
          <w:sz w:val="24"/>
          <w:szCs w:val="24"/>
        </w:rPr>
        <w:t>  The committee is considering wide ranging areas in oral health and dentistry. We would like to focus our response on prevention, oral health improvement programmes and primary care dental services</w:t>
      </w:r>
      <w:r w:rsidR="007F33E2" w:rsidRPr="006F4F7D">
        <w:rPr>
          <w:rFonts w:ascii="Arial" w:hAnsi="Arial" w:cs="Arial"/>
          <w:sz w:val="24"/>
          <w:szCs w:val="24"/>
        </w:rPr>
        <w:t xml:space="preserve"> including workforce challenges</w:t>
      </w:r>
      <w:r w:rsidRPr="006F4F7D">
        <w:rPr>
          <w:rFonts w:ascii="Arial" w:hAnsi="Arial" w:cs="Arial"/>
          <w:sz w:val="24"/>
          <w:szCs w:val="24"/>
        </w:rPr>
        <w:t>.</w:t>
      </w:r>
    </w:p>
    <w:p w14:paraId="3EB4AF7B" w14:textId="5987B564" w:rsidR="00FC4A74" w:rsidRPr="006F4F7D" w:rsidRDefault="00FC4A74" w:rsidP="00062830">
      <w:pPr>
        <w:rPr>
          <w:rFonts w:ascii="Arial" w:hAnsi="Arial" w:cs="Arial"/>
          <w:sz w:val="24"/>
          <w:szCs w:val="24"/>
        </w:rPr>
      </w:pPr>
    </w:p>
    <w:p w14:paraId="4646AB2C" w14:textId="1EE97DEC" w:rsidR="007D4CC1" w:rsidRDefault="007D4CC1" w:rsidP="00062830">
      <w:pPr>
        <w:rPr>
          <w:rFonts w:asciiTheme="minorHAnsi" w:hAnsiTheme="minorHAnsi" w:cstheme="minorHAnsi"/>
          <w:sz w:val="24"/>
          <w:szCs w:val="24"/>
        </w:rPr>
      </w:pPr>
    </w:p>
    <w:p w14:paraId="7E90799B" w14:textId="240D9D2D" w:rsidR="007D4CC1" w:rsidRDefault="007D4CC1" w:rsidP="00062830">
      <w:pPr>
        <w:rPr>
          <w:rFonts w:asciiTheme="minorHAnsi" w:hAnsiTheme="minorHAnsi" w:cstheme="minorHAnsi"/>
          <w:sz w:val="24"/>
          <w:szCs w:val="24"/>
        </w:rPr>
      </w:pPr>
    </w:p>
    <w:p w14:paraId="39539BDE" w14:textId="27B4B459" w:rsidR="007D4CC1" w:rsidRDefault="007D4CC1" w:rsidP="00062830">
      <w:pPr>
        <w:rPr>
          <w:rFonts w:asciiTheme="minorHAnsi" w:hAnsiTheme="minorHAnsi" w:cstheme="minorHAnsi"/>
          <w:sz w:val="24"/>
          <w:szCs w:val="24"/>
        </w:rPr>
      </w:pPr>
    </w:p>
    <w:p w14:paraId="5A777C31" w14:textId="4A5923D3" w:rsidR="007D4CC1" w:rsidRDefault="007D4CC1" w:rsidP="00062830">
      <w:pPr>
        <w:rPr>
          <w:rFonts w:asciiTheme="minorHAnsi" w:hAnsiTheme="minorHAnsi" w:cstheme="minorHAnsi"/>
          <w:sz w:val="24"/>
          <w:szCs w:val="24"/>
        </w:rPr>
      </w:pPr>
    </w:p>
    <w:p w14:paraId="58C04080" w14:textId="3C24B63B" w:rsidR="007D4CC1" w:rsidRDefault="007D4CC1" w:rsidP="00062830">
      <w:pPr>
        <w:rPr>
          <w:rFonts w:asciiTheme="minorHAnsi" w:hAnsiTheme="minorHAnsi" w:cstheme="minorHAnsi"/>
          <w:sz w:val="24"/>
          <w:szCs w:val="24"/>
        </w:rPr>
      </w:pPr>
    </w:p>
    <w:p w14:paraId="676FD963" w14:textId="5AC5760E" w:rsidR="007D4CC1" w:rsidRDefault="007D4CC1" w:rsidP="00062830">
      <w:pPr>
        <w:rPr>
          <w:rFonts w:asciiTheme="minorHAnsi" w:hAnsiTheme="minorHAnsi" w:cstheme="minorHAnsi"/>
          <w:sz w:val="24"/>
          <w:szCs w:val="24"/>
        </w:rPr>
      </w:pPr>
    </w:p>
    <w:p w14:paraId="644ED857" w14:textId="4BFCECA0" w:rsidR="007D4CC1" w:rsidRDefault="007D4CC1" w:rsidP="00062830">
      <w:pPr>
        <w:rPr>
          <w:rFonts w:asciiTheme="minorHAnsi" w:hAnsiTheme="minorHAnsi" w:cstheme="minorHAnsi"/>
          <w:sz w:val="24"/>
          <w:szCs w:val="24"/>
        </w:rPr>
      </w:pPr>
    </w:p>
    <w:p w14:paraId="410E87F2" w14:textId="19DD9748" w:rsidR="007D4CC1" w:rsidRDefault="007D4CC1" w:rsidP="00062830">
      <w:pPr>
        <w:rPr>
          <w:rFonts w:asciiTheme="minorHAnsi" w:hAnsiTheme="minorHAnsi" w:cstheme="minorHAnsi"/>
          <w:sz w:val="24"/>
          <w:szCs w:val="24"/>
        </w:rPr>
      </w:pPr>
    </w:p>
    <w:p w14:paraId="650154CF" w14:textId="5256EB16" w:rsidR="007D4CC1" w:rsidRDefault="007D4CC1" w:rsidP="00062830">
      <w:pPr>
        <w:rPr>
          <w:rFonts w:asciiTheme="minorHAnsi" w:hAnsiTheme="minorHAnsi" w:cstheme="minorHAnsi"/>
          <w:sz w:val="24"/>
          <w:szCs w:val="24"/>
        </w:rPr>
      </w:pPr>
    </w:p>
    <w:p w14:paraId="6B858CEC" w14:textId="03048761" w:rsidR="007D4CC1" w:rsidRDefault="007D4CC1" w:rsidP="00062830">
      <w:pPr>
        <w:rPr>
          <w:rFonts w:asciiTheme="minorHAnsi" w:hAnsiTheme="minorHAnsi" w:cstheme="minorHAnsi"/>
          <w:sz w:val="24"/>
          <w:szCs w:val="24"/>
        </w:rPr>
      </w:pPr>
    </w:p>
    <w:p w14:paraId="5FCA4CCF" w14:textId="22B61AC3" w:rsidR="007D4CC1" w:rsidRDefault="007D4CC1" w:rsidP="00062830">
      <w:pPr>
        <w:rPr>
          <w:rFonts w:asciiTheme="minorHAnsi" w:hAnsiTheme="minorHAnsi" w:cstheme="minorHAnsi"/>
          <w:sz w:val="24"/>
          <w:szCs w:val="24"/>
        </w:rPr>
      </w:pPr>
    </w:p>
    <w:p w14:paraId="3F2D8042" w14:textId="37404206" w:rsidR="007D4CC1" w:rsidRDefault="007D4CC1" w:rsidP="00062830">
      <w:pPr>
        <w:rPr>
          <w:rFonts w:asciiTheme="minorHAnsi" w:hAnsiTheme="minorHAnsi" w:cstheme="minorHAnsi"/>
          <w:sz w:val="24"/>
          <w:szCs w:val="24"/>
        </w:rPr>
      </w:pPr>
    </w:p>
    <w:p w14:paraId="0AB5FD7F" w14:textId="77777777" w:rsidR="007D4CC1" w:rsidRDefault="007D4CC1" w:rsidP="00062830">
      <w:pPr>
        <w:rPr>
          <w:rFonts w:asciiTheme="minorHAnsi" w:hAnsiTheme="minorHAnsi" w:cstheme="minorHAnsi"/>
          <w:sz w:val="24"/>
          <w:szCs w:val="24"/>
        </w:rPr>
      </w:pPr>
    </w:p>
    <w:p w14:paraId="428EECC1" w14:textId="558D2D2A" w:rsidR="00FC4A74" w:rsidRPr="003824ED" w:rsidRDefault="00FC4A74" w:rsidP="004B6AFE">
      <w:pPr>
        <w:spacing w:line="360" w:lineRule="auto"/>
        <w:ind w:left="567"/>
        <w:jc w:val="both"/>
        <w:rPr>
          <w:rFonts w:asciiTheme="minorHAnsi" w:hAnsiTheme="minorHAnsi" w:cstheme="minorHAnsi"/>
          <w:b/>
          <w:sz w:val="24"/>
          <w:szCs w:val="24"/>
        </w:rPr>
      </w:pPr>
      <w:r w:rsidRPr="003824ED">
        <w:rPr>
          <w:rFonts w:asciiTheme="minorHAnsi" w:hAnsiTheme="minorHAnsi" w:cstheme="minorHAnsi"/>
          <w:b/>
          <w:sz w:val="24"/>
          <w:szCs w:val="24"/>
        </w:rPr>
        <w:lastRenderedPageBreak/>
        <w:t>Summary</w:t>
      </w:r>
    </w:p>
    <w:p w14:paraId="5FCA4F44" w14:textId="7EC6176C" w:rsidR="00BA6AA3" w:rsidRPr="00B27E08" w:rsidRDefault="006E336A" w:rsidP="00B27E08">
      <w:pPr>
        <w:pStyle w:val="ListParagraph"/>
        <w:numPr>
          <w:ilvl w:val="0"/>
          <w:numId w:val="10"/>
        </w:numPr>
        <w:spacing w:line="276" w:lineRule="auto"/>
        <w:jc w:val="both"/>
        <w:rPr>
          <w:rFonts w:asciiTheme="minorHAnsi" w:hAnsiTheme="minorHAnsi" w:cstheme="minorHAnsi"/>
          <w:sz w:val="24"/>
          <w:szCs w:val="24"/>
        </w:rPr>
      </w:pPr>
      <w:r>
        <w:rPr>
          <w:rFonts w:asciiTheme="minorHAnsi" w:hAnsiTheme="minorHAnsi" w:cstheme="minorHAnsi"/>
          <w:sz w:val="24"/>
          <w:szCs w:val="24"/>
        </w:rPr>
        <w:t>The b</w:t>
      </w:r>
      <w:r w:rsidR="002C1B68" w:rsidRPr="00B27E08">
        <w:rPr>
          <w:rFonts w:asciiTheme="minorHAnsi" w:hAnsiTheme="minorHAnsi" w:cstheme="minorHAnsi"/>
          <w:sz w:val="24"/>
          <w:szCs w:val="24"/>
        </w:rPr>
        <w:t xml:space="preserve">urden of oral health diseases is high. </w:t>
      </w:r>
      <w:r>
        <w:rPr>
          <w:rFonts w:asciiTheme="minorHAnsi" w:hAnsiTheme="minorHAnsi" w:cstheme="minorHAnsi"/>
          <w:sz w:val="24"/>
          <w:szCs w:val="24"/>
        </w:rPr>
        <w:t>The o</w:t>
      </w:r>
      <w:r w:rsidR="00FC4A74" w:rsidRPr="00B27E08">
        <w:rPr>
          <w:rFonts w:asciiTheme="minorHAnsi" w:hAnsiTheme="minorHAnsi" w:cstheme="minorHAnsi"/>
          <w:sz w:val="24"/>
          <w:szCs w:val="24"/>
        </w:rPr>
        <w:t xml:space="preserve">ral health </w:t>
      </w:r>
      <w:r w:rsidR="00EA11ED" w:rsidRPr="00B27E08">
        <w:rPr>
          <w:rFonts w:asciiTheme="minorHAnsi" w:hAnsiTheme="minorHAnsi" w:cstheme="minorHAnsi"/>
          <w:sz w:val="24"/>
          <w:szCs w:val="24"/>
        </w:rPr>
        <w:t xml:space="preserve">of </w:t>
      </w:r>
      <w:r>
        <w:rPr>
          <w:rFonts w:asciiTheme="minorHAnsi" w:hAnsiTheme="minorHAnsi" w:cstheme="minorHAnsi"/>
          <w:sz w:val="24"/>
          <w:szCs w:val="24"/>
        </w:rPr>
        <w:t xml:space="preserve">the </w:t>
      </w:r>
      <w:r w:rsidR="00EA11ED" w:rsidRPr="00B27E08">
        <w:rPr>
          <w:rFonts w:asciiTheme="minorHAnsi" w:hAnsiTheme="minorHAnsi" w:cstheme="minorHAnsi"/>
          <w:sz w:val="24"/>
          <w:szCs w:val="24"/>
        </w:rPr>
        <w:t>population cannot be improved through dental services alone.</w:t>
      </w:r>
      <w:r w:rsidR="00D3085A" w:rsidRPr="00B27E08">
        <w:rPr>
          <w:rFonts w:asciiTheme="minorHAnsi" w:hAnsiTheme="minorHAnsi" w:cstheme="minorHAnsi"/>
          <w:sz w:val="24"/>
          <w:szCs w:val="24"/>
        </w:rPr>
        <w:t xml:space="preserve"> If l</w:t>
      </w:r>
      <w:r w:rsidR="00EA11ED" w:rsidRPr="00B27E08">
        <w:rPr>
          <w:rFonts w:asciiTheme="minorHAnsi" w:hAnsiTheme="minorHAnsi" w:cstheme="minorHAnsi"/>
          <w:sz w:val="24"/>
          <w:szCs w:val="24"/>
        </w:rPr>
        <w:t>egislative interventions</w:t>
      </w:r>
      <w:r w:rsidR="00DE18CE">
        <w:rPr>
          <w:rFonts w:asciiTheme="minorHAnsi" w:hAnsiTheme="minorHAnsi" w:cstheme="minorHAnsi"/>
          <w:sz w:val="24"/>
          <w:szCs w:val="24"/>
        </w:rPr>
        <w:t xml:space="preserve"> like the Well-being of</w:t>
      </w:r>
      <w:r w:rsidR="00413618" w:rsidRPr="00B27E08">
        <w:rPr>
          <w:rFonts w:asciiTheme="minorHAnsi" w:hAnsiTheme="minorHAnsi" w:cstheme="minorHAnsi"/>
          <w:sz w:val="24"/>
          <w:szCs w:val="24"/>
        </w:rPr>
        <w:t xml:space="preserve"> Future Generations (Wales) Act 2015, Public Health (Wales) Act 2017, A More Equal Wales: </w:t>
      </w:r>
      <w:proofErr w:type="gramStart"/>
      <w:r w:rsidR="00413618" w:rsidRPr="00B27E08">
        <w:rPr>
          <w:rFonts w:asciiTheme="minorHAnsi" w:hAnsiTheme="minorHAnsi" w:cstheme="minorHAnsi"/>
          <w:sz w:val="24"/>
          <w:szCs w:val="24"/>
        </w:rPr>
        <w:t>the</w:t>
      </w:r>
      <w:proofErr w:type="gramEnd"/>
      <w:r w:rsidR="00413618" w:rsidRPr="00B27E08">
        <w:rPr>
          <w:rFonts w:asciiTheme="minorHAnsi" w:hAnsiTheme="minorHAnsi" w:cstheme="minorHAnsi"/>
          <w:sz w:val="24"/>
          <w:szCs w:val="24"/>
        </w:rPr>
        <w:t xml:space="preserve"> Socioeconomic Duty, Minimum Pricing Alcohol </w:t>
      </w:r>
      <w:r w:rsidR="00A464E0" w:rsidRPr="00B27E08">
        <w:rPr>
          <w:rFonts w:asciiTheme="minorHAnsi" w:hAnsiTheme="minorHAnsi" w:cstheme="minorHAnsi"/>
          <w:sz w:val="24"/>
          <w:szCs w:val="24"/>
        </w:rPr>
        <w:t xml:space="preserve">and </w:t>
      </w:r>
      <w:r w:rsidR="006F4F7D" w:rsidRPr="00B27E08">
        <w:rPr>
          <w:rFonts w:asciiTheme="minorHAnsi" w:hAnsiTheme="minorHAnsi" w:cstheme="minorHAnsi"/>
          <w:sz w:val="24"/>
          <w:szCs w:val="24"/>
        </w:rPr>
        <w:t xml:space="preserve">population health </w:t>
      </w:r>
      <w:r w:rsidR="00EA11ED" w:rsidRPr="00B27E08">
        <w:rPr>
          <w:rFonts w:asciiTheme="minorHAnsi" w:hAnsiTheme="minorHAnsi" w:cstheme="minorHAnsi"/>
          <w:sz w:val="24"/>
          <w:szCs w:val="24"/>
        </w:rPr>
        <w:t>programmes</w:t>
      </w:r>
      <w:r w:rsidR="00413618" w:rsidRPr="00B27E08">
        <w:rPr>
          <w:rFonts w:asciiTheme="minorHAnsi" w:hAnsiTheme="minorHAnsi" w:cstheme="minorHAnsi"/>
          <w:sz w:val="24"/>
          <w:szCs w:val="24"/>
        </w:rPr>
        <w:t xml:space="preserve"> like Healthy Weight Healthy Wales</w:t>
      </w:r>
      <w:r w:rsidR="006F4F7D" w:rsidRPr="00B27E08">
        <w:rPr>
          <w:rFonts w:asciiTheme="minorHAnsi" w:hAnsiTheme="minorHAnsi" w:cstheme="minorHAnsi"/>
          <w:sz w:val="24"/>
          <w:szCs w:val="24"/>
        </w:rPr>
        <w:t xml:space="preserve"> and Tobacco Control </w:t>
      </w:r>
      <w:r w:rsidR="00D3085A" w:rsidRPr="00B27E08">
        <w:rPr>
          <w:rFonts w:asciiTheme="minorHAnsi" w:hAnsiTheme="minorHAnsi" w:cstheme="minorHAnsi"/>
          <w:sz w:val="24"/>
          <w:szCs w:val="24"/>
        </w:rPr>
        <w:t>Delivery Plans have significant impacts on reducing the</w:t>
      </w:r>
      <w:r w:rsidR="00427AB6" w:rsidRPr="00B27E08">
        <w:rPr>
          <w:rFonts w:asciiTheme="minorHAnsi" w:hAnsiTheme="minorHAnsi" w:cstheme="minorHAnsi"/>
          <w:sz w:val="24"/>
          <w:szCs w:val="24"/>
        </w:rPr>
        <w:t xml:space="preserve"> </w:t>
      </w:r>
      <w:r w:rsidR="00A464E0" w:rsidRPr="00B27E08">
        <w:rPr>
          <w:rFonts w:asciiTheme="minorHAnsi" w:hAnsiTheme="minorHAnsi" w:cstheme="minorHAnsi"/>
          <w:sz w:val="24"/>
          <w:szCs w:val="24"/>
        </w:rPr>
        <w:t>risk factors</w:t>
      </w:r>
      <w:r w:rsidR="00D3085A" w:rsidRPr="00B27E08">
        <w:rPr>
          <w:rFonts w:asciiTheme="minorHAnsi" w:hAnsiTheme="minorHAnsi" w:cstheme="minorHAnsi"/>
          <w:sz w:val="24"/>
          <w:szCs w:val="24"/>
        </w:rPr>
        <w:t xml:space="preserve"> for non-communicable diseases, they should also </w:t>
      </w:r>
      <w:r w:rsidR="00317D38" w:rsidRPr="00B27E08">
        <w:rPr>
          <w:rFonts w:asciiTheme="minorHAnsi" w:hAnsiTheme="minorHAnsi" w:cstheme="minorHAnsi"/>
          <w:sz w:val="24"/>
          <w:szCs w:val="24"/>
        </w:rPr>
        <w:t>contribute to</w:t>
      </w:r>
      <w:r w:rsidR="000C5083" w:rsidRPr="00B27E08">
        <w:rPr>
          <w:rFonts w:asciiTheme="minorHAnsi" w:hAnsiTheme="minorHAnsi" w:cstheme="minorHAnsi"/>
          <w:sz w:val="24"/>
          <w:szCs w:val="24"/>
        </w:rPr>
        <w:t>wards</w:t>
      </w:r>
      <w:r w:rsidR="00317D38" w:rsidRPr="00B27E08">
        <w:rPr>
          <w:rFonts w:asciiTheme="minorHAnsi" w:hAnsiTheme="minorHAnsi" w:cstheme="minorHAnsi"/>
          <w:sz w:val="24"/>
          <w:szCs w:val="24"/>
        </w:rPr>
        <w:t xml:space="preserve"> improve</w:t>
      </w:r>
      <w:r w:rsidR="00427AB6" w:rsidRPr="00B27E08">
        <w:rPr>
          <w:rFonts w:asciiTheme="minorHAnsi" w:hAnsiTheme="minorHAnsi" w:cstheme="minorHAnsi"/>
          <w:sz w:val="24"/>
          <w:szCs w:val="24"/>
        </w:rPr>
        <w:t>ment</w:t>
      </w:r>
      <w:r w:rsidR="00317D38" w:rsidRPr="00B27E08">
        <w:rPr>
          <w:rFonts w:asciiTheme="minorHAnsi" w:hAnsiTheme="minorHAnsi" w:cstheme="minorHAnsi"/>
          <w:sz w:val="24"/>
          <w:szCs w:val="24"/>
        </w:rPr>
        <w:t xml:space="preserve"> </w:t>
      </w:r>
      <w:r w:rsidR="000C5083" w:rsidRPr="00B27E08">
        <w:rPr>
          <w:rFonts w:asciiTheme="minorHAnsi" w:hAnsiTheme="minorHAnsi" w:cstheme="minorHAnsi"/>
          <w:sz w:val="24"/>
          <w:szCs w:val="24"/>
        </w:rPr>
        <w:t xml:space="preserve">of </w:t>
      </w:r>
      <w:r w:rsidR="00317D38" w:rsidRPr="00B27E08">
        <w:rPr>
          <w:rFonts w:asciiTheme="minorHAnsi" w:hAnsiTheme="minorHAnsi" w:cstheme="minorHAnsi"/>
          <w:sz w:val="24"/>
          <w:szCs w:val="24"/>
        </w:rPr>
        <w:t>oral heal</w:t>
      </w:r>
      <w:r w:rsidR="00D3085A" w:rsidRPr="00B27E08">
        <w:rPr>
          <w:rFonts w:asciiTheme="minorHAnsi" w:hAnsiTheme="minorHAnsi" w:cstheme="minorHAnsi"/>
          <w:sz w:val="24"/>
          <w:szCs w:val="24"/>
        </w:rPr>
        <w:t>th of the population.</w:t>
      </w:r>
    </w:p>
    <w:p w14:paraId="32E58DD3" w14:textId="77777777" w:rsidR="00D3085A" w:rsidRDefault="00D3085A" w:rsidP="00B27E08">
      <w:pPr>
        <w:spacing w:line="276" w:lineRule="auto"/>
        <w:ind w:left="567"/>
        <w:jc w:val="both"/>
        <w:rPr>
          <w:rFonts w:asciiTheme="minorHAnsi" w:hAnsiTheme="minorHAnsi" w:cstheme="minorHAnsi"/>
          <w:sz w:val="24"/>
          <w:szCs w:val="24"/>
        </w:rPr>
      </w:pPr>
    </w:p>
    <w:p w14:paraId="240A8FEF" w14:textId="0FF43B7A" w:rsidR="00FC4A74" w:rsidRPr="00B27E08" w:rsidRDefault="000C5083" w:rsidP="00B27E08">
      <w:pPr>
        <w:pStyle w:val="ListParagraph"/>
        <w:numPr>
          <w:ilvl w:val="0"/>
          <w:numId w:val="10"/>
        </w:numPr>
        <w:spacing w:line="276" w:lineRule="auto"/>
        <w:jc w:val="both"/>
        <w:rPr>
          <w:rFonts w:asciiTheme="minorHAnsi" w:hAnsiTheme="minorHAnsi" w:cstheme="minorHAnsi"/>
          <w:sz w:val="24"/>
          <w:szCs w:val="24"/>
        </w:rPr>
      </w:pPr>
      <w:r w:rsidRPr="00B27E08">
        <w:rPr>
          <w:rFonts w:asciiTheme="minorHAnsi" w:hAnsiTheme="minorHAnsi" w:cstheme="minorHAnsi"/>
          <w:sz w:val="24"/>
          <w:szCs w:val="24"/>
        </w:rPr>
        <w:t>T</w:t>
      </w:r>
      <w:r w:rsidR="00F719A9" w:rsidRPr="00B27E08">
        <w:rPr>
          <w:rFonts w:asciiTheme="minorHAnsi" w:hAnsiTheme="minorHAnsi" w:cstheme="minorHAnsi"/>
          <w:sz w:val="24"/>
          <w:szCs w:val="24"/>
        </w:rPr>
        <w:t>ackling overcon</w:t>
      </w:r>
      <w:r w:rsidR="006E336A">
        <w:rPr>
          <w:rFonts w:asciiTheme="minorHAnsi" w:hAnsiTheme="minorHAnsi" w:cstheme="minorHAnsi"/>
          <w:sz w:val="24"/>
          <w:szCs w:val="24"/>
        </w:rPr>
        <w:t xml:space="preserve">sumption of free sugar </w:t>
      </w:r>
      <w:proofErr w:type="gramStart"/>
      <w:r w:rsidR="006E336A">
        <w:rPr>
          <w:rFonts w:asciiTheme="minorHAnsi" w:hAnsiTheme="minorHAnsi" w:cstheme="minorHAnsi"/>
          <w:sz w:val="24"/>
          <w:szCs w:val="24"/>
        </w:rPr>
        <w:t>has to</w:t>
      </w:r>
      <w:proofErr w:type="gramEnd"/>
      <w:r w:rsidR="00F719A9" w:rsidRPr="00B27E08">
        <w:rPr>
          <w:rFonts w:asciiTheme="minorHAnsi" w:hAnsiTheme="minorHAnsi" w:cstheme="minorHAnsi"/>
          <w:sz w:val="24"/>
          <w:szCs w:val="24"/>
        </w:rPr>
        <w:t xml:space="preserve"> now </w:t>
      </w:r>
      <w:r w:rsidR="006E336A">
        <w:rPr>
          <w:rFonts w:asciiTheme="minorHAnsi" w:hAnsiTheme="minorHAnsi" w:cstheme="minorHAnsi"/>
          <w:sz w:val="24"/>
          <w:szCs w:val="24"/>
        </w:rPr>
        <w:t xml:space="preserve">be </w:t>
      </w:r>
      <w:r w:rsidR="00F719A9" w:rsidRPr="00B27E08">
        <w:rPr>
          <w:rFonts w:asciiTheme="minorHAnsi" w:hAnsiTheme="minorHAnsi" w:cstheme="minorHAnsi"/>
          <w:sz w:val="24"/>
          <w:szCs w:val="24"/>
        </w:rPr>
        <w:t>a main</w:t>
      </w:r>
      <w:r w:rsidR="006E336A">
        <w:rPr>
          <w:rFonts w:asciiTheme="minorHAnsi" w:hAnsiTheme="minorHAnsi" w:cstheme="minorHAnsi"/>
          <w:sz w:val="24"/>
          <w:szCs w:val="24"/>
        </w:rPr>
        <w:t>stream public health priority. The b</w:t>
      </w:r>
      <w:r w:rsidR="00BA6AA3" w:rsidRPr="00B27E08">
        <w:rPr>
          <w:rFonts w:asciiTheme="minorHAnsi" w:hAnsiTheme="minorHAnsi" w:cstheme="minorHAnsi"/>
          <w:sz w:val="24"/>
          <w:szCs w:val="24"/>
        </w:rPr>
        <w:t>urden of tooth decay in the population should reduce if legislative and public health pr</w:t>
      </w:r>
      <w:r w:rsidR="006E336A">
        <w:rPr>
          <w:rFonts w:asciiTheme="minorHAnsi" w:hAnsiTheme="minorHAnsi" w:cstheme="minorHAnsi"/>
          <w:sz w:val="24"/>
          <w:szCs w:val="24"/>
        </w:rPr>
        <w:t>ogrammes like Healthy Weight</w:t>
      </w:r>
      <w:r w:rsidR="00BA6AA3" w:rsidRPr="00B27E08">
        <w:rPr>
          <w:rFonts w:asciiTheme="minorHAnsi" w:hAnsiTheme="minorHAnsi" w:cstheme="minorHAnsi"/>
          <w:sz w:val="24"/>
          <w:szCs w:val="24"/>
        </w:rPr>
        <w:t xml:space="preserve"> Healthy Wales b</w:t>
      </w:r>
      <w:r w:rsidR="00DE18CE">
        <w:rPr>
          <w:rFonts w:asciiTheme="minorHAnsi" w:hAnsiTheme="minorHAnsi" w:cstheme="minorHAnsi"/>
          <w:sz w:val="24"/>
          <w:szCs w:val="24"/>
        </w:rPr>
        <w:t>ecome successful in reducing</w:t>
      </w:r>
      <w:r w:rsidR="00BA6AA3" w:rsidRPr="00B27E08">
        <w:rPr>
          <w:rFonts w:asciiTheme="minorHAnsi" w:hAnsiTheme="minorHAnsi" w:cstheme="minorHAnsi"/>
          <w:sz w:val="24"/>
          <w:szCs w:val="24"/>
        </w:rPr>
        <w:t xml:space="preserve"> </w:t>
      </w:r>
      <w:r w:rsidR="00317D38" w:rsidRPr="00B27E08">
        <w:rPr>
          <w:rFonts w:asciiTheme="minorHAnsi" w:hAnsiTheme="minorHAnsi" w:cstheme="minorHAnsi"/>
          <w:sz w:val="24"/>
          <w:szCs w:val="24"/>
        </w:rPr>
        <w:t xml:space="preserve">free sugar consumption in Wales </w:t>
      </w:r>
      <w:r w:rsidR="00BA6AA3" w:rsidRPr="00B27E08">
        <w:rPr>
          <w:rFonts w:asciiTheme="minorHAnsi" w:hAnsiTheme="minorHAnsi" w:cstheme="minorHAnsi"/>
          <w:sz w:val="24"/>
          <w:szCs w:val="24"/>
        </w:rPr>
        <w:t>to the</w:t>
      </w:r>
      <w:r w:rsidR="00317D38" w:rsidRPr="00B27E08">
        <w:rPr>
          <w:rFonts w:asciiTheme="minorHAnsi" w:hAnsiTheme="minorHAnsi" w:cstheme="minorHAnsi"/>
          <w:sz w:val="24"/>
          <w:szCs w:val="24"/>
        </w:rPr>
        <w:t xml:space="preserve"> level recommended by the </w:t>
      </w:r>
      <w:r w:rsidR="004B6AEE" w:rsidRPr="00B27E08">
        <w:rPr>
          <w:rFonts w:asciiTheme="minorHAnsi" w:hAnsiTheme="minorHAnsi" w:cstheme="minorHAnsi"/>
          <w:sz w:val="24"/>
          <w:szCs w:val="24"/>
        </w:rPr>
        <w:t>UK</w:t>
      </w:r>
      <w:r w:rsidR="00F719A9" w:rsidRPr="00B27E08">
        <w:rPr>
          <w:rFonts w:asciiTheme="minorHAnsi" w:hAnsiTheme="minorHAnsi" w:cstheme="minorHAnsi"/>
          <w:sz w:val="24"/>
          <w:szCs w:val="24"/>
        </w:rPr>
        <w:t xml:space="preserve"> Scientific Advisory Committee in Nutrition (SACN) </w:t>
      </w:r>
      <w:proofErr w:type="gramStart"/>
      <w:r w:rsidR="00F719A9" w:rsidRPr="00B27E08">
        <w:rPr>
          <w:rFonts w:asciiTheme="minorHAnsi" w:hAnsiTheme="minorHAnsi" w:cstheme="minorHAnsi"/>
          <w:sz w:val="24"/>
          <w:szCs w:val="24"/>
        </w:rPr>
        <w:t>i.e.</w:t>
      </w:r>
      <w:proofErr w:type="gramEnd"/>
      <w:r w:rsidR="00F719A9" w:rsidRPr="00B27E08">
        <w:rPr>
          <w:rFonts w:asciiTheme="minorHAnsi" w:hAnsiTheme="minorHAnsi" w:cstheme="minorHAnsi"/>
          <w:sz w:val="24"/>
          <w:szCs w:val="24"/>
        </w:rPr>
        <w:t xml:space="preserve"> 5% of total energy intake</w:t>
      </w:r>
      <w:r w:rsidR="00317D38" w:rsidRPr="00B27E08">
        <w:rPr>
          <w:rFonts w:asciiTheme="minorHAnsi" w:hAnsiTheme="minorHAnsi" w:cstheme="minorHAnsi"/>
          <w:sz w:val="24"/>
          <w:szCs w:val="24"/>
        </w:rPr>
        <w:t>.</w:t>
      </w:r>
      <w:r w:rsidR="005A0BF6" w:rsidRPr="00B27E08">
        <w:rPr>
          <w:rFonts w:asciiTheme="minorHAnsi" w:hAnsiTheme="minorHAnsi" w:cstheme="minorHAnsi"/>
          <w:sz w:val="24"/>
          <w:szCs w:val="24"/>
        </w:rPr>
        <w:t xml:space="preserve"> </w:t>
      </w:r>
      <w:r w:rsidR="00F51FC6" w:rsidRPr="00B27E08">
        <w:rPr>
          <w:rFonts w:asciiTheme="minorHAnsi" w:hAnsiTheme="minorHAnsi" w:cstheme="minorHAnsi"/>
          <w:sz w:val="24"/>
          <w:szCs w:val="24"/>
        </w:rPr>
        <w:t xml:space="preserve">Wales </w:t>
      </w:r>
      <w:r w:rsidR="00D3085A" w:rsidRPr="00B27E08">
        <w:rPr>
          <w:rFonts w:asciiTheme="minorHAnsi" w:hAnsiTheme="minorHAnsi" w:cstheme="minorHAnsi"/>
          <w:sz w:val="24"/>
          <w:szCs w:val="24"/>
        </w:rPr>
        <w:t xml:space="preserve">should </w:t>
      </w:r>
      <w:r w:rsidR="00F51FC6" w:rsidRPr="00B27E08">
        <w:rPr>
          <w:rFonts w:asciiTheme="minorHAnsi" w:hAnsiTheme="minorHAnsi" w:cstheme="minorHAnsi"/>
          <w:sz w:val="24"/>
          <w:szCs w:val="24"/>
        </w:rPr>
        <w:t xml:space="preserve">lead the way in setting an ambitious </w:t>
      </w:r>
      <w:r w:rsidR="00D3085A" w:rsidRPr="00B27E08">
        <w:rPr>
          <w:rFonts w:asciiTheme="minorHAnsi" w:hAnsiTheme="minorHAnsi" w:cstheme="minorHAnsi"/>
          <w:sz w:val="24"/>
          <w:szCs w:val="24"/>
        </w:rPr>
        <w:t>target of</w:t>
      </w:r>
      <w:r w:rsidR="00F51FC6" w:rsidRPr="00B27E08">
        <w:rPr>
          <w:rFonts w:asciiTheme="minorHAnsi" w:hAnsiTheme="minorHAnsi" w:cstheme="minorHAnsi"/>
          <w:sz w:val="24"/>
          <w:szCs w:val="24"/>
        </w:rPr>
        <w:t xml:space="preserve"> re</w:t>
      </w:r>
      <w:r w:rsidR="00D3085A" w:rsidRPr="00B27E08">
        <w:rPr>
          <w:rFonts w:asciiTheme="minorHAnsi" w:hAnsiTheme="minorHAnsi" w:cstheme="minorHAnsi"/>
          <w:sz w:val="24"/>
          <w:szCs w:val="24"/>
        </w:rPr>
        <w:t>ducing</w:t>
      </w:r>
      <w:r w:rsidR="00C81D87" w:rsidRPr="00B27E08">
        <w:rPr>
          <w:rFonts w:asciiTheme="minorHAnsi" w:hAnsiTheme="minorHAnsi" w:cstheme="minorHAnsi"/>
          <w:sz w:val="24"/>
          <w:szCs w:val="24"/>
        </w:rPr>
        <w:t xml:space="preserve"> free sugar consum</w:t>
      </w:r>
      <w:r w:rsidR="00D3085A" w:rsidRPr="00B27E08">
        <w:rPr>
          <w:rFonts w:asciiTheme="minorHAnsi" w:hAnsiTheme="minorHAnsi" w:cstheme="minorHAnsi"/>
          <w:sz w:val="24"/>
          <w:szCs w:val="24"/>
        </w:rPr>
        <w:t>ption below 5% of ener</w:t>
      </w:r>
      <w:r w:rsidR="006E336A">
        <w:rPr>
          <w:rFonts w:asciiTheme="minorHAnsi" w:hAnsiTheme="minorHAnsi" w:cstheme="minorHAnsi"/>
          <w:sz w:val="24"/>
          <w:szCs w:val="24"/>
        </w:rPr>
        <w:t xml:space="preserve">gy intake as recommended by </w:t>
      </w:r>
      <w:r w:rsidR="00D3085A" w:rsidRPr="00B27E08">
        <w:rPr>
          <w:rFonts w:asciiTheme="minorHAnsi" w:hAnsiTheme="minorHAnsi" w:cstheme="minorHAnsi"/>
          <w:sz w:val="24"/>
          <w:szCs w:val="24"/>
        </w:rPr>
        <w:t>SACN.</w:t>
      </w:r>
    </w:p>
    <w:p w14:paraId="43EB4E0A" w14:textId="77777777" w:rsidR="00D3085A" w:rsidRDefault="00D3085A" w:rsidP="00B27E08">
      <w:pPr>
        <w:spacing w:line="276" w:lineRule="auto"/>
        <w:ind w:left="567"/>
        <w:jc w:val="both"/>
        <w:rPr>
          <w:rFonts w:asciiTheme="minorHAnsi" w:hAnsiTheme="minorHAnsi" w:cstheme="minorHAnsi"/>
          <w:sz w:val="24"/>
          <w:szCs w:val="24"/>
        </w:rPr>
      </w:pPr>
    </w:p>
    <w:p w14:paraId="574A06B6" w14:textId="0C3E7068" w:rsidR="002C1B68" w:rsidRPr="00B27E08" w:rsidRDefault="002C1B68" w:rsidP="00B27E08">
      <w:pPr>
        <w:pStyle w:val="ListParagraph"/>
        <w:numPr>
          <w:ilvl w:val="0"/>
          <w:numId w:val="10"/>
        </w:numPr>
        <w:spacing w:line="276" w:lineRule="auto"/>
        <w:jc w:val="both"/>
        <w:rPr>
          <w:rFonts w:asciiTheme="minorHAnsi" w:hAnsiTheme="minorHAnsi" w:cstheme="minorHAnsi"/>
          <w:sz w:val="24"/>
          <w:szCs w:val="24"/>
        </w:rPr>
      </w:pPr>
      <w:r w:rsidRPr="00B27E08">
        <w:rPr>
          <w:rFonts w:asciiTheme="minorHAnsi" w:hAnsiTheme="minorHAnsi" w:cstheme="minorHAnsi"/>
          <w:sz w:val="24"/>
          <w:szCs w:val="24"/>
        </w:rPr>
        <w:t>Proactive prevention for better oral health should not be seen as the exclusive responsibility of dental services and oral health programmes.</w:t>
      </w:r>
      <w:r w:rsidR="009D3F09" w:rsidRPr="00B27E08">
        <w:rPr>
          <w:rFonts w:asciiTheme="minorHAnsi" w:hAnsiTheme="minorHAnsi" w:cstheme="minorHAnsi"/>
          <w:sz w:val="24"/>
          <w:szCs w:val="24"/>
        </w:rPr>
        <w:t xml:space="preserve"> </w:t>
      </w:r>
      <w:r w:rsidRPr="00B27E08">
        <w:rPr>
          <w:rFonts w:asciiTheme="minorHAnsi" w:hAnsiTheme="minorHAnsi" w:cstheme="minorHAnsi"/>
          <w:sz w:val="24"/>
          <w:szCs w:val="24"/>
        </w:rPr>
        <w:t xml:space="preserve"> </w:t>
      </w:r>
      <w:r w:rsidR="009D3F09" w:rsidRPr="00B27E08">
        <w:rPr>
          <w:rFonts w:asciiTheme="minorHAnsi" w:hAnsiTheme="minorHAnsi" w:cstheme="minorHAnsi"/>
          <w:sz w:val="24"/>
          <w:szCs w:val="24"/>
        </w:rPr>
        <w:t>Prevention of oral diseases needs to be a</w:t>
      </w:r>
      <w:r w:rsidR="00DE18CE">
        <w:rPr>
          <w:rFonts w:asciiTheme="minorHAnsi" w:hAnsiTheme="minorHAnsi" w:cstheme="minorHAnsi"/>
          <w:sz w:val="24"/>
          <w:szCs w:val="24"/>
        </w:rPr>
        <w:t>n integral</w:t>
      </w:r>
      <w:r w:rsidR="009D3F09" w:rsidRPr="00B27E08">
        <w:rPr>
          <w:rFonts w:asciiTheme="minorHAnsi" w:hAnsiTheme="minorHAnsi" w:cstheme="minorHAnsi"/>
          <w:sz w:val="24"/>
          <w:szCs w:val="24"/>
        </w:rPr>
        <w:t xml:space="preserve"> part of </w:t>
      </w:r>
      <w:r w:rsidR="006E336A">
        <w:rPr>
          <w:rFonts w:asciiTheme="minorHAnsi" w:hAnsiTheme="minorHAnsi" w:cstheme="minorHAnsi"/>
          <w:sz w:val="24"/>
          <w:szCs w:val="24"/>
        </w:rPr>
        <w:t xml:space="preserve">the </w:t>
      </w:r>
      <w:r w:rsidR="00DE18CE">
        <w:rPr>
          <w:rFonts w:asciiTheme="minorHAnsi" w:hAnsiTheme="minorHAnsi" w:cstheme="minorHAnsi"/>
          <w:sz w:val="24"/>
          <w:szCs w:val="24"/>
        </w:rPr>
        <w:t xml:space="preserve">objectives of </w:t>
      </w:r>
      <w:r w:rsidR="009D3F09" w:rsidRPr="00B27E08">
        <w:rPr>
          <w:rFonts w:asciiTheme="minorHAnsi" w:hAnsiTheme="minorHAnsi" w:cstheme="minorHAnsi"/>
          <w:sz w:val="24"/>
          <w:szCs w:val="24"/>
        </w:rPr>
        <w:t xml:space="preserve">relevant population level prevention strategies and programmes both at national and local level. </w:t>
      </w:r>
      <w:proofErr w:type="gramStart"/>
      <w:r w:rsidR="009D3F09" w:rsidRPr="00B27E08">
        <w:rPr>
          <w:rFonts w:asciiTheme="minorHAnsi" w:hAnsiTheme="minorHAnsi" w:cstheme="minorHAnsi"/>
          <w:sz w:val="24"/>
          <w:szCs w:val="24"/>
        </w:rPr>
        <w:t>Additionally</w:t>
      </w:r>
      <w:proofErr w:type="gramEnd"/>
      <w:r w:rsidR="009D3F09" w:rsidRPr="00B27E08">
        <w:rPr>
          <w:rFonts w:asciiTheme="minorHAnsi" w:hAnsiTheme="minorHAnsi" w:cstheme="minorHAnsi"/>
          <w:sz w:val="24"/>
          <w:szCs w:val="24"/>
        </w:rPr>
        <w:t xml:space="preserve"> </w:t>
      </w:r>
      <w:r w:rsidR="006E336A">
        <w:rPr>
          <w:rFonts w:asciiTheme="minorHAnsi" w:hAnsiTheme="minorHAnsi" w:cstheme="minorHAnsi"/>
          <w:sz w:val="24"/>
          <w:szCs w:val="24"/>
        </w:rPr>
        <w:t xml:space="preserve">the </w:t>
      </w:r>
      <w:r w:rsidR="009D3F09" w:rsidRPr="00B27E08">
        <w:rPr>
          <w:rFonts w:asciiTheme="minorHAnsi" w:hAnsiTheme="minorHAnsi" w:cstheme="minorHAnsi"/>
          <w:sz w:val="24"/>
          <w:szCs w:val="24"/>
        </w:rPr>
        <w:t>barriers and enablers for dental services to be part of co-ordi</w:t>
      </w:r>
      <w:r w:rsidR="00BA67BD" w:rsidRPr="00B27E08">
        <w:rPr>
          <w:rFonts w:asciiTheme="minorHAnsi" w:hAnsiTheme="minorHAnsi" w:cstheme="minorHAnsi"/>
          <w:sz w:val="24"/>
          <w:szCs w:val="24"/>
        </w:rPr>
        <w:t xml:space="preserve">nated, preventive and proactive </w:t>
      </w:r>
      <w:r w:rsidR="009D3F09" w:rsidRPr="00B27E08">
        <w:rPr>
          <w:rFonts w:asciiTheme="minorHAnsi" w:hAnsiTheme="minorHAnsi" w:cstheme="minorHAnsi"/>
          <w:sz w:val="24"/>
          <w:szCs w:val="24"/>
        </w:rPr>
        <w:t>primary and social care service</w:t>
      </w:r>
      <w:r w:rsidR="00BA67BD" w:rsidRPr="00B27E08">
        <w:rPr>
          <w:rFonts w:asciiTheme="minorHAnsi" w:hAnsiTheme="minorHAnsi" w:cstheme="minorHAnsi"/>
          <w:sz w:val="24"/>
          <w:szCs w:val="24"/>
        </w:rPr>
        <w:t>s</w:t>
      </w:r>
      <w:r w:rsidR="009D3F09" w:rsidRPr="00B27E08">
        <w:rPr>
          <w:rFonts w:asciiTheme="minorHAnsi" w:hAnsiTheme="minorHAnsi" w:cstheme="minorHAnsi"/>
          <w:sz w:val="24"/>
          <w:szCs w:val="24"/>
        </w:rPr>
        <w:t xml:space="preserve"> need to be explored and </w:t>
      </w:r>
      <w:r w:rsidR="00BA67BD" w:rsidRPr="00B27E08">
        <w:rPr>
          <w:rFonts w:asciiTheme="minorHAnsi" w:hAnsiTheme="minorHAnsi" w:cstheme="minorHAnsi"/>
          <w:sz w:val="24"/>
          <w:szCs w:val="24"/>
        </w:rPr>
        <w:t xml:space="preserve">an action plan formulated </w:t>
      </w:r>
      <w:r w:rsidR="006E336A">
        <w:rPr>
          <w:rFonts w:asciiTheme="minorHAnsi" w:hAnsiTheme="minorHAnsi" w:cstheme="minorHAnsi"/>
          <w:sz w:val="24"/>
          <w:szCs w:val="24"/>
        </w:rPr>
        <w:t>to remove barriers</w:t>
      </w:r>
      <w:r w:rsidR="009D3F09" w:rsidRPr="00B27E08">
        <w:rPr>
          <w:rFonts w:asciiTheme="minorHAnsi" w:hAnsiTheme="minorHAnsi" w:cstheme="minorHAnsi"/>
          <w:sz w:val="24"/>
          <w:szCs w:val="24"/>
        </w:rPr>
        <w:t xml:space="preserve">. </w:t>
      </w:r>
      <w:r w:rsidRPr="00B27E08">
        <w:rPr>
          <w:rFonts w:asciiTheme="minorHAnsi" w:hAnsiTheme="minorHAnsi" w:cstheme="minorHAnsi"/>
          <w:sz w:val="24"/>
          <w:szCs w:val="24"/>
        </w:rPr>
        <w:t xml:space="preserve"> </w:t>
      </w:r>
    </w:p>
    <w:p w14:paraId="24B5D601" w14:textId="77777777" w:rsidR="004A13A6" w:rsidRDefault="004A13A6" w:rsidP="00B27E08">
      <w:pPr>
        <w:spacing w:line="276" w:lineRule="auto"/>
        <w:ind w:left="567"/>
        <w:jc w:val="both"/>
        <w:rPr>
          <w:rFonts w:asciiTheme="minorHAnsi" w:hAnsiTheme="minorHAnsi" w:cstheme="minorHAnsi"/>
          <w:sz w:val="24"/>
          <w:szCs w:val="24"/>
        </w:rPr>
      </w:pPr>
    </w:p>
    <w:p w14:paraId="6F26ED06" w14:textId="6F75FDA3" w:rsidR="00062830" w:rsidRPr="00B27E08" w:rsidRDefault="006F2025" w:rsidP="00B27E08">
      <w:pPr>
        <w:pStyle w:val="ListParagraph"/>
        <w:numPr>
          <w:ilvl w:val="0"/>
          <w:numId w:val="10"/>
        </w:numPr>
        <w:spacing w:line="276" w:lineRule="auto"/>
        <w:jc w:val="both"/>
        <w:rPr>
          <w:rFonts w:asciiTheme="minorHAnsi" w:hAnsiTheme="minorHAnsi" w:cstheme="minorHAnsi"/>
          <w:sz w:val="24"/>
          <w:szCs w:val="24"/>
        </w:rPr>
      </w:pPr>
      <w:r w:rsidRPr="00B27E08">
        <w:rPr>
          <w:rFonts w:asciiTheme="minorHAnsi" w:hAnsiTheme="minorHAnsi" w:cstheme="minorHAnsi"/>
          <w:sz w:val="24"/>
          <w:szCs w:val="24"/>
        </w:rPr>
        <w:t>Population oral health improvement programmes like Designed to Smile are important to stop widening of oral health inequalities. Designed to Smile was severely affected by the COVID19 pandemic.</w:t>
      </w:r>
      <w:r w:rsidR="00C8614C" w:rsidRPr="00B27E08">
        <w:rPr>
          <w:rFonts w:asciiTheme="minorHAnsi" w:hAnsiTheme="minorHAnsi" w:cstheme="minorHAnsi"/>
          <w:sz w:val="24"/>
          <w:szCs w:val="24"/>
        </w:rPr>
        <w:t xml:space="preserve"> </w:t>
      </w:r>
      <w:r w:rsidR="00A64AF3" w:rsidRPr="00B27E08">
        <w:rPr>
          <w:rFonts w:asciiTheme="minorHAnsi" w:hAnsiTheme="minorHAnsi" w:cstheme="minorHAnsi"/>
          <w:sz w:val="24"/>
          <w:szCs w:val="24"/>
        </w:rPr>
        <w:t xml:space="preserve">Whilst there are challenges in recovery, </w:t>
      </w:r>
      <w:r w:rsidR="006E336A">
        <w:rPr>
          <w:rFonts w:asciiTheme="minorHAnsi" w:hAnsiTheme="minorHAnsi" w:cstheme="minorHAnsi"/>
          <w:sz w:val="24"/>
          <w:szCs w:val="24"/>
        </w:rPr>
        <w:t xml:space="preserve">the </w:t>
      </w:r>
      <w:r w:rsidR="00A64AF3" w:rsidRPr="00B27E08">
        <w:rPr>
          <w:rFonts w:asciiTheme="minorHAnsi" w:hAnsiTheme="minorHAnsi" w:cstheme="minorHAnsi"/>
          <w:sz w:val="24"/>
          <w:szCs w:val="24"/>
        </w:rPr>
        <w:t>focus of all partner organisations and teams involved in this important programme should be on recovering this programme as soon as possible so that children in deprived areas of Wales do not lose out.</w:t>
      </w:r>
    </w:p>
    <w:p w14:paraId="2CB12C4D" w14:textId="77777777" w:rsidR="00C8614C" w:rsidRDefault="00C8614C" w:rsidP="00B27E08">
      <w:pPr>
        <w:spacing w:line="276" w:lineRule="auto"/>
        <w:ind w:left="567"/>
        <w:jc w:val="both"/>
        <w:rPr>
          <w:rFonts w:asciiTheme="minorHAnsi" w:hAnsiTheme="minorHAnsi" w:cstheme="minorHAnsi"/>
          <w:sz w:val="24"/>
          <w:szCs w:val="24"/>
        </w:rPr>
      </w:pPr>
    </w:p>
    <w:p w14:paraId="05F118B1" w14:textId="6E9001E5" w:rsidR="00C8614C" w:rsidRPr="00B27E08" w:rsidRDefault="00BA67BD" w:rsidP="00B27E08">
      <w:pPr>
        <w:pStyle w:val="ListParagraph"/>
        <w:numPr>
          <w:ilvl w:val="0"/>
          <w:numId w:val="10"/>
        </w:numPr>
        <w:spacing w:line="276" w:lineRule="auto"/>
        <w:jc w:val="both"/>
        <w:rPr>
          <w:rFonts w:asciiTheme="minorHAnsi" w:hAnsiTheme="minorHAnsi" w:cstheme="minorHAnsi"/>
          <w:sz w:val="24"/>
          <w:szCs w:val="24"/>
        </w:rPr>
      </w:pPr>
      <w:r w:rsidRPr="00B27E08">
        <w:rPr>
          <w:rFonts w:asciiTheme="minorHAnsi" w:hAnsiTheme="minorHAnsi" w:cstheme="minorHAnsi"/>
          <w:sz w:val="24"/>
          <w:szCs w:val="24"/>
        </w:rPr>
        <w:t xml:space="preserve">The </w:t>
      </w:r>
      <w:r w:rsidR="00BC6656" w:rsidRPr="00B27E08">
        <w:rPr>
          <w:rFonts w:asciiTheme="minorHAnsi" w:hAnsiTheme="minorHAnsi" w:cstheme="minorHAnsi"/>
          <w:sz w:val="24"/>
          <w:szCs w:val="24"/>
        </w:rPr>
        <w:t>COVID19 pandemic has had</w:t>
      </w:r>
      <w:r w:rsidR="006E336A">
        <w:rPr>
          <w:rFonts w:asciiTheme="minorHAnsi" w:hAnsiTheme="minorHAnsi" w:cstheme="minorHAnsi"/>
          <w:sz w:val="24"/>
          <w:szCs w:val="24"/>
        </w:rPr>
        <w:t xml:space="preserve"> a</w:t>
      </w:r>
      <w:r w:rsidR="00DE18CE">
        <w:rPr>
          <w:rFonts w:asciiTheme="minorHAnsi" w:hAnsiTheme="minorHAnsi" w:cstheme="minorHAnsi"/>
          <w:sz w:val="24"/>
          <w:szCs w:val="24"/>
        </w:rPr>
        <w:t xml:space="preserve"> substantial</w:t>
      </w:r>
      <w:r w:rsidR="00BC6656" w:rsidRPr="00B27E08">
        <w:rPr>
          <w:rFonts w:asciiTheme="minorHAnsi" w:hAnsiTheme="minorHAnsi" w:cstheme="minorHAnsi"/>
          <w:sz w:val="24"/>
          <w:szCs w:val="24"/>
        </w:rPr>
        <w:t xml:space="preserve"> impact on delivery of dental care. </w:t>
      </w:r>
      <w:r w:rsidR="00141633" w:rsidRPr="00B27E08">
        <w:rPr>
          <w:rFonts w:asciiTheme="minorHAnsi" w:hAnsiTheme="minorHAnsi" w:cstheme="minorHAnsi"/>
          <w:sz w:val="24"/>
          <w:szCs w:val="24"/>
        </w:rPr>
        <w:t xml:space="preserve">A </w:t>
      </w:r>
      <w:proofErr w:type="gramStart"/>
      <w:r w:rsidR="00141633" w:rsidRPr="00B27E08">
        <w:rPr>
          <w:rFonts w:asciiTheme="minorHAnsi" w:hAnsiTheme="minorHAnsi" w:cstheme="minorHAnsi"/>
          <w:sz w:val="24"/>
          <w:szCs w:val="24"/>
        </w:rPr>
        <w:t>long term</w:t>
      </w:r>
      <w:proofErr w:type="gramEnd"/>
      <w:r w:rsidR="00141633" w:rsidRPr="00B27E08">
        <w:rPr>
          <w:rFonts w:asciiTheme="minorHAnsi" w:hAnsiTheme="minorHAnsi" w:cstheme="minorHAnsi"/>
          <w:sz w:val="24"/>
          <w:szCs w:val="24"/>
        </w:rPr>
        <w:t xml:space="preserve"> vision with commitment to radical transformation of </w:t>
      </w:r>
      <w:r w:rsidR="006E336A">
        <w:rPr>
          <w:rFonts w:asciiTheme="minorHAnsi" w:hAnsiTheme="minorHAnsi" w:cstheme="minorHAnsi"/>
          <w:sz w:val="24"/>
          <w:szCs w:val="24"/>
        </w:rPr>
        <w:t xml:space="preserve">the </w:t>
      </w:r>
      <w:r w:rsidR="00BC6656" w:rsidRPr="00B27E08">
        <w:rPr>
          <w:rFonts w:asciiTheme="minorHAnsi" w:hAnsiTheme="minorHAnsi" w:cstheme="minorHAnsi"/>
          <w:sz w:val="24"/>
          <w:szCs w:val="24"/>
        </w:rPr>
        <w:t>oral health</w:t>
      </w:r>
      <w:r w:rsidR="00141633" w:rsidRPr="00B27E08">
        <w:rPr>
          <w:rFonts w:asciiTheme="minorHAnsi" w:hAnsiTheme="minorHAnsi" w:cstheme="minorHAnsi"/>
          <w:sz w:val="24"/>
          <w:szCs w:val="24"/>
        </w:rPr>
        <w:t xml:space="preserve"> system is required to scale up prevention both in</w:t>
      </w:r>
      <w:r w:rsidR="00DE18CE">
        <w:rPr>
          <w:rFonts w:asciiTheme="minorHAnsi" w:hAnsiTheme="minorHAnsi" w:cstheme="minorHAnsi"/>
          <w:sz w:val="24"/>
          <w:szCs w:val="24"/>
        </w:rPr>
        <w:t>side and outside dental clinical</w:t>
      </w:r>
      <w:r w:rsidR="00141633" w:rsidRPr="00B27E08">
        <w:rPr>
          <w:rFonts w:asciiTheme="minorHAnsi" w:hAnsiTheme="minorHAnsi" w:cstheme="minorHAnsi"/>
          <w:sz w:val="24"/>
          <w:szCs w:val="24"/>
        </w:rPr>
        <w:t xml:space="preserve"> settings</w:t>
      </w:r>
      <w:r w:rsidR="006E336A">
        <w:rPr>
          <w:rFonts w:asciiTheme="minorHAnsi" w:hAnsiTheme="minorHAnsi" w:cstheme="minorHAnsi"/>
          <w:sz w:val="24"/>
          <w:szCs w:val="24"/>
        </w:rPr>
        <w:t xml:space="preserve">. A new dental contract for </w:t>
      </w:r>
      <w:r w:rsidR="00141633" w:rsidRPr="00B27E08">
        <w:rPr>
          <w:rFonts w:asciiTheme="minorHAnsi" w:hAnsiTheme="minorHAnsi" w:cstheme="minorHAnsi"/>
          <w:sz w:val="24"/>
          <w:szCs w:val="24"/>
        </w:rPr>
        <w:t xml:space="preserve">General Dental Services (GDS) and strengthening of the Community Dental Services so </w:t>
      </w:r>
      <w:r w:rsidR="006E336A">
        <w:rPr>
          <w:rFonts w:asciiTheme="minorHAnsi" w:hAnsiTheme="minorHAnsi" w:cstheme="minorHAnsi"/>
          <w:sz w:val="24"/>
          <w:szCs w:val="24"/>
        </w:rPr>
        <w:t xml:space="preserve">that </w:t>
      </w:r>
      <w:r w:rsidR="00141633" w:rsidRPr="00B27E08">
        <w:rPr>
          <w:rFonts w:asciiTheme="minorHAnsi" w:hAnsiTheme="minorHAnsi" w:cstheme="minorHAnsi"/>
          <w:sz w:val="24"/>
          <w:szCs w:val="24"/>
        </w:rPr>
        <w:t xml:space="preserve">they are able to address the oral health need of </w:t>
      </w:r>
      <w:r w:rsidR="00BC6656" w:rsidRPr="00B27E08">
        <w:rPr>
          <w:rFonts w:asciiTheme="minorHAnsi" w:hAnsiTheme="minorHAnsi" w:cstheme="minorHAnsi"/>
          <w:sz w:val="24"/>
          <w:szCs w:val="24"/>
        </w:rPr>
        <w:t xml:space="preserve">all </w:t>
      </w:r>
      <w:r w:rsidR="006E336A">
        <w:rPr>
          <w:rFonts w:asciiTheme="minorHAnsi" w:hAnsiTheme="minorHAnsi" w:cstheme="minorHAnsi"/>
          <w:sz w:val="24"/>
          <w:szCs w:val="24"/>
        </w:rPr>
        <w:t>vulnerable groups in</w:t>
      </w:r>
      <w:r w:rsidR="00141633" w:rsidRPr="00B27E08">
        <w:rPr>
          <w:rFonts w:asciiTheme="minorHAnsi" w:hAnsiTheme="minorHAnsi" w:cstheme="minorHAnsi"/>
          <w:sz w:val="24"/>
          <w:szCs w:val="24"/>
        </w:rPr>
        <w:t xml:space="preserve"> society should be </w:t>
      </w:r>
      <w:proofErr w:type="gramStart"/>
      <w:r w:rsidR="005F0C55" w:rsidRPr="00B27E08">
        <w:rPr>
          <w:rFonts w:asciiTheme="minorHAnsi" w:hAnsiTheme="minorHAnsi" w:cstheme="minorHAnsi"/>
          <w:sz w:val="24"/>
          <w:szCs w:val="24"/>
        </w:rPr>
        <w:t>prioritised</w:t>
      </w:r>
      <w:r w:rsidR="006E336A">
        <w:rPr>
          <w:rFonts w:asciiTheme="minorHAnsi" w:hAnsiTheme="minorHAnsi" w:cstheme="minorHAnsi"/>
          <w:sz w:val="24"/>
          <w:szCs w:val="24"/>
        </w:rPr>
        <w:t>,</w:t>
      </w:r>
      <w:r w:rsidR="005F0C55" w:rsidRPr="00B27E08">
        <w:rPr>
          <w:rFonts w:asciiTheme="minorHAnsi" w:hAnsiTheme="minorHAnsi" w:cstheme="minorHAnsi"/>
          <w:sz w:val="24"/>
          <w:szCs w:val="24"/>
        </w:rPr>
        <w:t xml:space="preserve"> but</w:t>
      </w:r>
      <w:proofErr w:type="gramEnd"/>
      <w:r w:rsidR="005F0C55" w:rsidRPr="00B27E08">
        <w:rPr>
          <w:rFonts w:asciiTheme="minorHAnsi" w:hAnsiTheme="minorHAnsi" w:cstheme="minorHAnsi"/>
          <w:sz w:val="24"/>
          <w:szCs w:val="24"/>
        </w:rPr>
        <w:t xml:space="preserve"> seen as </w:t>
      </w:r>
      <w:r w:rsidR="00141633" w:rsidRPr="00B27E08">
        <w:rPr>
          <w:rFonts w:asciiTheme="minorHAnsi" w:hAnsiTheme="minorHAnsi" w:cstheme="minorHAnsi"/>
          <w:sz w:val="24"/>
          <w:szCs w:val="24"/>
        </w:rPr>
        <w:t xml:space="preserve">the start of </w:t>
      </w:r>
      <w:r w:rsidR="005F0C55" w:rsidRPr="00B27E08">
        <w:rPr>
          <w:rFonts w:asciiTheme="minorHAnsi" w:hAnsiTheme="minorHAnsi" w:cstheme="minorHAnsi"/>
          <w:sz w:val="24"/>
          <w:szCs w:val="24"/>
        </w:rPr>
        <w:t>oral health system reform</w:t>
      </w:r>
      <w:r w:rsidR="00BC6656" w:rsidRPr="00B27E08">
        <w:rPr>
          <w:rFonts w:asciiTheme="minorHAnsi" w:hAnsiTheme="minorHAnsi" w:cstheme="minorHAnsi"/>
          <w:sz w:val="24"/>
          <w:szCs w:val="24"/>
        </w:rPr>
        <w:t xml:space="preserve"> not the end</w:t>
      </w:r>
      <w:r w:rsidR="00141633" w:rsidRPr="00B27E08">
        <w:rPr>
          <w:rFonts w:asciiTheme="minorHAnsi" w:hAnsiTheme="minorHAnsi" w:cstheme="minorHAnsi"/>
          <w:sz w:val="24"/>
          <w:szCs w:val="24"/>
        </w:rPr>
        <w:t xml:space="preserve">.  </w:t>
      </w:r>
      <w:r w:rsidR="00C8614C" w:rsidRPr="00B27E08">
        <w:rPr>
          <w:rFonts w:asciiTheme="minorHAnsi" w:hAnsiTheme="minorHAnsi" w:cstheme="minorHAnsi"/>
          <w:sz w:val="24"/>
          <w:szCs w:val="24"/>
        </w:rPr>
        <w:t xml:space="preserve"> </w:t>
      </w:r>
    </w:p>
    <w:p w14:paraId="0EA4DE90" w14:textId="65FAFB20" w:rsidR="005F0C55" w:rsidRDefault="005F0C55" w:rsidP="00B27E08">
      <w:pPr>
        <w:spacing w:line="276" w:lineRule="auto"/>
        <w:ind w:left="567"/>
        <w:jc w:val="both"/>
        <w:rPr>
          <w:rFonts w:asciiTheme="minorHAnsi" w:hAnsiTheme="minorHAnsi" w:cstheme="minorHAnsi"/>
          <w:sz w:val="24"/>
          <w:szCs w:val="24"/>
        </w:rPr>
      </w:pPr>
    </w:p>
    <w:p w14:paraId="6880D908" w14:textId="18511E10" w:rsidR="005F0C55" w:rsidRPr="00B27E08" w:rsidRDefault="005F0C55" w:rsidP="00B27E08">
      <w:pPr>
        <w:pStyle w:val="ListParagraph"/>
        <w:numPr>
          <w:ilvl w:val="0"/>
          <w:numId w:val="10"/>
        </w:numPr>
        <w:spacing w:line="276" w:lineRule="auto"/>
        <w:jc w:val="both"/>
        <w:rPr>
          <w:rFonts w:asciiTheme="minorHAnsi" w:hAnsiTheme="minorHAnsi" w:cstheme="minorHAnsi"/>
          <w:sz w:val="24"/>
          <w:szCs w:val="24"/>
        </w:rPr>
      </w:pPr>
      <w:r w:rsidRPr="00B27E08">
        <w:rPr>
          <w:rFonts w:asciiTheme="minorHAnsi" w:hAnsiTheme="minorHAnsi" w:cstheme="minorHAnsi"/>
          <w:sz w:val="24"/>
          <w:szCs w:val="24"/>
        </w:rPr>
        <w:lastRenderedPageBreak/>
        <w:t>Oral health and dental transformation will not be possib</w:t>
      </w:r>
      <w:r w:rsidR="006E336A">
        <w:rPr>
          <w:rFonts w:asciiTheme="minorHAnsi" w:hAnsiTheme="minorHAnsi" w:cstheme="minorHAnsi"/>
          <w:sz w:val="24"/>
          <w:szCs w:val="24"/>
        </w:rPr>
        <w:t>le without investment in</w:t>
      </w:r>
      <w:r w:rsidRPr="00B27E08">
        <w:rPr>
          <w:rFonts w:asciiTheme="minorHAnsi" w:hAnsiTheme="minorHAnsi" w:cstheme="minorHAnsi"/>
          <w:sz w:val="24"/>
          <w:szCs w:val="24"/>
        </w:rPr>
        <w:t xml:space="preserve"> workforce</w:t>
      </w:r>
      <w:r w:rsidR="00BC6656" w:rsidRPr="00B27E08">
        <w:rPr>
          <w:rFonts w:asciiTheme="minorHAnsi" w:hAnsiTheme="minorHAnsi" w:cstheme="minorHAnsi"/>
          <w:sz w:val="24"/>
          <w:szCs w:val="24"/>
        </w:rPr>
        <w:t xml:space="preserve"> planning</w:t>
      </w:r>
      <w:r w:rsidR="00EB3230" w:rsidRPr="00B27E08">
        <w:rPr>
          <w:rFonts w:asciiTheme="minorHAnsi" w:hAnsiTheme="minorHAnsi" w:cstheme="minorHAnsi"/>
          <w:sz w:val="24"/>
          <w:szCs w:val="24"/>
        </w:rPr>
        <w:t>, training and development</w:t>
      </w:r>
      <w:r w:rsidR="006E336A">
        <w:rPr>
          <w:rFonts w:asciiTheme="minorHAnsi" w:hAnsiTheme="minorHAnsi" w:cstheme="minorHAnsi"/>
          <w:sz w:val="24"/>
          <w:szCs w:val="24"/>
        </w:rPr>
        <w:t>,</w:t>
      </w:r>
      <w:r w:rsidR="00BC6656" w:rsidRPr="00B27E08">
        <w:rPr>
          <w:rFonts w:asciiTheme="minorHAnsi" w:hAnsiTheme="minorHAnsi" w:cstheme="minorHAnsi"/>
          <w:sz w:val="24"/>
          <w:szCs w:val="24"/>
        </w:rPr>
        <w:t xml:space="preserve"> and health and well-being of the workforce</w:t>
      </w:r>
      <w:r w:rsidRPr="00B27E08">
        <w:rPr>
          <w:rFonts w:asciiTheme="minorHAnsi" w:hAnsiTheme="minorHAnsi" w:cstheme="minorHAnsi"/>
          <w:sz w:val="24"/>
          <w:szCs w:val="24"/>
        </w:rPr>
        <w:t xml:space="preserve">. </w:t>
      </w:r>
      <w:r w:rsidR="00D64CEE" w:rsidRPr="00B27E08">
        <w:rPr>
          <w:rFonts w:asciiTheme="minorHAnsi" w:hAnsiTheme="minorHAnsi" w:cstheme="minorHAnsi"/>
          <w:sz w:val="24"/>
          <w:szCs w:val="24"/>
        </w:rPr>
        <w:t>Workforce planning should be need</w:t>
      </w:r>
      <w:r w:rsidR="006E336A">
        <w:rPr>
          <w:rFonts w:asciiTheme="minorHAnsi" w:hAnsiTheme="minorHAnsi" w:cstheme="minorHAnsi"/>
          <w:sz w:val="24"/>
          <w:szCs w:val="24"/>
        </w:rPr>
        <w:t>-</w:t>
      </w:r>
      <w:r w:rsidR="00D64CEE" w:rsidRPr="00B27E08">
        <w:rPr>
          <w:rFonts w:asciiTheme="minorHAnsi" w:hAnsiTheme="minorHAnsi" w:cstheme="minorHAnsi"/>
          <w:sz w:val="24"/>
          <w:szCs w:val="24"/>
        </w:rPr>
        <w:t xml:space="preserve">based with ongoing </w:t>
      </w:r>
      <w:r w:rsidR="00EB3230" w:rsidRPr="00B27E08">
        <w:rPr>
          <w:rFonts w:asciiTheme="minorHAnsi" w:hAnsiTheme="minorHAnsi" w:cstheme="minorHAnsi"/>
          <w:sz w:val="24"/>
          <w:szCs w:val="24"/>
        </w:rPr>
        <w:t xml:space="preserve">adjustment to ensure </w:t>
      </w:r>
      <w:r w:rsidR="00D64CEE" w:rsidRPr="00B27E08">
        <w:rPr>
          <w:rFonts w:asciiTheme="minorHAnsi" w:hAnsiTheme="minorHAnsi" w:cstheme="minorHAnsi"/>
          <w:sz w:val="24"/>
          <w:szCs w:val="24"/>
        </w:rPr>
        <w:t>close alignment with oral health and denta</w:t>
      </w:r>
      <w:r w:rsidR="00EB3230" w:rsidRPr="00B27E08">
        <w:rPr>
          <w:rFonts w:asciiTheme="minorHAnsi" w:hAnsiTheme="minorHAnsi" w:cstheme="minorHAnsi"/>
          <w:sz w:val="24"/>
          <w:szCs w:val="24"/>
        </w:rPr>
        <w:t xml:space="preserve">l services policy, planning, </w:t>
      </w:r>
      <w:r w:rsidR="00D64CEE" w:rsidRPr="00B27E08">
        <w:rPr>
          <w:rFonts w:asciiTheme="minorHAnsi" w:hAnsiTheme="minorHAnsi" w:cstheme="minorHAnsi"/>
          <w:sz w:val="24"/>
          <w:szCs w:val="24"/>
        </w:rPr>
        <w:t>implementation</w:t>
      </w:r>
      <w:r w:rsidR="00DE18CE">
        <w:rPr>
          <w:rFonts w:asciiTheme="minorHAnsi" w:hAnsiTheme="minorHAnsi" w:cstheme="minorHAnsi"/>
          <w:sz w:val="24"/>
          <w:szCs w:val="24"/>
        </w:rPr>
        <w:t>,</w:t>
      </w:r>
      <w:r w:rsidR="00EB3230" w:rsidRPr="00B27E08">
        <w:rPr>
          <w:rFonts w:asciiTheme="minorHAnsi" w:hAnsiTheme="minorHAnsi" w:cstheme="minorHAnsi"/>
          <w:sz w:val="24"/>
          <w:szCs w:val="24"/>
        </w:rPr>
        <w:t xml:space="preserve"> and motivation and career aspirations of </w:t>
      </w:r>
      <w:r w:rsidR="00DE18CE">
        <w:rPr>
          <w:rFonts w:asciiTheme="minorHAnsi" w:hAnsiTheme="minorHAnsi" w:cstheme="minorHAnsi"/>
          <w:sz w:val="24"/>
          <w:szCs w:val="24"/>
        </w:rPr>
        <w:t xml:space="preserve">the </w:t>
      </w:r>
      <w:r w:rsidR="00EB3230" w:rsidRPr="00B27E08">
        <w:rPr>
          <w:rFonts w:asciiTheme="minorHAnsi" w:hAnsiTheme="minorHAnsi" w:cstheme="minorHAnsi"/>
          <w:sz w:val="24"/>
          <w:szCs w:val="24"/>
        </w:rPr>
        <w:t>dental workforce</w:t>
      </w:r>
      <w:r w:rsidR="00D64CEE" w:rsidRPr="00B27E08">
        <w:rPr>
          <w:rFonts w:asciiTheme="minorHAnsi" w:hAnsiTheme="minorHAnsi" w:cstheme="minorHAnsi"/>
          <w:sz w:val="24"/>
          <w:szCs w:val="24"/>
        </w:rPr>
        <w:t xml:space="preserve">. Unlike </w:t>
      </w:r>
      <w:r w:rsidR="00DE18CE">
        <w:rPr>
          <w:rFonts w:asciiTheme="minorHAnsi" w:hAnsiTheme="minorHAnsi" w:cstheme="minorHAnsi"/>
          <w:sz w:val="24"/>
          <w:szCs w:val="24"/>
        </w:rPr>
        <w:t xml:space="preserve">the </w:t>
      </w:r>
      <w:r w:rsidR="006E336A">
        <w:rPr>
          <w:rFonts w:asciiTheme="minorHAnsi" w:hAnsiTheme="minorHAnsi" w:cstheme="minorHAnsi"/>
          <w:sz w:val="24"/>
          <w:szCs w:val="24"/>
        </w:rPr>
        <w:t>rest of</w:t>
      </w:r>
      <w:r w:rsidR="00BA67BD" w:rsidRPr="00B27E08">
        <w:rPr>
          <w:rFonts w:asciiTheme="minorHAnsi" w:hAnsiTheme="minorHAnsi" w:cstheme="minorHAnsi"/>
          <w:sz w:val="24"/>
          <w:szCs w:val="24"/>
        </w:rPr>
        <w:t xml:space="preserve"> healthcare</w:t>
      </w:r>
      <w:r w:rsidR="00D64CEE" w:rsidRPr="00B27E08">
        <w:rPr>
          <w:rFonts w:asciiTheme="minorHAnsi" w:hAnsiTheme="minorHAnsi" w:cstheme="minorHAnsi"/>
          <w:sz w:val="24"/>
          <w:szCs w:val="24"/>
        </w:rPr>
        <w:t xml:space="preserve">, </w:t>
      </w:r>
      <w:r w:rsidR="00BA67BD" w:rsidRPr="00B27E08">
        <w:rPr>
          <w:rFonts w:asciiTheme="minorHAnsi" w:hAnsiTheme="minorHAnsi" w:cstheme="minorHAnsi"/>
          <w:sz w:val="24"/>
          <w:szCs w:val="24"/>
        </w:rPr>
        <w:t>dentistry</w:t>
      </w:r>
      <w:r w:rsidR="00D64CEE" w:rsidRPr="00B27E08">
        <w:rPr>
          <w:rFonts w:asciiTheme="minorHAnsi" w:hAnsiTheme="minorHAnsi" w:cstheme="minorHAnsi"/>
          <w:sz w:val="24"/>
          <w:szCs w:val="24"/>
        </w:rPr>
        <w:t xml:space="preserve"> has fallen behind in maximising the benefits of optimal use of skill-mix. All barriers </w:t>
      </w:r>
      <w:r w:rsidR="00BA67BD" w:rsidRPr="00B27E08">
        <w:rPr>
          <w:rFonts w:asciiTheme="minorHAnsi" w:hAnsiTheme="minorHAnsi" w:cstheme="minorHAnsi"/>
          <w:sz w:val="24"/>
          <w:szCs w:val="24"/>
        </w:rPr>
        <w:t xml:space="preserve">for optimal </w:t>
      </w:r>
      <w:r w:rsidR="00D64CEE" w:rsidRPr="00B27E08">
        <w:rPr>
          <w:rFonts w:asciiTheme="minorHAnsi" w:hAnsiTheme="minorHAnsi" w:cstheme="minorHAnsi"/>
          <w:sz w:val="24"/>
          <w:szCs w:val="24"/>
        </w:rPr>
        <w:t xml:space="preserve">skill mix use </w:t>
      </w:r>
      <w:r w:rsidR="0016565D" w:rsidRPr="00B27E08">
        <w:rPr>
          <w:rFonts w:asciiTheme="minorHAnsi" w:hAnsiTheme="minorHAnsi" w:cstheme="minorHAnsi"/>
          <w:sz w:val="24"/>
          <w:szCs w:val="24"/>
        </w:rPr>
        <w:t xml:space="preserve">for </w:t>
      </w:r>
      <w:r w:rsidR="00BA67BD" w:rsidRPr="00B27E08">
        <w:rPr>
          <w:rFonts w:asciiTheme="minorHAnsi" w:hAnsiTheme="minorHAnsi" w:cstheme="minorHAnsi"/>
          <w:sz w:val="24"/>
          <w:szCs w:val="24"/>
        </w:rPr>
        <w:t>prevention</w:t>
      </w:r>
      <w:r w:rsidR="0016565D" w:rsidRPr="00B27E08">
        <w:rPr>
          <w:rFonts w:asciiTheme="minorHAnsi" w:hAnsiTheme="minorHAnsi" w:cstheme="minorHAnsi"/>
          <w:sz w:val="24"/>
          <w:szCs w:val="24"/>
        </w:rPr>
        <w:t xml:space="preserve"> and </w:t>
      </w:r>
      <w:r w:rsidR="00EB3230" w:rsidRPr="00B27E08">
        <w:rPr>
          <w:rFonts w:asciiTheme="minorHAnsi" w:hAnsiTheme="minorHAnsi" w:cstheme="minorHAnsi"/>
          <w:sz w:val="24"/>
          <w:szCs w:val="24"/>
        </w:rPr>
        <w:t xml:space="preserve">NHS </w:t>
      </w:r>
      <w:r w:rsidR="0016565D" w:rsidRPr="00B27E08">
        <w:rPr>
          <w:rFonts w:asciiTheme="minorHAnsi" w:hAnsiTheme="minorHAnsi" w:cstheme="minorHAnsi"/>
          <w:sz w:val="24"/>
          <w:szCs w:val="24"/>
        </w:rPr>
        <w:t xml:space="preserve">dental care delivery </w:t>
      </w:r>
      <w:r w:rsidR="00D64CEE" w:rsidRPr="00B27E08">
        <w:rPr>
          <w:rFonts w:asciiTheme="minorHAnsi" w:hAnsiTheme="minorHAnsi" w:cstheme="minorHAnsi"/>
          <w:sz w:val="24"/>
          <w:szCs w:val="24"/>
        </w:rPr>
        <w:t xml:space="preserve">should be </w:t>
      </w:r>
      <w:r w:rsidR="0016565D" w:rsidRPr="00B27E08">
        <w:rPr>
          <w:rFonts w:asciiTheme="minorHAnsi" w:hAnsiTheme="minorHAnsi" w:cstheme="minorHAnsi"/>
          <w:sz w:val="24"/>
          <w:szCs w:val="24"/>
        </w:rPr>
        <w:t>addressed with some urgency.</w:t>
      </w:r>
    </w:p>
    <w:p w14:paraId="29077498" w14:textId="0C1DE943" w:rsidR="00EB3230" w:rsidRDefault="00EB3230" w:rsidP="00B27E08">
      <w:pPr>
        <w:spacing w:line="276" w:lineRule="auto"/>
        <w:ind w:left="567"/>
        <w:jc w:val="both"/>
        <w:rPr>
          <w:rFonts w:asciiTheme="minorHAnsi" w:hAnsiTheme="minorHAnsi" w:cstheme="minorHAnsi"/>
          <w:sz w:val="24"/>
          <w:szCs w:val="24"/>
        </w:rPr>
      </w:pPr>
    </w:p>
    <w:p w14:paraId="728A5A6C" w14:textId="3A3F8EF5" w:rsidR="00EB3230" w:rsidRPr="00B27E08" w:rsidRDefault="00EB3230" w:rsidP="00B27E08">
      <w:pPr>
        <w:pStyle w:val="ListParagraph"/>
        <w:numPr>
          <w:ilvl w:val="0"/>
          <w:numId w:val="10"/>
        </w:numPr>
        <w:spacing w:line="276" w:lineRule="auto"/>
        <w:jc w:val="both"/>
        <w:rPr>
          <w:rFonts w:asciiTheme="minorHAnsi" w:hAnsiTheme="minorHAnsi" w:cstheme="minorHAnsi"/>
          <w:sz w:val="24"/>
          <w:szCs w:val="24"/>
        </w:rPr>
      </w:pPr>
      <w:r w:rsidRPr="00B27E08">
        <w:rPr>
          <w:rFonts w:asciiTheme="minorHAnsi" w:hAnsiTheme="minorHAnsi" w:cstheme="minorHAnsi"/>
          <w:sz w:val="24"/>
          <w:szCs w:val="24"/>
        </w:rPr>
        <w:t>There is irrefutable evidence from the dental</w:t>
      </w:r>
      <w:r w:rsidR="006E336A">
        <w:rPr>
          <w:rFonts w:asciiTheme="minorHAnsi" w:hAnsiTheme="minorHAnsi" w:cstheme="minorHAnsi"/>
          <w:sz w:val="24"/>
          <w:szCs w:val="24"/>
        </w:rPr>
        <w:t xml:space="preserve"> literature as well as surveys conducted as</w:t>
      </w:r>
      <w:r w:rsidRPr="00B27E08">
        <w:rPr>
          <w:rFonts w:asciiTheme="minorHAnsi" w:hAnsiTheme="minorHAnsi" w:cstheme="minorHAnsi"/>
          <w:sz w:val="24"/>
          <w:szCs w:val="24"/>
        </w:rPr>
        <w:t xml:space="preserve"> part of the Dental Epidemiology Programme for Wales that oral health inequalities exist</w:t>
      </w:r>
      <w:r w:rsidR="00DE18CE">
        <w:rPr>
          <w:rFonts w:asciiTheme="minorHAnsi" w:hAnsiTheme="minorHAnsi" w:cstheme="minorHAnsi"/>
          <w:sz w:val="24"/>
          <w:szCs w:val="24"/>
        </w:rPr>
        <w:t>,</w:t>
      </w:r>
      <w:r w:rsidRPr="00B27E08">
        <w:rPr>
          <w:rFonts w:asciiTheme="minorHAnsi" w:hAnsiTheme="minorHAnsi" w:cstheme="minorHAnsi"/>
          <w:sz w:val="24"/>
          <w:szCs w:val="24"/>
        </w:rPr>
        <w:t xml:space="preserve"> with people living in the most deprived areas bearing the largest burden of dental disease. Oral health in</w:t>
      </w:r>
      <w:r w:rsidR="00612A19" w:rsidRPr="00B27E08">
        <w:rPr>
          <w:rFonts w:asciiTheme="minorHAnsi" w:hAnsiTheme="minorHAnsi" w:cstheme="minorHAnsi"/>
          <w:sz w:val="24"/>
          <w:szCs w:val="24"/>
        </w:rPr>
        <w:t xml:space="preserve">equalities are unfair, </w:t>
      </w:r>
      <w:proofErr w:type="gramStart"/>
      <w:r w:rsidR="00612A19" w:rsidRPr="00B27E08">
        <w:rPr>
          <w:rFonts w:asciiTheme="minorHAnsi" w:hAnsiTheme="minorHAnsi" w:cstheme="minorHAnsi"/>
          <w:sz w:val="24"/>
          <w:szCs w:val="24"/>
        </w:rPr>
        <w:t>unjust</w:t>
      </w:r>
      <w:proofErr w:type="gramEnd"/>
      <w:r w:rsidR="00612A19" w:rsidRPr="00B27E08">
        <w:rPr>
          <w:rFonts w:asciiTheme="minorHAnsi" w:hAnsiTheme="minorHAnsi" w:cstheme="minorHAnsi"/>
          <w:sz w:val="24"/>
          <w:szCs w:val="24"/>
        </w:rPr>
        <w:t xml:space="preserve"> and preventable. Hence, reduction in oral health inequalities should be a priority. This would in</w:t>
      </w:r>
      <w:r w:rsidR="00DE18CE">
        <w:rPr>
          <w:rFonts w:asciiTheme="minorHAnsi" w:hAnsiTheme="minorHAnsi" w:cstheme="minorHAnsi"/>
          <w:sz w:val="24"/>
          <w:szCs w:val="24"/>
        </w:rPr>
        <w:t xml:space="preserve"> line with the Well-being of</w:t>
      </w:r>
      <w:r w:rsidR="00612A19" w:rsidRPr="00B27E08">
        <w:rPr>
          <w:rFonts w:asciiTheme="minorHAnsi" w:hAnsiTheme="minorHAnsi" w:cstheme="minorHAnsi"/>
          <w:sz w:val="24"/>
          <w:szCs w:val="24"/>
        </w:rPr>
        <w:t xml:space="preserve"> Future Generations (Wales) Act 2015 and A More Equal Wales: </w:t>
      </w:r>
      <w:proofErr w:type="gramStart"/>
      <w:r w:rsidR="00612A19" w:rsidRPr="00B27E08">
        <w:rPr>
          <w:rFonts w:asciiTheme="minorHAnsi" w:hAnsiTheme="minorHAnsi" w:cstheme="minorHAnsi"/>
          <w:sz w:val="24"/>
          <w:szCs w:val="24"/>
        </w:rPr>
        <w:t>the</w:t>
      </w:r>
      <w:proofErr w:type="gramEnd"/>
      <w:r w:rsidR="00612A19" w:rsidRPr="00B27E08">
        <w:rPr>
          <w:rFonts w:asciiTheme="minorHAnsi" w:hAnsiTheme="minorHAnsi" w:cstheme="minorHAnsi"/>
          <w:sz w:val="24"/>
          <w:szCs w:val="24"/>
        </w:rPr>
        <w:t xml:space="preserve"> Socioeconomic Duty.</w:t>
      </w:r>
    </w:p>
    <w:p w14:paraId="63EC2B26" w14:textId="77777777" w:rsidR="00C8614C" w:rsidRPr="00062830" w:rsidRDefault="00C8614C" w:rsidP="004B6AFE">
      <w:pPr>
        <w:spacing w:line="360" w:lineRule="auto"/>
        <w:ind w:left="567"/>
        <w:jc w:val="both"/>
        <w:rPr>
          <w:rFonts w:asciiTheme="minorHAnsi" w:hAnsiTheme="minorHAnsi" w:cstheme="minorHAnsi"/>
          <w:sz w:val="24"/>
          <w:szCs w:val="24"/>
        </w:rPr>
      </w:pPr>
    </w:p>
    <w:p w14:paraId="435FFC3C" w14:textId="77777777" w:rsidR="00062830" w:rsidRPr="00062830" w:rsidRDefault="00062830" w:rsidP="00F8725A">
      <w:pPr>
        <w:spacing w:after="240" w:line="276" w:lineRule="auto"/>
        <w:ind w:left="567"/>
        <w:jc w:val="both"/>
        <w:rPr>
          <w:rFonts w:asciiTheme="minorHAnsi" w:hAnsiTheme="minorHAnsi" w:cstheme="minorHAnsi"/>
          <w:b/>
          <w:sz w:val="24"/>
          <w:szCs w:val="24"/>
        </w:rPr>
      </w:pPr>
      <w:r w:rsidRPr="00062830">
        <w:rPr>
          <w:rFonts w:asciiTheme="minorHAnsi" w:hAnsiTheme="minorHAnsi" w:cstheme="minorHAnsi"/>
          <w:b/>
          <w:sz w:val="24"/>
          <w:szCs w:val="24"/>
        </w:rPr>
        <w:t>1. Tackling common risk factors of oral health and non-communicable diseases and their underlying social and commercial determinants should improve oral health and non-communicable diseases</w:t>
      </w:r>
    </w:p>
    <w:p w14:paraId="47B303A9" w14:textId="21274B4F" w:rsidR="00217DA2" w:rsidRPr="00217DA2" w:rsidRDefault="00062830" w:rsidP="00F8725A">
      <w:pPr>
        <w:spacing w:line="276" w:lineRule="auto"/>
        <w:ind w:left="567"/>
        <w:jc w:val="both"/>
        <w:rPr>
          <w:rFonts w:asciiTheme="minorHAnsi" w:hAnsiTheme="minorHAnsi" w:cstheme="minorHAnsi"/>
          <w:bCs/>
          <w:sz w:val="24"/>
          <w:szCs w:val="24"/>
        </w:rPr>
      </w:pPr>
      <w:r w:rsidRPr="00062830">
        <w:rPr>
          <w:rFonts w:asciiTheme="minorHAnsi" w:hAnsiTheme="minorHAnsi" w:cstheme="minorHAnsi"/>
          <w:bCs/>
          <w:sz w:val="24"/>
          <w:szCs w:val="24"/>
        </w:rPr>
        <w:t xml:space="preserve">Oral diseases present a significant public health problem affecting over 3·5 billion people across the world, with untreated </w:t>
      </w:r>
      <w:r w:rsidR="00883786">
        <w:rPr>
          <w:rFonts w:asciiTheme="minorHAnsi" w:hAnsiTheme="minorHAnsi" w:cstheme="minorHAnsi"/>
          <w:bCs/>
          <w:sz w:val="24"/>
          <w:szCs w:val="24"/>
        </w:rPr>
        <w:t>tooth decay</w:t>
      </w:r>
      <w:r w:rsidRPr="00062830">
        <w:rPr>
          <w:rFonts w:asciiTheme="minorHAnsi" w:hAnsiTheme="minorHAnsi" w:cstheme="minorHAnsi"/>
          <w:bCs/>
          <w:sz w:val="24"/>
          <w:szCs w:val="24"/>
        </w:rPr>
        <w:t xml:space="preserve"> being the most prevalent health condition globally</w:t>
      </w:r>
      <w:r w:rsidR="00DD37DC">
        <w:rPr>
          <w:rFonts w:asciiTheme="minorHAnsi" w:hAnsiTheme="minorHAnsi" w:cstheme="minorHAnsi"/>
          <w:bCs/>
          <w:sz w:val="24"/>
          <w:szCs w:val="24"/>
        </w:rPr>
        <w:t>.</w:t>
      </w:r>
      <w:r w:rsidR="00DD37DC">
        <w:rPr>
          <w:rStyle w:val="EndnoteReference"/>
          <w:rFonts w:asciiTheme="minorHAnsi" w:hAnsiTheme="minorHAnsi" w:cstheme="minorHAnsi"/>
          <w:bCs/>
          <w:sz w:val="24"/>
          <w:szCs w:val="24"/>
        </w:rPr>
        <w:endnoteReference w:id="1"/>
      </w:r>
      <w:r w:rsidRPr="00062830">
        <w:rPr>
          <w:rFonts w:asciiTheme="minorHAnsi" w:hAnsiTheme="minorHAnsi" w:cstheme="minorHAnsi"/>
          <w:bCs/>
          <w:sz w:val="24"/>
          <w:szCs w:val="24"/>
        </w:rPr>
        <w:t xml:space="preserve"> </w:t>
      </w:r>
      <w:r w:rsidR="00883786" w:rsidRPr="00883786">
        <w:rPr>
          <w:rFonts w:asciiTheme="minorHAnsi" w:hAnsiTheme="minorHAnsi" w:cstheme="minorHAnsi"/>
          <w:bCs/>
          <w:sz w:val="24"/>
          <w:szCs w:val="24"/>
        </w:rPr>
        <w:t>While overall prevalence of tooth decay has decreased in Wales</w:t>
      </w:r>
      <w:r w:rsidR="006F2025">
        <w:rPr>
          <w:rFonts w:asciiTheme="minorHAnsi" w:hAnsiTheme="minorHAnsi" w:cstheme="minorHAnsi"/>
          <w:bCs/>
          <w:sz w:val="24"/>
          <w:szCs w:val="24"/>
        </w:rPr>
        <w:t xml:space="preserve"> in both adults</w:t>
      </w:r>
      <w:r w:rsidR="00DD37DC">
        <w:rPr>
          <w:rStyle w:val="EndnoteReference"/>
          <w:rFonts w:asciiTheme="minorHAnsi" w:hAnsiTheme="minorHAnsi" w:cstheme="minorHAnsi"/>
          <w:bCs/>
          <w:sz w:val="24"/>
          <w:szCs w:val="24"/>
        </w:rPr>
        <w:endnoteReference w:id="2"/>
      </w:r>
      <w:r w:rsidR="006F2025">
        <w:rPr>
          <w:rFonts w:asciiTheme="minorHAnsi" w:hAnsiTheme="minorHAnsi" w:cstheme="minorHAnsi"/>
          <w:bCs/>
          <w:sz w:val="24"/>
          <w:szCs w:val="24"/>
        </w:rPr>
        <w:t xml:space="preserve"> and children,</w:t>
      </w:r>
      <w:r w:rsidR="00DD37DC">
        <w:rPr>
          <w:rStyle w:val="EndnoteReference"/>
          <w:rFonts w:asciiTheme="minorHAnsi" w:hAnsiTheme="minorHAnsi" w:cstheme="minorHAnsi"/>
          <w:bCs/>
          <w:sz w:val="24"/>
          <w:szCs w:val="24"/>
        </w:rPr>
        <w:endnoteReference w:id="3"/>
      </w:r>
      <w:r w:rsidR="006F2025">
        <w:rPr>
          <w:rFonts w:asciiTheme="minorHAnsi" w:hAnsiTheme="minorHAnsi" w:cstheme="minorHAnsi"/>
          <w:bCs/>
          <w:sz w:val="24"/>
          <w:szCs w:val="24"/>
        </w:rPr>
        <w:t xml:space="preserve"> </w:t>
      </w:r>
      <w:r w:rsidR="00883786" w:rsidRPr="00883786">
        <w:rPr>
          <w:rFonts w:asciiTheme="minorHAnsi" w:hAnsiTheme="minorHAnsi" w:cstheme="minorHAnsi"/>
          <w:bCs/>
          <w:sz w:val="24"/>
          <w:szCs w:val="24"/>
        </w:rPr>
        <w:t>dental diseases are still highly prevalent and the cumulative effect of oral diseases into adulthood and la</w:t>
      </w:r>
      <w:r w:rsidR="00A64AF3">
        <w:rPr>
          <w:rFonts w:asciiTheme="minorHAnsi" w:hAnsiTheme="minorHAnsi" w:cstheme="minorHAnsi"/>
          <w:bCs/>
          <w:sz w:val="24"/>
          <w:szCs w:val="24"/>
        </w:rPr>
        <w:t>ter into older age remains a significant</w:t>
      </w:r>
      <w:r w:rsidR="00883786" w:rsidRPr="00883786">
        <w:rPr>
          <w:rFonts w:asciiTheme="minorHAnsi" w:hAnsiTheme="minorHAnsi" w:cstheme="minorHAnsi"/>
          <w:bCs/>
          <w:sz w:val="24"/>
          <w:szCs w:val="24"/>
        </w:rPr>
        <w:t xml:space="preserve"> population health challenge.</w:t>
      </w:r>
      <w:r w:rsidR="00A13BCF">
        <w:rPr>
          <w:rFonts w:asciiTheme="minorHAnsi" w:hAnsiTheme="minorHAnsi" w:cstheme="minorHAnsi"/>
          <w:bCs/>
          <w:sz w:val="24"/>
          <w:szCs w:val="24"/>
        </w:rPr>
        <w:t xml:space="preserve"> </w:t>
      </w:r>
      <w:r w:rsidR="00A13BCF" w:rsidRPr="00A13BCF">
        <w:rPr>
          <w:rFonts w:asciiTheme="minorHAnsi" w:hAnsiTheme="minorHAnsi" w:cstheme="minorHAnsi"/>
          <w:bCs/>
          <w:sz w:val="24"/>
          <w:szCs w:val="24"/>
        </w:rPr>
        <w:t xml:space="preserve">There is a very strong and consistent association between socioeconomic status (income, </w:t>
      </w:r>
      <w:proofErr w:type="gramStart"/>
      <w:r w:rsidR="00A13BCF" w:rsidRPr="00A13BCF">
        <w:rPr>
          <w:rFonts w:asciiTheme="minorHAnsi" w:hAnsiTheme="minorHAnsi" w:cstheme="minorHAnsi"/>
          <w:bCs/>
          <w:sz w:val="24"/>
          <w:szCs w:val="24"/>
        </w:rPr>
        <w:t>occupation</w:t>
      </w:r>
      <w:proofErr w:type="gramEnd"/>
      <w:r w:rsidR="00A13BCF" w:rsidRPr="00A13BCF">
        <w:rPr>
          <w:rFonts w:asciiTheme="minorHAnsi" w:hAnsiTheme="minorHAnsi" w:cstheme="minorHAnsi"/>
          <w:bCs/>
          <w:sz w:val="24"/>
          <w:szCs w:val="24"/>
        </w:rPr>
        <w:t xml:space="preserve"> and educational level) and the prevalence and severity of oral diseases and conditions. Across the life course, oral diseases and conditions disproportionally affect the poor and vulnerable members of societies</w:t>
      </w:r>
      <w:r w:rsidR="00A13BCF">
        <w:rPr>
          <w:rFonts w:asciiTheme="minorHAnsi" w:hAnsiTheme="minorHAnsi" w:cstheme="minorHAnsi"/>
          <w:bCs/>
          <w:sz w:val="24"/>
          <w:szCs w:val="24"/>
        </w:rPr>
        <w:t>.</w:t>
      </w:r>
      <w:r w:rsidR="001C6BBA">
        <w:rPr>
          <w:rStyle w:val="EndnoteReference"/>
          <w:rFonts w:asciiTheme="minorHAnsi" w:hAnsiTheme="minorHAnsi" w:cstheme="minorHAnsi"/>
          <w:bCs/>
          <w:sz w:val="24"/>
          <w:szCs w:val="24"/>
        </w:rPr>
        <w:endnoteReference w:id="4"/>
      </w:r>
      <w:r w:rsidR="00A13BCF">
        <w:rPr>
          <w:rFonts w:asciiTheme="minorHAnsi" w:hAnsiTheme="minorHAnsi" w:cstheme="minorHAnsi"/>
          <w:bCs/>
          <w:sz w:val="24"/>
          <w:szCs w:val="24"/>
        </w:rPr>
        <w:t xml:space="preserve"> </w:t>
      </w:r>
    </w:p>
    <w:p w14:paraId="545C69C7" w14:textId="53304AFD" w:rsidR="00062830" w:rsidRPr="00062830" w:rsidRDefault="00062830" w:rsidP="00F8725A">
      <w:pPr>
        <w:spacing w:line="276" w:lineRule="auto"/>
        <w:ind w:left="567"/>
        <w:jc w:val="both"/>
        <w:rPr>
          <w:rFonts w:asciiTheme="minorHAnsi" w:hAnsiTheme="minorHAnsi" w:cstheme="minorHAnsi"/>
          <w:bCs/>
          <w:sz w:val="24"/>
          <w:szCs w:val="24"/>
        </w:rPr>
      </w:pPr>
    </w:p>
    <w:p w14:paraId="7B9D367B" w14:textId="6C7105BB" w:rsidR="00062830" w:rsidRPr="007726B3" w:rsidRDefault="00062830" w:rsidP="00F8725A">
      <w:pPr>
        <w:spacing w:line="276" w:lineRule="auto"/>
        <w:ind w:left="567"/>
        <w:jc w:val="both"/>
        <w:rPr>
          <w:rFonts w:asciiTheme="minorHAnsi" w:hAnsiTheme="minorHAnsi" w:cstheme="minorHAnsi"/>
          <w:bCs/>
          <w:sz w:val="24"/>
          <w:szCs w:val="24"/>
        </w:rPr>
      </w:pPr>
      <w:r w:rsidRPr="00062830">
        <w:rPr>
          <w:rFonts w:asciiTheme="minorHAnsi" w:hAnsiTheme="minorHAnsi" w:cstheme="minorHAnsi"/>
          <w:bCs/>
          <w:sz w:val="24"/>
          <w:szCs w:val="24"/>
        </w:rPr>
        <w:t>Oral diseases are caused by a range of modifiable risk factors, including sugar consumption, tobacco use, alcohol use and poor hygiene, and their underlying social and commercial determinants. Highly prevalent dental diseases cannot be simply treated away by dental services.</w:t>
      </w:r>
      <w:r w:rsidR="007726B3">
        <w:rPr>
          <w:rFonts w:asciiTheme="minorHAnsi" w:hAnsiTheme="minorHAnsi" w:cstheme="minorHAnsi"/>
          <w:bCs/>
          <w:sz w:val="24"/>
          <w:szCs w:val="24"/>
        </w:rPr>
        <w:t xml:space="preserve"> Frustratingly d</w:t>
      </w:r>
      <w:r w:rsidRPr="00062830">
        <w:rPr>
          <w:rFonts w:asciiTheme="minorHAnsi" w:hAnsiTheme="minorHAnsi" w:cstheme="minorHAnsi"/>
          <w:bCs/>
          <w:sz w:val="24"/>
          <w:szCs w:val="24"/>
        </w:rPr>
        <w:t xml:space="preserve">ebate about oral health in the UK and widely around the world are </w:t>
      </w:r>
      <w:r w:rsidR="007726B3">
        <w:rPr>
          <w:rFonts w:asciiTheme="minorHAnsi" w:hAnsiTheme="minorHAnsi" w:cstheme="minorHAnsi"/>
          <w:bCs/>
          <w:sz w:val="24"/>
          <w:szCs w:val="24"/>
        </w:rPr>
        <w:t xml:space="preserve">often </w:t>
      </w:r>
      <w:r w:rsidRPr="00062830">
        <w:rPr>
          <w:rFonts w:asciiTheme="minorHAnsi" w:hAnsiTheme="minorHAnsi" w:cstheme="minorHAnsi"/>
          <w:bCs/>
          <w:sz w:val="24"/>
          <w:szCs w:val="24"/>
        </w:rPr>
        <w:t xml:space="preserve">rather limited with focus on dental services alone. Solutions sought are often limited to expanding or </w:t>
      </w:r>
      <w:r w:rsidR="00F9066F">
        <w:rPr>
          <w:rFonts w:asciiTheme="minorHAnsi" w:hAnsiTheme="minorHAnsi" w:cstheme="minorHAnsi"/>
          <w:bCs/>
          <w:sz w:val="24"/>
          <w:szCs w:val="24"/>
        </w:rPr>
        <w:t>changing</w:t>
      </w:r>
      <w:r w:rsidRPr="00062830">
        <w:rPr>
          <w:rFonts w:asciiTheme="minorHAnsi" w:hAnsiTheme="minorHAnsi" w:cstheme="minorHAnsi"/>
          <w:bCs/>
          <w:sz w:val="24"/>
          <w:szCs w:val="24"/>
        </w:rPr>
        <w:t xml:space="preserve"> existing dental care services without addressing the causes of the dental diseases and their underlying social and commercial determinants.</w:t>
      </w:r>
      <w:r w:rsidR="002824CD">
        <w:rPr>
          <w:rFonts w:asciiTheme="minorHAnsi" w:hAnsiTheme="minorHAnsi" w:cstheme="minorHAnsi"/>
          <w:bCs/>
          <w:sz w:val="24"/>
          <w:szCs w:val="24"/>
          <w:vertAlign w:val="superscript"/>
        </w:rPr>
        <w:t>1</w:t>
      </w:r>
    </w:p>
    <w:p w14:paraId="52540C2E" w14:textId="77777777" w:rsidR="00A64AF3" w:rsidRDefault="00A64AF3" w:rsidP="00F8725A">
      <w:pPr>
        <w:spacing w:line="276" w:lineRule="auto"/>
        <w:ind w:left="567"/>
        <w:jc w:val="both"/>
        <w:rPr>
          <w:rFonts w:asciiTheme="minorHAnsi" w:hAnsiTheme="minorHAnsi" w:cstheme="minorHAnsi"/>
          <w:sz w:val="24"/>
          <w:szCs w:val="24"/>
        </w:rPr>
      </w:pPr>
    </w:p>
    <w:p w14:paraId="22F6B5A0" w14:textId="13D4C015" w:rsidR="00062830" w:rsidRPr="007726B3" w:rsidRDefault="00062830" w:rsidP="00F8725A">
      <w:pPr>
        <w:spacing w:line="276" w:lineRule="auto"/>
        <w:ind w:left="567"/>
        <w:jc w:val="both"/>
        <w:rPr>
          <w:rFonts w:asciiTheme="minorHAnsi" w:hAnsiTheme="minorHAnsi" w:cstheme="minorHAnsi"/>
          <w:i/>
          <w:sz w:val="24"/>
          <w:szCs w:val="24"/>
        </w:rPr>
      </w:pPr>
      <w:r w:rsidRPr="00062830">
        <w:rPr>
          <w:rFonts w:asciiTheme="minorHAnsi" w:hAnsiTheme="minorHAnsi" w:cstheme="minorHAnsi"/>
          <w:sz w:val="24"/>
          <w:szCs w:val="24"/>
        </w:rPr>
        <w:lastRenderedPageBreak/>
        <w:t xml:space="preserve">Corporate activities shape our environments and determine the availability, </w:t>
      </w:r>
      <w:proofErr w:type="gramStart"/>
      <w:r w:rsidRPr="00062830">
        <w:rPr>
          <w:rFonts w:asciiTheme="minorHAnsi" w:hAnsiTheme="minorHAnsi" w:cstheme="minorHAnsi"/>
          <w:sz w:val="24"/>
          <w:szCs w:val="24"/>
        </w:rPr>
        <w:t>promotion</w:t>
      </w:r>
      <w:proofErr w:type="gramEnd"/>
      <w:r w:rsidRPr="00062830">
        <w:rPr>
          <w:rFonts w:asciiTheme="minorHAnsi" w:hAnsiTheme="minorHAnsi" w:cstheme="minorHAnsi"/>
          <w:sz w:val="24"/>
          <w:szCs w:val="24"/>
        </w:rPr>
        <w:t xml:space="preserve"> and pricing of consumables</w:t>
      </w:r>
      <w:r w:rsidR="00A64AF3">
        <w:rPr>
          <w:rFonts w:asciiTheme="minorHAnsi" w:hAnsiTheme="minorHAnsi" w:cstheme="minorHAnsi"/>
          <w:sz w:val="24"/>
          <w:szCs w:val="24"/>
        </w:rPr>
        <w:t>.</w:t>
      </w:r>
      <w:r w:rsidR="001C6BBA">
        <w:rPr>
          <w:rStyle w:val="EndnoteReference"/>
          <w:rFonts w:asciiTheme="minorHAnsi" w:hAnsiTheme="minorHAnsi" w:cstheme="minorHAnsi"/>
          <w:sz w:val="24"/>
          <w:szCs w:val="24"/>
        </w:rPr>
        <w:endnoteReference w:id="5"/>
      </w:r>
      <w:r w:rsidRPr="00062830">
        <w:rPr>
          <w:rFonts w:asciiTheme="minorHAnsi" w:hAnsiTheme="minorHAnsi" w:cstheme="minorHAnsi"/>
          <w:sz w:val="24"/>
          <w:szCs w:val="24"/>
        </w:rPr>
        <w:t xml:space="preserve"> </w:t>
      </w:r>
      <w:r w:rsidR="00427AB6" w:rsidRPr="00427AB6">
        <w:rPr>
          <w:rFonts w:asciiTheme="minorHAnsi" w:hAnsiTheme="minorHAnsi" w:cstheme="minorHAnsi"/>
          <w:sz w:val="24"/>
          <w:szCs w:val="24"/>
        </w:rPr>
        <w:t xml:space="preserve">Stricter regulation and legislation are needed to overcome corporate strategies that threaten and undermine oral health and </w:t>
      </w:r>
      <w:r w:rsidR="009D3F09">
        <w:rPr>
          <w:rFonts w:asciiTheme="minorHAnsi" w:hAnsiTheme="minorHAnsi" w:cstheme="minorHAnsi"/>
          <w:sz w:val="24"/>
          <w:szCs w:val="24"/>
        </w:rPr>
        <w:t>non-</w:t>
      </w:r>
      <w:r w:rsidR="00427AB6" w:rsidRPr="00427AB6">
        <w:rPr>
          <w:rFonts w:asciiTheme="minorHAnsi" w:hAnsiTheme="minorHAnsi" w:cstheme="minorHAnsi"/>
          <w:sz w:val="24"/>
          <w:szCs w:val="24"/>
        </w:rPr>
        <w:t xml:space="preserve">communicable diseases. </w:t>
      </w:r>
      <w:r w:rsidRPr="00062830">
        <w:rPr>
          <w:rFonts w:asciiTheme="minorHAnsi" w:hAnsiTheme="minorHAnsi" w:cstheme="minorHAnsi"/>
          <w:sz w:val="24"/>
          <w:szCs w:val="24"/>
        </w:rPr>
        <w:t>There is emerging evidence that tax on sugar sweetened beverages can potentially have impact on reduction in tooth decay</w:t>
      </w:r>
      <w:r w:rsidR="007726B3">
        <w:rPr>
          <w:rFonts w:asciiTheme="minorHAnsi" w:hAnsiTheme="minorHAnsi" w:cstheme="minorHAnsi"/>
          <w:sz w:val="24"/>
          <w:szCs w:val="24"/>
        </w:rPr>
        <w:t>.</w:t>
      </w:r>
      <w:r w:rsidR="001C6BBA">
        <w:rPr>
          <w:rStyle w:val="EndnoteReference"/>
          <w:rFonts w:asciiTheme="minorHAnsi" w:hAnsiTheme="minorHAnsi" w:cstheme="minorHAnsi"/>
          <w:sz w:val="24"/>
          <w:szCs w:val="24"/>
        </w:rPr>
        <w:endnoteReference w:id="6"/>
      </w:r>
      <w:r w:rsidR="001C6BBA" w:rsidRPr="00062830">
        <w:rPr>
          <w:rFonts w:asciiTheme="minorHAnsi" w:hAnsiTheme="minorHAnsi" w:cstheme="minorHAnsi"/>
          <w:sz w:val="24"/>
          <w:szCs w:val="24"/>
        </w:rPr>
        <w:t xml:space="preserve"> </w:t>
      </w:r>
      <w:r w:rsidRPr="00062830">
        <w:rPr>
          <w:rFonts w:asciiTheme="minorHAnsi" w:hAnsiTheme="minorHAnsi" w:cstheme="minorHAnsi"/>
          <w:sz w:val="24"/>
          <w:szCs w:val="24"/>
        </w:rPr>
        <w:t>WHO recommends that both children and adults reduce their free-sugar consumption to less t</w:t>
      </w:r>
      <w:r w:rsidR="00296592">
        <w:rPr>
          <w:rFonts w:asciiTheme="minorHAnsi" w:hAnsiTheme="minorHAnsi" w:cstheme="minorHAnsi"/>
          <w:sz w:val="24"/>
          <w:szCs w:val="24"/>
        </w:rPr>
        <w:t>han 10% of total energy intake,</w:t>
      </w:r>
      <w:r w:rsidR="001C6BBA">
        <w:rPr>
          <w:rStyle w:val="EndnoteReference"/>
          <w:rFonts w:asciiTheme="minorHAnsi" w:hAnsiTheme="minorHAnsi" w:cstheme="minorHAnsi"/>
          <w:sz w:val="24"/>
          <w:szCs w:val="24"/>
        </w:rPr>
        <w:endnoteReference w:id="7"/>
      </w:r>
      <w:r w:rsidR="00296592">
        <w:rPr>
          <w:rFonts w:asciiTheme="minorHAnsi" w:hAnsiTheme="minorHAnsi" w:cstheme="minorHAnsi"/>
          <w:sz w:val="24"/>
          <w:szCs w:val="24"/>
        </w:rPr>
        <w:t xml:space="preserve"> and the UK Scientific Advisory Committee on Nutrition (SACN) recommended</w:t>
      </w:r>
      <w:r w:rsidR="00296592" w:rsidRPr="00296592">
        <w:rPr>
          <w:rFonts w:asciiTheme="minorHAnsi" w:hAnsiTheme="minorHAnsi" w:cstheme="minorHAnsi"/>
          <w:sz w:val="24"/>
          <w:szCs w:val="24"/>
        </w:rPr>
        <w:t xml:space="preserve"> that the average population intake of free sugars should not exceed 5% of total dietary energy for age groups from 2 years upwards.</w:t>
      </w:r>
      <w:r w:rsidR="001C6BBA">
        <w:rPr>
          <w:rStyle w:val="EndnoteReference"/>
          <w:rFonts w:asciiTheme="minorHAnsi" w:hAnsiTheme="minorHAnsi" w:cstheme="minorHAnsi"/>
          <w:sz w:val="24"/>
          <w:szCs w:val="24"/>
        </w:rPr>
        <w:endnoteReference w:id="8"/>
      </w:r>
      <w:r w:rsidR="00296592">
        <w:rPr>
          <w:rFonts w:asciiTheme="minorHAnsi" w:hAnsiTheme="minorHAnsi" w:cstheme="minorHAnsi"/>
          <w:sz w:val="24"/>
          <w:szCs w:val="24"/>
        </w:rPr>
        <w:t xml:space="preserve">  </w:t>
      </w:r>
      <w:r w:rsidRPr="00062830">
        <w:rPr>
          <w:rFonts w:asciiTheme="minorHAnsi" w:hAnsiTheme="minorHAnsi" w:cstheme="minorHAnsi"/>
          <w:sz w:val="24"/>
          <w:szCs w:val="24"/>
        </w:rPr>
        <w:t xml:space="preserve">Even in the presence of optimal fluoride exposure for prevention, tooth decay will still develop in presence of free sugars above 10% of individual’s total energy intake. Studies have found higher </w:t>
      </w:r>
      <w:r w:rsidR="000771F7">
        <w:rPr>
          <w:rFonts w:asciiTheme="minorHAnsi" w:hAnsiTheme="minorHAnsi" w:cstheme="minorHAnsi"/>
          <w:sz w:val="24"/>
          <w:szCs w:val="24"/>
        </w:rPr>
        <w:t xml:space="preserve">dental </w:t>
      </w:r>
      <w:r w:rsidRPr="00062830">
        <w:rPr>
          <w:rFonts w:asciiTheme="minorHAnsi" w:hAnsiTheme="minorHAnsi" w:cstheme="minorHAnsi"/>
          <w:sz w:val="24"/>
          <w:szCs w:val="24"/>
        </w:rPr>
        <w:t>caries with sugar intake greater than 10% energy compared with less than 10% energy.</w:t>
      </w:r>
      <w:r w:rsidR="001C6BBA">
        <w:rPr>
          <w:rStyle w:val="EndnoteReference"/>
          <w:rFonts w:asciiTheme="minorHAnsi" w:hAnsiTheme="minorHAnsi" w:cstheme="minorHAnsi"/>
          <w:sz w:val="24"/>
          <w:szCs w:val="24"/>
        </w:rPr>
        <w:endnoteReference w:id="9"/>
      </w:r>
      <w:r w:rsidRPr="00062830">
        <w:rPr>
          <w:rFonts w:asciiTheme="minorHAnsi" w:hAnsiTheme="minorHAnsi" w:cstheme="minorHAnsi"/>
          <w:sz w:val="24"/>
          <w:szCs w:val="24"/>
        </w:rPr>
        <w:t xml:space="preserve"> </w:t>
      </w:r>
    </w:p>
    <w:p w14:paraId="36F175D3" w14:textId="77777777" w:rsidR="007726B3" w:rsidRDefault="007726B3" w:rsidP="00F8725A">
      <w:pPr>
        <w:spacing w:line="276" w:lineRule="auto"/>
        <w:ind w:left="567"/>
        <w:jc w:val="both"/>
        <w:rPr>
          <w:rFonts w:asciiTheme="minorHAnsi" w:hAnsiTheme="minorHAnsi" w:cstheme="minorHAnsi"/>
          <w:sz w:val="24"/>
          <w:szCs w:val="24"/>
        </w:rPr>
      </w:pPr>
    </w:p>
    <w:p w14:paraId="41329702" w14:textId="559B6FA6" w:rsidR="00062830" w:rsidRPr="00062830" w:rsidRDefault="00062830" w:rsidP="00F8725A">
      <w:pPr>
        <w:spacing w:line="276" w:lineRule="auto"/>
        <w:ind w:left="567"/>
        <w:jc w:val="both"/>
        <w:rPr>
          <w:rFonts w:asciiTheme="minorHAnsi" w:hAnsiTheme="minorHAnsi" w:cstheme="minorHAnsi"/>
          <w:sz w:val="24"/>
          <w:szCs w:val="24"/>
        </w:rPr>
      </w:pPr>
      <w:r w:rsidRPr="00062830">
        <w:rPr>
          <w:rFonts w:asciiTheme="minorHAnsi" w:hAnsiTheme="minorHAnsi" w:cstheme="minorHAnsi"/>
          <w:sz w:val="24"/>
          <w:szCs w:val="24"/>
        </w:rPr>
        <w:t>Food consumption, nutrient intake and nutritional status in children in the UK are captu</w:t>
      </w:r>
      <w:r w:rsidR="000771F7">
        <w:rPr>
          <w:rFonts w:asciiTheme="minorHAnsi" w:hAnsiTheme="minorHAnsi" w:cstheme="minorHAnsi"/>
          <w:sz w:val="24"/>
          <w:szCs w:val="24"/>
        </w:rPr>
        <w:t>red in 2 large national surveys:</w:t>
      </w:r>
      <w:r w:rsidRPr="00062830">
        <w:rPr>
          <w:rFonts w:asciiTheme="minorHAnsi" w:hAnsiTheme="minorHAnsi" w:cstheme="minorHAnsi"/>
          <w:sz w:val="24"/>
          <w:szCs w:val="24"/>
        </w:rPr>
        <w:t xml:space="preserve"> the Diet and Nutrition Survey of Infants and Young Children (DNSIYC) and the National Di</w:t>
      </w:r>
      <w:r w:rsidR="007726B3">
        <w:rPr>
          <w:rFonts w:asciiTheme="minorHAnsi" w:hAnsiTheme="minorHAnsi" w:cstheme="minorHAnsi"/>
          <w:sz w:val="24"/>
          <w:szCs w:val="24"/>
        </w:rPr>
        <w:t>et and Nutrition Survey (NDNS</w:t>
      </w:r>
      <w:proofErr w:type="gramStart"/>
      <w:r w:rsidR="007726B3">
        <w:rPr>
          <w:rFonts w:asciiTheme="minorHAnsi" w:hAnsiTheme="minorHAnsi" w:cstheme="minorHAnsi"/>
          <w:sz w:val="24"/>
          <w:szCs w:val="24"/>
        </w:rPr>
        <w:t>).</w:t>
      </w:r>
      <w:r w:rsidRPr="00062830">
        <w:rPr>
          <w:rFonts w:asciiTheme="minorHAnsi" w:hAnsiTheme="minorHAnsi" w:cstheme="minorHAnsi"/>
          <w:sz w:val="24"/>
          <w:szCs w:val="24"/>
        </w:rPr>
        <w:t>The</w:t>
      </w:r>
      <w:proofErr w:type="gramEnd"/>
      <w:r w:rsidRPr="00062830">
        <w:rPr>
          <w:rFonts w:asciiTheme="minorHAnsi" w:hAnsiTheme="minorHAnsi" w:cstheme="minorHAnsi"/>
          <w:sz w:val="24"/>
          <w:szCs w:val="24"/>
        </w:rPr>
        <w:t xml:space="preserve"> DNSIYC and the latest NDNS indicate that children in the UK are exceeding current UK government recommendations for dietary energy, protein, saturated fats and free sugars while not meeting recommendations for dietary fibre.</w:t>
      </w:r>
      <w:r w:rsidR="001C6BBA">
        <w:rPr>
          <w:rStyle w:val="EndnoteReference"/>
          <w:rFonts w:asciiTheme="minorHAnsi" w:hAnsiTheme="minorHAnsi" w:cstheme="minorHAnsi"/>
          <w:sz w:val="24"/>
          <w:szCs w:val="24"/>
        </w:rPr>
        <w:endnoteReference w:id="10"/>
      </w:r>
    </w:p>
    <w:p w14:paraId="4CD7F4E7" w14:textId="77777777" w:rsidR="00062830" w:rsidRPr="00062830" w:rsidRDefault="00062830" w:rsidP="00F8725A">
      <w:pPr>
        <w:spacing w:line="276" w:lineRule="auto"/>
        <w:ind w:left="567"/>
        <w:jc w:val="both"/>
        <w:rPr>
          <w:rFonts w:asciiTheme="minorHAnsi" w:hAnsiTheme="minorHAnsi" w:cstheme="minorHAnsi"/>
          <w:sz w:val="24"/>
          <w:szCs w:val="24"/>
        </w:rPr>
      </w:pPr>
    </w:p>
    <w:p w14:paraId="5848ED33" w14:textId="3E3368F4" w:rsidR="00062830" w:rsidRPr="00217DA2" w:rsidRDefault="00062830" w:rsidP="00F8725A">
      <w:pPr>
        <w:spacing w:line="276" w:lineRule="auto"/>
        <w:ind w:left="567"/>
        <w:jc w:val="both"/>
        <w:rPr>
          <w:rFonts w:asciiTheme="minorHAnsi" w:hAnsiTheme="minorHAnsi" w:cstheme="minorHAnsi"/>
          <w:sz w:val="24"/>
          <w:szCs w:val="24"/>
        </w:rPr>
      </w:pPr>
      <w:r w:rsidRPr="00062830">
        <w:rPr>
          <w:rFonts w:asciiTheme="minorHAnsi" w:hAnsiTheme="minorHAnsi" w:cstheme="minorHAnsi"/>
          <w:sz w:val="24"/>
          <w:szCs w:val="24"/>
        </w:rPr>
        <w:t xml:space="preserve">Tackling overconsumption of free sugar </w:t>
      </w:r>
      <w:proofErr w:type="gramStart"/>
      <w:r w:rsidRPr="00062830">
        <w:rPr>
          <w:rFonts w:asciiTheme="minorHAnsi" w:hAnsiTheme="minorHAnsi" w:cstheme="minorHAnsi"/>
          <w:sz w:val="24"/>
          <w:szCs w:val="24"/>
        </w:rPr>
        <w:t>has to</w:t>
      </w:r>
      <w:proofErr w:type="gramEnd"/>
      <w:r w:rsidRPr="00062830">
        <w:rPr>
          <w:rFonts w:asciiTheme="minorHAnsi" w:hAnsiTheme="minorHAnsi" w:cstheme="minorHAnsi"/>
          <w:sz w:val="24"/>
          <w:szCs w:val="24"/>
        </w:rPr>
        <w:t xml:space="preserve"> </w:t>
      </w:r>
      <w:r w:rsidR="000771F7">
        <w:rPr>
          <w:rFonts w:asciiTheme="minorHAnsi" w:hAnsiTheme="minorHAnsi" w:cstheme="minorHAnsi"/>
          <w:sz w:val="24"/>
          <w:szCs w:val="24"/>
        </w:rPr>
        <w:t>now be</w:t>
      </w:r>
      <w:r w:rsidRPr="00062830">
        <w:rPr>
          <w:rFonts w:asciiTheme="minorHAnsi" w:hAnsiTheme="minorHAnsi" w:cstheme="minorHAnsi"/>
          <w:sz w:val="24"/>
          <w:szCs w:val="24"/>
        </w:rPr>
        <w:t xml:space="preserve"> a mainstream public health prior</w:t>
      </w:r>
      <w:r w:rsidR="00427AB6">
        <w:rPr>
          <w:rFonts w:asciiTheme="minorHAnsi" w:hAnsiTheme="minorHAnsi" w:cstheme="minorHAnsi"/>
          <w:sz w:val="24"/>
          <w:szCs w:val="24"/>
        </w:rPr>
        <w:t>ity. Evidence from studies show</w:t>
      </w:r>
      <w:r w:rsidRPr="00062830">
        <w:rPr>
          <w:rFonts w:asciiTheme="minorHAnsi" w:hAnsiTheme="minorHAnsi" w:cstheme="minorHAnsi"/>
          <w:sz w:val="24"/>
          <w:szCs w:val="24"/>
        </w:rPr>
        <w:t xml:space="preserve"> that, despite the protection offered by fluoride (for example through programmes </w:t>
      </w:r>
      <w:r w:rsidR="00734002">
        <w:rPr>
          <w:rFonts w:asciiTheme="minorHAnsi" w:hAnsiTheme="minorHAnsi" w:cstheme="minorHAnsi"/>
          <w:sz w:val="24"/>
          <w:szCs w:val="24"/>
        </w:rPr>
        <w:t>like Designed to Smile</w:t>
      </w:r>
      <w:r w:rsidRPr="00062830">
        <w:rPr>
          <w:rFonts w:asciiTheme="minorHAnsi" w:hAnsiTheme="minorHAnsi" w:cstheme="minorHAnsi"/>
          <w:sz w:val="24"/>
          <w:szCs w:val="24"/>
        </w:rPr>
        <w:t xml:space="preserve">), the relationship between sugars and dental caries </w:t>
      </w:r>
      <w:r w:rsidR="00217DA2">
        <w:rPr>
          <w:rFonts w:asciiTheme="minorHAnsi" w:hAnsiTheme="minorHAnsi" w:cstheme="minorHAnsi"/>
          <w:sz w:val="24"/>
          <w:szCs w:val="24"/>
        </w:rPr>
        <w:t>remains.</w:t>
      </w:r>
      <w:r w:rsidR="00BD3EF5">
        <w:rPr>
          <w:rFonts w:asciiTheme="minorHAnsi" w:hAnsiTheme="minorHAnsi" w:cstheme="minorHAnsi"/>
          <w:sz w:val="24"/>
          <w:szCs w:val="24"/>
          <w:vertAlign w:val="superscript"/>
        </w:rPr>
        <w:t>10</w:t>
      </w:r>
      <w:r w:rsidR="00217DA2">
        <w:rPr>
          <w:rFonts w:asciiTheme="minorHAnsi" w:hAnsiTheme="minorHAnsi" w:cstheme="minorHAnsi"/>
          <w:sz w:val="24"/>
          <w:szCs w:val="24"/>
        </w:rPr>
        <w:t xml:space="preserve"> </w:t>
      </w:r>
      <w:r w:rsidRPr="00062830">
        <w:rPr>
          <w:rFonts w:asciiTheme="minorHAnsi" w:hAnsiTheme="minorHAnsi" w:cstheme="minorHAnsi"/>
          <w:sz w:val="24"/>
          <w:szCs w:val="24"/>
        </w:rPr>
        <w:t>The high burden of tooth decay in the population across the life course with disproportionate amount present in people living in deprived areas in Wales cannot</w:t>
      </w:r>
      <w:r w:rsidR="000771F7">
        <w:rPr>
          <w:rFonts w:asciiTheme="minorHAnsi" w:hAnsiTheme="minorHAnsi" w:cstheme="minorHAnsi"/>
          <w:sz w:val="24"/>
          <w:szCs w:val="24"/>
        </w:rPr>
        <w:t xml:space="preserve"> be</w:t>
      </w:r>
      <w:r w:rsidRPr="00062830">
        <w:rPr>
          <w:rFonts w:asciiTheme="minorHAnsi" w:hAnsiTheme="minorHAnsi" w:cstheme="minorHAnsi"/>
          <w:sz w:val="24"/>
          <w:szCs w:val="24"/>
        </w:rPr>
        <w:t xml:space="preserve"> tackled by </w:t>
      </w:r>
      <w:r w:rsidR="00734002">
        <w:rPr>
          <w:rFonts w:asciiTheme="minorHAnsi" w:hAnsiTheme="minorHAnsi" w:cstheme="minorHAnsi"/>
          <w:sz w:val="24"/>
          <w:szCs w:val="24"/>
        </w:rPr>
        <w:t xml:space="preserve">an </w:t>
      </w:r>
      <w:r w:rsidRPr="00062830">
        <w:rPr>
          <w:rFonts w:asciiTheme="minorHAnsi" w:hAnsiTheme="minorHAnsi" w:cstheme="minorHAnsi"/>
          <w:sz w:val="24"/>
          <w:szCs w:val="24"/>
        </w:rPr>
        <w:t xml:space="preserve">individual personal responsibility approach of focussing on educating patients </w:t>
      </w:r>
      <w:r w:rsidR="00734002">
        <w:rPr>
          <w:rFonts w:asciiTheme="minorHAnsi" w:hAnsiTheme="minorHAnsi" w:cstheme="minorHAnsi"/>
          <w:sz w:val="24"/>
          <w:szCs w:val="24"/>
        </w:rPr>
        <w:t xml:space="preserve">about </w:t>
      </w:r>
      <w:r w:rsidRPr="00062830">
        <w:rPr>
          <w:rFonts w:asciiTheme="minorHAnsi" w:hAnsiTheme="minorHAnsi" w:cstheme="minorHAnsi"/>
          <w:sz w:val="24"/>
          <w:szCs w:val="24"/>
        </w:rPr>
        <w:t xml:space="preserve">risk behaviours without considering how social and commercial determinants of health shape these behaviours.   </w:t>
      </w:r>
    </w:p>
    <w:p w14:paraId="1066E913" w14:textId="77777777" w:rsidR="00F719A9" w:rsidRDefault="00F719A9" w:rsidP="00F8725A">
      <w:pPr>
        <w:spacing w:line="276" w:lineRule="auto"/>
        <w:ind w:left="567"/>
        <w:jc w:val="both"/>
        <w:rPr>
          <w:rFonts w:asciiTheme="minorHAnsi" w:hAnsiTheme="minorHAnsi" w:cstheme="minorHAnsi"/>
          <w:sz w:val="24"/>
          <w:szCs w:val="24"/>
        </w:rPr>
      </w:pPr>
    </w:p>
    <w:p w14:paraId="77C0BFB7" w14:textId="444F60C8" w:rsidR="00062830" w:rsidRPr="00062830" w:rsidRDefault="00062830" w:rsidP="00F8725A">
      <w:pPr>
        <w:spacing w:line="276" w:lineRule="auto"/>
        <w:ind w:left="567"/>
        <w:jc w:val="both"/>
        <w:rPr>
          <w:rFonts w:asciiTheme="minorHAnsi" w:hAnsiTheme="minorHAnsi" w:cstheme="minorHAnsi"/>
          <w:sz w:val="24"/>
          <w:szCs w:val="24"/>
        </w:rPr>
      </w:pPr>
      <w:r w:rsidRPr="00062830">
        <w:rPr>
          <w:rFonts w:asciiTheme="minorHAnsi" w:hAnsiTheme="minorHAnsi" w:cstheme="minorHAnsi"/>
          <w:sz w:val="24"/>
          <w:szCs w:val="24"/>
        </w:rPr>
        <w:t>Wales has a good legislative landscape including</w:t>
      </w:r>
      <w:r w:rsidR="000771F7">
        <w:rPr>
          <w:rFonts w:asciiTheme="minorHAnsi" w:hAnsiTheme="minorHAnsi" w:cstheme="minorHAnsi"/>
          <w:sz w:val="24"/>
          <w:szCs w:val="24"/>
        </w:rPr>
        <w:t xml:space="preserve"> the Well-being of</w:t>
      </w:r>
      <w:r w:rsidRPr="00062830">
        <w:rPr>
          <w:rFonts w:asciiTheme="minorHAnsi" w:hAnsiTheme="minorHAnsi" w:cstheme="minorHAnsi"/>
          <w:sz w:val="24"/>
          <w:szCs w:val="24"/>
        </w:rPr>
        <w:t xml:space="preserve"> Future Generations</w:t>
      </w:r>
      <w:r w:rsidR="00FB15DD">
        <w:rPr>
          <w:rFonts w:asciiTheme="minorHAnsi" w:hAnsiTheme="minorHAnsi" w:cstheme="minorHAnsi"/>
          <w:sz w:val="24"/>
          <w:szCs w:val="24"/>
        </w:rPr>
        <w:t xml:space="preserve"> (Wales)</w:t>
      </w:r>
      <w:r w:rsidRPr="00062830">
        <w:rPr>
          <w:rFonts w:asciiTheme="minorHAnsi" w:hAnsiTheme="minorHAnsi" w:cstheme="minorHAnsi"/>
          <w:sz w:val="24"/>
          <w:szCs w:val="24"/>
        </w:rPr>
        <w:t xml:space="preserve"> Act</w:t>
      </w:r>
      <w:r w:rsidR="00FB15DD">
        <w:rPr>
          <w:rFonts w:asciiTheme="minorHAnsi" w:hAnsiTheme="minorHAnsi" w:cstheme="minorHAnsi"/>
          <w:sz w:val="24"/>
          <w:szCs w:val="24"/>
        </w:rPr>
        <w:t xml:space="preserve"> 2015</w:t>
      </w:r>
      <w:r w:rsidRPr="00062830">
        <w:rPr>
          <w:rFonts w:asciiTheme="minorHAnsi" w:hAnsiTheme="minorHAnsi" w:cstheme="minorHAnsi"/>
          <w:sz w:val="24"/>
          <w:szCs w:val="24"/>
        </w:rPr>
        <w:t xml:space="preserve">, Public Health (Wales) Act 2017, A More Equal </w:t>
      </w:r>
      <w:r w:rsidR="00217DA2" w:rsidRPr="00062830">
        <w:rPr>
          <w:rFonts w:asciiTheme="minorHAnsi" w:hAnsiTheme="minorHAnsi" w:cstheme="minorHAnsi"/>
          <w:sz w:val="24"/>
          <w:szCs w:val="24"/>
        </w:rPr>
        <w:t xml:space="preserve">Wales: </w:t>
      </w:r>
      <w:proofErr w:type="gramStart"/>
      <w:r w:rsidR="00217DA2" w:rsidRPr="00062830">
        <w:rPr>
          <w:rFonts w:asciiTheme="minorHAnsi" w:hAnsiTheme="minorHAnsi" w:cstheme="minorHAnsi"/>
          <w:sz w:val="24"/>
          <w:szCs w:val="24"/>
        </w:rPr>
        <w:t>the</w:t>
      </w:r>
      <w:proofErr w:type="gramEnd"/>
      <w:r w:rsidR="00217DA2">
        <w:rPr>
          <w:rFonts w:asciiTheme="minorHAnsi" w:hAnsiTheme="minorHAnsi" w:cstheme="minorHAnsi"/>
          <w:sz w:val="24"/>
          <w:szCs w:val="24"/>
        </w:rPr>
        <w:t xml:space="preserve"> Socioeconomic Duty, </w:t>
      </w:r>
      <w:r w:rsidRPr="00062830">
        <w:rPr>
          <w:rFonts w:asciiTheme="minorHAnsi" w:hAnsiTheme="minorHAnsi" w:cstheme="minorHAnsi"/>
          <w:sz w:val="24"/>
          <w:szCs w:val="24"/>
        </w:rPr>
        <w:t xml:space="preserve">to improve health, including oral health, and reduce inequalities. </w:t>
      </w:r>
      <w:r w:rsidR="00FB15DD">
        <w:rPr>
          <w:rFonts w:asciiTheme="minorHAnsi" w:hAnsiTheme="minorHAnsi" w:cstheme="minorHAnsi"/>
          <w:sz w:val="24"/>
          <w:szCs w:val="24"/>
        </w:rPr>
        <w:t>The</w:t>
      </w:r>
      <w:r w:rsidR="00FB15DD" w:rsidRPr="00FB15DD">
        <w:rPr>
          <w:rFonts w:asciiTheme="minorHAnsi" w:hAnsiTheme="minorHAnsi" w:cstheme="minorHAnsi"/>
          <w:sz w:val="24"/>
          <w:szCs w:val="24"/>
        </w:rPr>
        <w:t xml:space="preserve"> </w:t>
      </w:r>
      <w:r w:rsidR="00FB15DD">
        <w:rPr>
          <w:rFonts w:asciiTheme="minorHAnsi" w:hAnsiTheme="minorHAnsi" w:cstheme="minorHAnsi"/>
          <w:sz w:val="24"/>
          <w:szCs w:val="24"/>
        </w:rPr>
        <w:t xml:space="preserve">sustainable approach within the </w:t>
      </w:r>
      <w:r w:rsidR="00FB15DD" w:rsidRPr="00FB15DD">
        <w:rPr>
          <w:rFonts w:asciiTheme="minorHAnsi" w:hAnsiTheme="minorHAnsi" w:cstheme="minorHAnsi"/>
          <w:sz w:val="24"/>
          <w:szCs w:val="24"/>
        </w:rPr>
        <w:t>Well-being of Future Generations (Wales) Act 2015</w:t>
      </w:r>
      <w:r w:rsidR="00FB15DD">
        <w:rPr>
          <w:rFonts w:asciiTheme="minorHAnsi" w:hAnsiTheme="minorHAnsi" w:cstheme="minorHAnsi"/>
          <w:sz w:val="24"/>
          <w:szCs w:val="24"/>
        </w:rPr>
        <w:t xml:space="preserve"> also</w:t>
      </w:r>
      <w:r w:rsidR="00FB15DD" w:rsidRPr="00FB15DD">
        <w:rPr>
          <w:rFonts w:asciiTheme="minorHAnsi" w:hAnsiTheme="minorHAnsi" w:cstheme="minorHAnsi"/>
          <w:sz w:val="24"/>
          <w:szCs w:val="24"/>
        </w:rPr>
        <w:t xml:space="preserve"> requires policymakers to take a long-term view so that their decisions do not impact negatively on future generations.</w:t>
      </w:r>
    </w:p>
    <w:p w14:paraId="310F073F" w14:textId="77777777" w:rsidR="00217DA2" w:rsidRDefault="00217DA2" w:rsidP="00F8725A">
      <w:pPr>
        <w:spacing w:line="276" w:lineRule="auto"/>
        <w:ind w:left="567"/>
        <w:jc w:val="both"/>
        <w:rPr>
          <w:rFonts w:asciiTheme="minorHAnsi" w:hAnsiTheme="minorHAnsi" w:cstheme="minorHAnsi"/>
          <w:sz w:val="24"/>
          <w:szCs w:val="24"/>
        </w:rPr>
      </w:pPr>
    </w:p>
    <w:p w14:paraId="3887B90E" w14:textId="373977A9" w:rsidR="00062830" w:rsidRPr="00062830" w:rsidRDefault="00062830" w:rsidP="00F8725A">
      <w:pPr>
        <w:spacing w:line="276" w:lineRule="auto"/>
        <w:ind w:left="567"/>
        <w:jc w:val="both"/>
        <w:rPr>
          <w:rFonts w:asciiTheme="minorHAnsi" w:hAnsiTheme="minorHAnsi" w:cstheme="minorHAnsi"/>
          <w:sz w:val="24"/>
          <w:szCs w:val="24"/>
        </w:rPr>
      </w:pPr>
      <w:r w:rsidRPr="00062830">
        <w:rPr>
          <w:rFonts w:asciiTheme="minorHAnsi" w:hAnsiTheme="minorHAnsi" w:cstheme="minorHAnsi"/>
          <w:sz w:val="24"/>
          <w:szCs w:val="24"/>
        </w:rPr>
        <w:t>Reduction in smoking prevalence</w:t>
      </w:r>
      <w:r w:rsidR="006F4F7D">
        <w:rPr>
          <w:rFonts w:asciiTheme="minorHAnsi" w:hAnsiTheme="minorHAnsi" w:cstheme="minorHAnsi"/>
          <w:sz w:val="24"/>
          <w:szCs w:val="24"/>
        </w:rPr>
        <w:t xml:space="preserve"> as per Tobacco Control Strategy for Wales</w:t>
      </w:r>
      <w:r w:rsidR="006F4F7D">
        <w:rPr>
          <w:rStyle w:val="EndnoteReference"/>
          <w:rFonts w:asciiTheme="minorHAnsi" w:hAnsiTheme="minorHAnsi" w:cstheme="minorHAnsi"/>
          <w:sz w:val="24"/>
          <w:szCs w:val="24"/>
        </w:rPr>
        <w:endnoteReference w:id="11"/>
      </w:r>
      <w:r w:rsidR="006F4F7D">
        <w:rPr>
          <w:rFonts w:asciiTheme="minorHAnsi" w:hAnsiTheme="minorHAnsi" w:cstheme="minorHAnsi"/>
          <w:sz w:val="24"/>
          <w:szCs w:val="24"/>
        </w:rPr>
        <w:t xml:space="preserve"> </w:t>
      </w:r>
      <w:r w:rsidRPr="00062830">
        <w:rPr>
          <w:rFonts w:asciiTheme="minorHAnsi" w:hAnsiTheme="minorHAnsi" w:cstheme="minorHAnsi"/>
          <w:sz w:val="24"/>
          <w:szCs w:val="24"/>
        </w:rPr>
        <w:t xml:space="preserve">and any impact of Minimum Pricing on Alcohol (MPA) in reducing harmful drinking should also contribute towards improving oral health. </w:t>
      </w:r>
      <w:r w:rsidR="002C1B68">
        <w:rPr>
          <w:rFonts w:asciiTheme="minorHAnsi" w:hAnsiTheme="minorHAnsi" w:cstheme="minorHAnsi"/>
          <w:sz w:val="24"/>
          <w:szCs w:val="24"/>
        </w:rPr>
        <w:t>If m</w:t>
      </w:r>
      <w:r w:rsidRPr="00062830">
        <w:rPr>
          <w:rFonts w:asciiTheme="minorHAnsi" w:hAnsiTheme="minorHAnsi" w:cstheme="minorHAnsi"/>
          <w:sz w:val="24"/>
          <w:szCs w:val="24"/>
        </w:rPr>
        <w:t>any action</w:t>
      </w:r>
      <w:r w:rsidR="002C1B68">
        <w:rPr>
          <w:rFonts w:asciiTheme="minorHAnsi" w:hAnsiTheme="minorHAnsi" w:cstheme="minorHAnsi"/>
          <w:sz w:val="24"/>
          <w:szCs w:val="24"/>
        </w:rPr>
        <w:t>s</w:t>
      </w:r>
      <w:r w:rsidRPr="00062830">
        <w:rPr>
          <w:rFonts w:asciiTheme="minorHAnsi" w:hAnsiTheme="minorHAnsi" w:cstheme="minorHAnsi"/>
          <w:sz w:val="24"/>
          <w:szCs w:val="24"/>
        </w:rPr>
        <w:t xml:space="preserve"> included on the Healthy Weight Healthy Wales Strategy</w:t>
      </w:r>
      <w:r w:rsidR="001C6BBA">
        <w:rPr>
          <w:rStyle w:val="EndnoteReference"/>
          <w:rFonts w:asciiTheme="minorHAnsi" w:hAnsiTheme="minorHAnsi" w:cstheme="minorHAnsi"/>
          <w:sz w:val="24"/>
          <w:szCs w:val="24"/>
        </w:rPr>
        <w:endnoteReference w:id="12"/>
      </w:r>
      <w:r w:rsidR="002C1B68">
        <w:rPr>
          <w:rFonts w:asciiTheme="minorHAnsi" w:hAnsiTheme="minorHAnsi" w:cstheme="minorHAnsi"/>
          <w:sz w:val="24"/>
          <w:szCs w:val="24"/>
        </w:rPr>
        <w:t xml:space="preserve"> and priority action plan were </w:t>
      </w:r>
      <w:r w:rsidRPr="00062830">
        <w:rPr>
          <w:rFonts w:asciiTheme="minorHAnsi" w:hAnsiTheme="minorHAnsi" w:cstheme="minorHAnsi"/>
          <w:sz w:val="24"/>
          <w:szCs w:val="24"/>
        </w:rPr>
        <w:t>successfu</w:t>
      </w:r>
      <w:r w:rsidR="002C1B68">
        <w:rPr>
          <w:rFonts w:asciiTheme="minorHAnsi" w:hAnsiTheme="minorHAnsi" w:cstheme="minorHAnsi"/>
          <w:sz w:val="24"/>
          <w:szCs w:val="24"/>
        </w:rPr>
        <w:t xml:space="preserve">l in achieving </w:t>
      </w:r>
      <w:r w:rsidR="002C1B68">
        <w:rPr>
          <w:rFonts w:asciiTheme="minorHAnsi" w:hAnsiTheme="minorHAnsi" w:cstheme="minorHAnsi"/>
          <w:sz w:val="24"/>
          <w:szCs w:val="24"/>
        </w:rPr>
        <w:lastRenderedPageBreak/>
        <w:t xml:space="preserve">their objectives, they </w:t>
      </w:r>
      <w:r w:rsidRPr="00062830">
        <w:rPr>
          <w:rFonts w:asciiTheme="minorHAnsi" w:hAnsiTheme="minorHAnsi" w:cstheme="minorHAnsi"/>
          <w:sz w:val="24"/>
          <w:szCs w:val="24"/>
        </w:rPr>
        <w:t xml:space="preserve">should also </w:t>
      </w:r>
      <w:r w:rsidR="002C1B68">
        <w:rPr>
          <w:rFonts w:asciiTheme="minorHAnsi" w:hAnsiTheme="minorHAnsi" w:cstheme="minorHAnsi"/>
          <w:sz w:val="24"/>
          <w:szCs w:val="24"/>
        </w:rPr>
        <w:t>contribute towards</w:t>
      </w:r>
      <w:r w:rsidRPr="00062830">
        <w:rPr>
          <w:rFonts w:asciiTheme="minorHAnsi" w:hAnsiTheme="minorHAnsi" w:cstheme="minorHAnsi"/>
          <w:sz w:val="24"/>
          <w:szCs w:val="24"/>
        </w:rPr>
        <w:t xml:space="preserve"> </w:t>
      </w:r>
      <w:r w:rsidR="002C1B68">
        <w:rPr>
          <w:rFonts w:asciiTheme="minorHAnsi" w:hAnsiTheme="minorHAnsi" w:cstheme="minorHAnsi"/>
          <w:sz w:val="24"/>
          <w:szCs w:val="24"/>
        </w:rPr>
        <w:t xml:space="preserve">oral health improvement. </w:t>
      </w:r>
      <w:r w:rsidR="00734002">
        <w:rPr>
          <w:rFonts w:asciiTheme="minorHAnsi" w:hAnsiTheme="minorHAnsi" w:cstheme="minorHAnsi"/>
          <w:sz w:val="24"/>
          <w:szCs w:val="24"/>
        </w:rPr>
        <w:t>The f</w:t>
      </w:r>
      <w:r w:rsidR="002C1B68">
        <w:rPr>
          <w:rFonts w:asciiTheme="minorHAnsi" w:hAnsiTheme="minorHAnsi" w:cstheme="minorHAnsi"/>
          <w:sz w:val="24"/>
          <w:szCs w:val="24"/>
        </w:rPr>
        <w:t>ollowing objectives are directly relevant for oral health:</w:t>
      </w:r>
    </w:p>
    <w:p w14:paraId="49D330EB" w14:textId="29E7698A" w:rsidR="00062830" w:rsidRPr="00062830" w:rsidRDefault="00062830" w:rsidP="00F8725A">
      <w:pPr>
        <w:numPr>
          <w:ilvl w:val="3"/>
          <w:numId w:val="1"/>
        </w:numPr>
        <w:spacing w:line="276" w:lineRule="auto"/>
        <w:ind w:left="1491" w:hanging="357"/>
        <w:jc w:val="both"/>
        <w:rPr>
          <w:rFonts w:asciiTheme="minorHAnsi" w:hAnsiTheme="minorHAnsi" w:cstheme="minorHAnsi"/>
          <w:sz w:val="24"/>
          <w:szCs w:val="24"/>
        </w:rPr>
      </w:pPr>
      <w:r w:rsidRPr="00062830">
        <w:rPr>
          <w:rFonts w:asciiTheme="minorHAnsi" w:hAnsiTheme="minorHAnsi" w:cstheme="minorHAnsi"/>
          <w:sz w:val="24"/>
          <w:szCs w:val="24"/>
        </w:rPr>
        <w:t xml:space="preserve">Shaping the food and drink environment towards sustainable and healthier options </w:t>
      </w:r>
      <w:r w:rsidR="00734002">
        <w:rPr>
          <w:rFonts w:asciiTheme="minorHAnsi" w:hAnsiTheme="minorHAnsi" w:cstheme="minorHAnsi"/>
          <w:sz w:val="24"/>
          <w:szCs w:val="24"/>
        </w:rPr>
        <w:t xml:space="preserve">being </w:t>
      </w:r>
      <w:r w:rsidRPr="00062830">
        <w:rPr>
          <w:rFonts w:asciiTheme="minorHAnsi" w:hAnsiTheme="minorHAnsi" w:cstheme="minorHAnsi"/>
          <w:sz w:val="24"/>
          <w:szCs w:val="24"/>
        </w:rPr>
        <w:t>easy option</w:t>
      </w:r>
      <w:r w:rsidR="00734002">
        <w:rPr>
          <w:rFonts w:asciiTheme="minorHAnsi" w:hAnsiTheme="minorHAnsi" w:cstheme="minorHAnsi"/>
          <w:sz w:val="24"/>
          <w:szCs w:val="24"/>
        </w:rPr>
        <w:t>s</w:t>
      </w:r>
      <w:r w:rsidRPr="00062830">
        <w:rPr>
          <w:rFonts w:asciiTheme="minorHAnsi" w:hAnsiTheme="minorHAnsi" w:cstheme="minorHAnsi"/>
          <w:sz w:val="24"/>
          <w:szCs w:val="24"/>
        </w:rPr>
        <w:t xml:space="preserve">,  </w:t>
      </w:r>
    </w:p>
    <w:p w14:paraId="46087140" w14:textId="77777777" w:rsidR="00062830" w:rsidRPr="00062830" w:rsidRDefault="00062830" w:rsidP="00F8725A">
      <w:pPr>
        <w:numPr>
          <w:ilvl w:val="3"/>
          <w:numId w:val="1"/>
        </w:numPr>
        <w:spacing w:line="276" w:lineRule="auto"/>
        <w:ind w:left="1491" w:hanging="357"/>
        <w:jc w:val="both"/>
        <w:rPr>
          <w:rFonts w:asciiTheme="minorHAnsi" w:hAnsiTheme="minorHAnsi" w:cstheme="minorHAnsi"/>
          <w:sz w:val="24"/>
          <w:szCs w:val="24"/>
        </w:rPr>
      </w:pPr>
      <w:r w:rsidRPr="00062830">
        <w:rPr>
          <w:rFonts w:asciiTheme="minorHAnsi" w:hAnsiTheme="minorHAnsi" w:cstheme="minorHAnsi"/>
          <w:sz w:val="24"/>
          <w:szCs w:val="24"/>
        </w:rPr>
        <w:t>Promoting and supporting families to provide the best start in life, from pre-pregnancy to early years</w:t>
      </w:r>
    </w:p>
    <w:p w14:paraId="4E9AC38F" w14:textId="7A7C1AAB" w:rsidR="00062830" w:rsidRPr="00734002" w:rsidRDefault="00062830" w:rsidP="00734002">
      <w:pPr>
        <w:numPr>
          <w:ilvl w:val="3"/>
          <w:numId w:val="1"/>
        </w:numPr>
        <w:spacing w:line="276" w:lineRule="auto"/>
        <w:ind w:left="1491" w:hanging="357"/>
        <w:jc w:val="both"/>
        <w:rPr>
          <w:rFonts w:asciiTheme="minorHAnsi" w:hAnsiTheme="minorHAnsi" w:cstheme="minorHAnsi"/>
          <w:sz w:val="24"/>
          <w:szCs w:val="24"/>
        </w:rPr>
      </w:pPr>
      <w:r w:rsidRPr="00062830">
        <w:rPr>
          <w:rFonts w:asciiTheme="minorHAnsi" w:hAnsiTheme="minorHAnsi" w:cstheme="minorHAnsi"/>
          <w:sz w:val="24"/>
          <w:szCs w:val="24"/>
        </w:rPr>
        <w:t>Enable our education settings to be places where physical and mental health remains a priority</w:t>
      </w:r>
    </w:p>
    <w:p w14:paraId="224D3678" w14:textId="77777777" w:rsidR="00062830" w:rsidRPr="00062830" w:rsidRDefault="00062830" w:rsidP="00F8725A">
      <w:pPr>
        <w:numPr>
          <w:ilvl w:val="3"/>
          <w:numId w:val="1"/>
        </w:numPr>
        <w:spacing w:line="276" w:lineRule="auto"/>
        <w:ind w:left="1491" w:hanging="357"/>
        <w:jc w:val="both"/>
        <w:rPr>
          <w:rFonts w:asciiTheme="minorHAnsi" w:hAnsiTheme="minorHAnsi" w:cstheme="minorHAnsi"/>
          <w:sz w:val="24"/>
          <w:szCs w:val="24"/>
        </w:rPr>
      </w:pPr>
      <w:r w:rsidRPr="00062830">
        <w:rPr>
          <w:rFonts w:asciiTheme="minorHAnsi" w:hAnsiTheme="minorHAnsi" w:cstheme="minorHAnsi"/>
          <w:sz w:val="24"/>
          <w:szCs w:val="24"/>
        </w:rPr>
        <w:t xml:space="preserve">Removing barriers to reduce diet and health inequalities across the population </w:t>
      </w:r>
    </w:p>
    <w:p w14:paraId="072F5431" w14:textId="6F9A663A" w:rsidR="00062830" w:rsidRPr="00062830" w:rsidRDefault="00062830" w:rsidP="00F8725A">
      <w:pPr>
        <w:spacing w:line="276" w:lineRule="auto"/>
        <w:ind w:left="567"/>
        <w:jc w:val="both"/>
        <w:rPr>
          <w:rFonts w:asciiTheme="minorHAnsi" w:hAnsiTheme="minorHAnsi" w:cstheme="minorHAnsi"/>
          <w:sz w:val="24"/>
          <w:szCs w:val="24"/>
        </w:rPr>
      </w:pPr>
    </w:p>
    <w:p w14:paraId="2C6DA59F" w14:textId="558EBCFF" w:rsidR="00062830" w:rsidRPr="00062830" w:rsidRDefault="00062830" w:rsidP="00F8725A">
      <w:pPr>
        <w:spacing w:line="276" w:lineRule="auto"/>
        <w:ind w:left="567"/>
        <w:jc w:val="both"/>
        <w:rPr>
          <w:rFonts w:asciiTheme="minorHAnsi" w:hAnsiTheme="minorHAnsi" w:cstheme="minorHAnsi"/>
          <w:sz w:val="24"/>
          <w:szCs w:val="24"/>
        </w:rPr>
      </w:pPr>
      <w:r w:rsidRPr="00062830">
        <w:rPr>
          <w:rFonts w:asciiTheme="minorHAnsi" w:hAnsiTheme="minorHAnsi" w:cstheme="minorHAnsi"/>
          <w:sz w:val="24"/>
          <w:szCs w:val="24"/>
        </w:rPr>
        <w:t>It remains to be seen if pr</w:t>
      </w:r>
      <w:r w:rsidR="00734002">
        <w:rPr>
          <w:rFonts w:asciiTheme="minorHAnsi" w:hAnsiTheme="minorHAnsi" w:cstheme="minorHAnsi"/>
          <w:sz w:val="24"/>
          <w:szCs w:val="24"/>
        </w:rPr>
        <w:t>ogrammes like Healthy Weight</w:t>
      </w:r>
      <w:r w:rsidRPr="00062830">
        <w:rPr>
          <w:rFonts w:asciiTheme="minorHAnsi" w:hAnsiTheme="minorHAnsi" w:cstheme="minorHAnsi"/>
          <w:sz w:val="24"/>
          <w:szCs w:val="24"/>
        </w:rPr>
        <w:t xml:space="preserve"> Healthy Wales and </w:t>
      </w:r>
      <w:r w:rsidR="007213F7">
        <w:rPr>
          <w:rFonts w:asciiTheme="minorHAnsi" w:hAnsiTheme="minorHAnsi" w:cstheme="minorHAnsi"/>
          <w:sz w:val="24"/>
          <w:szCs w:val="24"/>
        </w:rPr>
        <w:t>legislative interventions like</w:t>
      </w:r>
      <w:r w:rsidRPr="00062830">
        <w:rPr>
          <w:rFonts w:asciiTheme="minorHAnsi" w:hAnsiTheme="minorHAnsi" w:cstheme="minorHAnsi"/>
          <w:sz w:val="24"/>
          <w:szCs w:val="24"/>
        </w:rPr>
        <w:t xml:space="preserve"> tax on sugar sweetened beverages</w:t>
      </w:r>
      <w:r w:rsidR="00F9066F">
        <w:rPr>
          <w:rFonts w:asciiTheme="minorHAnsi" w:hAnsiTheme="minorHAnsi" w:cstheme="minorHAnsi"/>
          <w:sz w:val="24"/>
          <w:szCs w:val="24"/>
        </w:rPr>
        <w:t xml:space="preserve"> (SSB)</w:t>
      </w:r>
      <w:r w:rsidRPr="00062830">
        <w:rPr>
          <w:rFonts w:asciiTheme="minorHAnsi" w:hAnsiTheme="minorHAnsi" w:cstheme="minorHAnsi"/>
          <w:sz w:val="24"/>
          <w:szCs w:val="24"/>
        </w:rPr>
        <w:t xml:space="preserve"> </w:t>
      </w:r>
      <w:r w:rsidR="007213F7">
        <w:rPr>
          <w:rFonts w:asciiTheme="minorHAnsi" w:hAnsiTheme="minorHAnsi" w:cstheme="minorHAnsi"/>
          <w:sz w:val="24"/>
          <w:szCs w:val="24"/>
        </w:rPr>
        <w:t>will be</w:t>
      </w:r>
      <w:r w:rsidRPr="00062830">
        <w:rPr>
          <w:rFonts w:asciiTheme="minorHAnsi" w:hAnsiTheme="minorHAnsi" w:cstheme="minorHAnsi"/>
          <w:sz w:val="24"/>
          <w:szCs w:val="24"/>
        </w:rPr>
        <w:t xml:space="preserve"> successful in reducing sugar consumption amongst all age groups </w:t>
      </w:r>
      <w:r w:rsidR="00217DA2" w:rsidRPr="00217DA2">
        <w:rPr>
          <w:rFonts w:asciiTheme="minorHAnsi" w:hAnsiTheme="minorHAnsi" w:cstheme="minorHAnsi"/>
          <w:sz w:val="24"/>
          <w:szCs w:val="24"/>
        </w:rPr>
        <w:t>to th</w:t>
      </w:r>
      <w:r w:rsidR="000771F7">
        <w:rPr>
          <w:rFonts w:asciiTheme="minorHAnsi" w:hAnsiTheme="minorHAnsi" w:cstheme="minorHAnsi"/>
          <w:sz w:val="24"/>
          <w:szCs w:val="24"/>
        </w:rPr>
        <w:t>e level recommended by</w:t>
      </w:r>
      <w:r w:rsidR="00217DA2">
        <w:rPr>
          <w:rFonts w:asciiTheme="minorHAnsi" w:hAnsiTheme="minorHAnsi" w:cstheme="minorHAnsi"/>
          <w:sz w:val="24"/>
          <w:szCs w:val="24"/>
        </w:rPr>
        <w:t xml:space="preserve"> WHO </w:t>
      </w:r>
      <w:r w:rsidR="002C1B68">
        <w:rPr>
          <w:rFonts w:asciiTheme="minorHAnsi" w:hAnsiTheme="minorHAnsi" w:cstheme="minorHAnsi"/>
          <w:sz w:val="24"/>
          <w:szCs w:val="24"/>
        </w:rPr>
        <w:t>and even more</w:t>
      </w:r>
      <w:r w:rsidR="004A13A6">
        <w:rPr>
          <w:rFonts w:asciiTheme="minorHAnsi" w:hAnsiTheme="minorHAnsi" w:cstheme="minorHAnsi"/>
          <w:sz w:val="24"/>
          <w:szCs w:val="24"/>
        </w:rPr>
        <w:t xml:space="preserve"> towards the SACN recommended target. </w:t>
      </w:r>
      <w:r w:rsidRPr="00062830">
        <w:rPr>
          <w:rFonts w:asciiTheme="minorHAnsi" w:hAnsiTheme="minorHAnsi" w:cstheme="minorHAnsi"/>
          <w:sz w:val="24"/>
          <w:szCs w:val="24"/>
        </w:rPr>
        <w:t xml:space="preserve">Any national and local research </w:t>
      </w:r>
      <w:r w:rsidR="007213F7">
        <w:rPr>
          <w:rFonts w:asciiTheme="minorHAnsi" w:hAnsiTheme="minorHAnsi" w:cstheme="minorHAnsi"/>
          <w:sz w:val="24"/>
          <w:szCs w:val="24"/>
        </w:rPr>
        <w:t xml:space="preserve">planned </w:t>
      </w:r>
      <w:r w:rsidRPr="00062830">
        <w:rPr>
          <w:rFonts w:asciiTheme="minorHAnsi" w:hAnsiTheme="minorHAnsi" w:cstheme="minorHAnsi"/>
          <w:sz w:val="24"/>
          <w:szCs w:val="24"/>
        </w:rPr>
        <w:t xml:space="preserve">to understand the impact of </w:t>
      </w:r>
      <w:r w:rsidR="00217DA2">
        <w:rPr>
          <w:rFonts w:asciiTheme="minorHAnsi" w:hAnsiTheme="minorHAnsi" w:cstheme="minorHAnsi"/>
          <w:sz w:val="24"/>
          <w:szCs w:val="24"/>
        </w:rPr>
        <w:t xml:space="preserve">different legislative interventions and </w:t>
      </w:r>
      <w:r w:rsidR="00734002">
        <w:rPr>
          <w:rFonts w:asciiTheme="minorHAnsi" w:hAnsiTheme="minorHAnsi" w:cstheme="minorHAnsi"/>
          <w:sz w:val="24"/>
          <w:szCs w:val="24"/>
        </w:rPr>
        <w:t>Healthy Weight</w:t>
      </w:r>
      <w:r w:rsidRPr="00217DA2">
        <w:rPr>
          <w:rFonts w:asciiTheme="minorHAnsi" w:hAnsiTheme="minorHAnsi" w:cstheme="minorHAnsi"/>
          <w:sz w:val="24"/>
          <w:szCs w:val="24"/>
        </w:rPr>
        <w:t xml:space="preserve"> Healthy Wales</w:t>
      </w:r>
      <w:r w:rsidRPr="00062830">
        <w:rPr>
          <w:rFonts w:asciiTheme="minorHAnsi" w:hAnsiTheme="minorHAnsi" w:cstheme="minorHAnsi"/>
          <w:sz w:val="24"/>
          <w:szCs w:val="24"/>
        </w:rPr>
        <w:t xml:space="preserve"> should include </w:t>
      </w:r>
      <w:r w:rsidR="007213F7">
        <w:rPr>
          <w:rFonts w:asciiTheme="minorHAnsi" w:hAnsiTheme="minorHAnsi" w:cstheme="minorHAnsi"/>
          <w:sz w:val="24"/>
          <w:szCs w:val="24"/>
        </w:rPr>
        <w:t>assessment of its</w:t>
      </w:r>
      <w:r w:rsidRPr="00062830">
        <w:rPr>
          <w:rFonts w:asciiTheme="minorHAnsi" w:hAnsiTheme="minorHAnsi" w:cstheme="minorHAnsi"/>
          <w:sz w:val="24"/>
          <w:szCs w:val="24"/>
        </w:rPr>
        <w:t xml:space="preserve"> impact on free sugar consumption across all age groups in Wales. </w:t>
      </w:r>
    </w:p>
    <w:p w14:paraId="12EE5AC9" w14:textId="2A8B1AC0" w:rsidR="00062830" w:rsidRDefault="00062830" w:rsidP="00F8725A">
      <w:pPr>
        <w:spacing w:line="276" w:lineRule="auto"/>
        <w:ind w:left="567"/>
        <w:jc w:val="both"/>
        <w:rPr>
          <w:rFonts w:asciiTheme="minorHAnsi" w:hAnsiTheme="minorHAnsi" w:cstheme="minorHAnsi"/>
          <w:sz w:val="24"/>
          <w:szCs w:val="24"/>
        </w:rPr>
      </w:pPr>
    </w:p>
    <w:p w14:paraId="4F6B3994" w14:textId="2BAC8354" w:rsidR="0008272A" w:rsidRPr="00EE6670" w:rsidRDefault="00062830" w:rsidP="00F8725A">
      <w:pPr>
        <w:spacing w:after="240" w:line="276" w:lineRule="auto"/>
        <w:ind w:left="567"/>
        <w:jc w:val="both"/>
        <w:rPr>
          <w:rFonts w:asciiTheme="minorHAnsi" w:hAnsiTheme="minorHAnsi" w:cstheme="minorHAnsi"/>
          <w:b/>
          <w:sz w:val="24"/>
          <w:szCs w:val="24"/>
        </w:rPr>
      </w:pPr>
      <w:r w:rsidRPr="00062830">
        <w:rPr>
          <w:rFonts w:asciiTheme="minorHAnsi" w:hAnsiTheme="minorHAnsi" w:cstheme="minorHAnsi"/>
          <w:b/>
          <w:sz w:val="24"/>
          <w:szCs w:val="24"/>
        </w:rPr>
        <w:t xml:space="preserve">2. </w:t>
      </w:r>
      <w:r w:rsidR="0008272A" w:rsidRPr="00062830">
        <w:rPr>
          <w:rFonts w:asciiTheme="minorHAnsi" w:hAnsiTheme="minorHAnsi" w:cstheme="minorHAnsi"/>
          <w:b/>
          <w:sz w:val="24"/>
          <w:szCs w:val="24"/>
        </w:rPr>
        <w:t>Populat</w:t>
      </w:r>
      <w:r w:rsidR="007F33E2">
        <w:rPr>
          <w:rFonts w:asciiTheme="minorHAnsi" w:hAnsiTheme="minorHAnsi" w:cstheme="minorHAnsi"/>
          <w:b/>
          <w:sz w:val="24"/>
          <w:szCs w:val="24"/>
        </w:rPr>
        <w:t>ion oral health p</w:t>
      </w:r>
      <w:r w:rsidR="00F01403" w:rsidRPr="00062830">
        <w:rPr>
          <w:rFonts w:asciiTheme="minorHAnsi" w:hAnsiTheme="minorHAnsi" w:cstheme="minorHAnsi"/>
          <w:b/>
          <w:sz w:val="24"/>
          <w:szCs w:val="24"/>
        </w:rPr>
        <w:t>rogrammes are i</w:t>
      </w:r>
      <w:r w:rsidR="0008272A" w:rsidRPr="00062830">
        <w:rPr>
          <w:rFonts w:asciiTheme="minorHAnsi" w:hAnsiTheme="minorHAnsi" w:cstheme="minorHAnsi"/>
          <w:b/>
          <w:sz w:val="24"/>
          <w:szCs w:val="24"/>
        </w:rPr>
        <w:t>mportant to stop widen</w:t>
      </w:r>
      <w:r w:rsidR="00EE6670">
        <w:rPr>
          <w:rFonts w:asciiTheme="minorHAnsi" w:hAnsiTheme="minorHAnsi" w:cstheme="minorHAnsi"/>
          <w:b/>
          <w:sz w:val="24"/>
          <w:szCs w:val="24"/>
        </w:rPr>
        <w:t>ing of oral health inequalities.</w:t>
      </w:r>
    </w:p>
    <w:p w14:paraId="5F8CB389" w14:textId="4EA497A7" w:rsidR="00AB2BBA" w:rsidRDefault="00AB2BBA" w:rsidP="00F8725A">
      <w:pPr>
        <w:spacing w:line="276" w:lineRule="auto"/>
        <w:ind w:left="567"/>
        <w:jc w:val="both"/>
        <w:rPr>
          <w:rFonts w:asciiTheme="minorHAnsi" w:hAnsiTheme="minorHAnsi" w:cstheme="minorHAnsi"/>
          <w:sz w:val="24"/>
          <w:szCs w:val="24"/>
          <w:lang w:eastAsia="en-GB"/>
        </w:rPr>
      </w:pPr>
      <w:r w:rsidRPr="00F01403">
        <w:rPr>
          <w:rFonts w:asciiTheme="minorHAnsi" w:hAnsiTheme="minorHAnsi" w:cstheme="minorHAnsi"/>
          <w:sz w:val="24"/>
          <w:szCs w:val="24"/>
          <w:lang w:eastAsia="en-GB"/>
        </w:rPr>
        <w:t>Experiencing tooth decay at a young age can not only cause pain and infection, but also disturb sleep, limit ability to focus attention and eat a varied diet, hinder speech development, and ne</w:t>
      </w:r>
      <w:r>
        <w:rPr>
          <w:rFonts w:asciiTheme="minorHAnsi" w:hAnsiTheme="minorHAnsi" w:cstheme="minorHAnsi"/>
          <w:sz w:val="24"/>
          <w:szCs w:val="24"/>
          <w:lang w:eastAsia="en-GB"/>
        </w:rPr>
        <w:t>gatively affect self-image and</w:t>
      </w:r>
      <w:r w:rsidRPr="00F01403">
        <w:rPr>
          <w:rFonts w:asciiTheme="minorHAnsi" w:hAnsiTheme="minorHAnsi" w:cstheme="minorHAnsi"/>
          <w:sz w:val="24"/>
          <w:szCs w:val="24"/>
          <w:lang w:eastAsia="en-GB"/>
        </w:rPr>
        <w:t xml:space="preserve"> mental health</w:t>
      </w:r>
      <w:r w:rsidR="00435A99">
        <w:rPr>
          <w:rStyle w:val="EndnoteReference"/>
          <w:rFonts w:asciiTheme="minorHAnsi" w:hAnsiTheme="minorHAnsi" w:cstheme="minorHAnsi"/>
          <w:sz w:val="24"/>
          <w:szCs w:val="24"/>
          <w:lang w:eastAsia="en-GB"/>
        </w:rPr>
        <w:endnoteReference w:id="13"/>
      </w:r>
      <w:r w:rsidR="00435A99">
        <w:rPr>
          <w:rFonts w:asciiTheme="minorHAnsi" w:hAnsiTheme="minorHAnsi" w:cstheme="minorHAnsi"/>
          <w:sz w:val="24"/>
          <w:szCs w:val="24"/>
          <w:vertAlign w:val="superscript"/>
          <w:lang w:eastAsia="en-GB"/>
        </w:rPr>
        <w:t xml:space="preserve">, </w:t>
      </w:r>
      <w:r w:rsidR="00435A99">
        <w:rPr>
          <w:rStyle w:val="EndnoteReference"/>
          <w:rFonts w:asciiTheme="minorHAnsi" w:hAnsiTheme="minorHAnsi" w:cstheme="minorHAnsi"/>
          <w:sz w:val="24"/>
          <w:szCs w:val="24"/>
          <w:lang w:eastAsia="en-GB"/>
        </w:rPr>
        <w:endnoteReference w:id="14"/>
      </w:r>
      <w:r w:rsidR="00435A99">
        <w:rPr>
          <w:rFonts w:asciiTheme="minorHAnsi" w:hAnsiTheme="minorHAnsi" w:cstheme="minorHAnsi"/>
          <w:sz w:val="24"/>
          <w:szCs w:val="24"/>
          <w:vertAlign w:val="superscript"/>
          <w:lang w:eastAsia="en-GB"/>
        </w:rPr>
        <w:t xml:space="preserve">, </w:t>
      </w:r>
      <w:r w:rsidR="00435A99">
        <w:rPr>
          <w:rStyle w:val="EndnoteReference"/>
          <w:rFonts w:asciiTheme="minorHAnsi" w:hAnsiTheme="minorHAnsi" w:cstheme="minorHAnsi"/>
          <w:sz w:val="24"/>
          <w:szCs w:val="24"/>
          <w:lang w:eastAsia="en-GB"/>
        </w:rPr>
        <w:endnoteReference w:id="15"/>
      </w:r>
      <w:r w:rsidR="00435A99">
        <w:rPr>
          <w:rFonts w:asciiTheme="minorHAnsi" w:hAnsiTheme="minorHAnsi" w:cstheme="minorHAnsi"/>
          <w:sz w:val="24"/>
          <w:szCs w:val="24"/>
          <w:vertAlign w:val="superscript"/>
          <w:lang w:eastAsia="en-GB"/>
        </w:rPr>
        <w:t xml:space="preserve">, </w:t>
      </w:r>
      <w:r w:rsidR="00435A99">
        <w:rPr>
          <w:rStyle w:val="EndnoteReference"/>
          <w:rFonts w:asciiTheme="minorHAnsi" w:hAnsiTheme="minorHAnsi" w:cstheme="minorHAnsi"/>
          <w:sz w:val="24"/>
          <w:szCs w:val="24"/>
          <w:lang w:eastAsia="en-GB"/>
        </w:rPr>
        <w:endnoteReference w:id="16"/>
      </w:r>
      <w:r w:rsidR="00435A99">
        <w:rPr>
          <w:rFonts w:asciiTheme="minorHAnsi" w:hAnsiTheme="minorHAnsi" w:cstheme="minorHAnsi"/>
          <w:sz w:val="24"/>
          <w:szCs w:val="24"/>
          <w:vertAlign w:val="superscript"/>
          <w:lang w:eastAsia="en-GB"/>
        </w:rPr>
        <w:t xml:space="preserve">, </w:t>
      </w:r>
      <w:r w:rsidR="00435A99">
        <w:rPr>
          <w:rStyle w:val="EndnoteReference"/>
          <w:rFonts w:asciiTheme="minorHAnsi" w:hAnsiTheme="minorHAnsi" w:cstheme="minorHAnsi"/>
          <w:sz w:val="24"/>
          <w:szCs w:val="24"/>
          <w:lang w:eastAsia="en-GB"/>
        </w:rPr>
        <w:endnoteReference w:id="17"/>
      </w:r>
      <w:r w:rsidR="00435A99">
        <w:rPr>
          <w:rFonts w:asciiTheme="minorHAnsi" w:hAnsiTheme="minorHAnsi" w:cstheme="minorHAnsi"/>
          <w:sz w:val="24"/>
          <w:szCs w:val="24"/>
          <w:vertAlign w:val="superscript"/>
          <w:lang w:eastAsia="en-GB"/>
        </w:rPr>
        <w:t xml:space="preserve">, </w:t>
      </w:r>
      <w:r w:rsidR="00435A99">
        <w:rPr>
          <w:rStyle w:val="EndnoteReference"/>
          <w:rFonts w:asciiTheme="minorHAnsi" w:hAnsiTheme="minorHAnsi" w:cstheme="minorHAnsi"/>
          <w:sz w:val="24"/>
          <w:szCs w:val="24"/>
          <w:lang w:eastAsia="en-GB"/>
        </w:rPr>
        <w:endnoteReference w:id="18"/>
      </w:r>
      <w:r w:rsidR="00435A99">
        <w:rPr>
          <w:rFonts w:asciiTheme="minorHAnsi" w:hAnsiTheme="minorHAnsi" w:cstheme="minorHAnsi"/>
          <w:sz w:val="24"/>
          <w:szCs w:val="24"/>
          <w:vertAlign w:val="superscript"/>
          <w:lang w:eastAsia="en-GB"/>
        </w:rPr>
        <w:t xml:space="preserve">, </w:t>
      </w:r>
      <w:r w:rsidR="00435A99">
        <w:rPr>
          <w:rStyle w:val="EndnoteReference"/>
          <w:rFonts w:asciiTheme="minorHAnsi" w:hAnsiTheme="minorHAnsi" w:cstheme="minorHAnsi"/>
          <w:sz w:val="24"/>
          <w:szCs w:val="24"/>
          <w:lang w:eastAsia="en-GB"/>
        </w:rPr>
        <w:endnoteReference w:id="19"/>
      </w:r>
      <w:r w:rsidRPr="00F01403">
        <w:rPr>
          <w:rFonts w:asciiTheme="minorHAnsi" w:hAnsiTheme="minorHAnsi" w:cstheme="minorHAnsi"/>
          <w:sz w:val="24"/>
          <w:szCs w:val="24"/>
          <w:lang w:eastAsia="en-GB"/>
        </w:rPr>
        <w:t>. Tooth decay is one of the most common reasons for childhood hospitalisation</w:t>
      </w:r>
      <w:r w:rsidR="0006176D">
        <w:rPr>
          <w:rStyle w:val="EndnoteReference"/>
          <w:rFonts w:asciiTheme="minorHAnsi" w:hAnsiTheme="minorHAnsi" w:cstheme="minorHAnsi"/>
          <w:sz w:val="24"/>
          <w:szCs w:val="24"/>
          <w:lang w:eastAsia="en-GB"/>
        </w:rPr>
        <w:endnoteReference w:id="20"/>
      </w:r>
      <w:r w:rsidRPr="00F01403">
        <w:rPr>
          <w:rFonts w:asciiTheme="minorHAnsi" w:hAnsiTheme="minorHAnsi" w:cstheme="minorHAnsi"/>
          <w:sz w:val="24"/>
          <w:szCs w:val="24"/>
          <w:lang w:eastAsia="en-GB"/>
        </w:rPr>
        <w:t>. It has a lifelong impact as poor childhood dental health is a predictor of poor adult dental health</w:t>
      </w:r>
      <w:r w:rsidR="00435A99">
        <w:rPr>
          <w:rStyle w:val="EndnoteReference"/>
          <w:rFonts w:asciiTheme="minorHAnsi" w:hAnsiTheme="minorHAnsi" w:cstheme="minorHAnsi"/>
          <w:sz w:val="24"/>
          <w:szCs w:val="24"/>
          <w:lang w:eastAsia="en-GB"/>
        </w:rPr>
        <w:endnoteReference w:id="21"/>
      </w:r>
      <w:r w:rsidRPr="00F01403">
        <w:rPr>
          <w:rFonts w:asciiTheme="minorHAnsi" w:hAnsiTheme="minorHAnsi" w:cstheme="minorHAnsi"/>
          <w:sz w:val="24"/>
          <w:szCs w:val="24"/>
          <w:lang w:eastAsia="en-GB"/>
        </w:rPr>
        <w:t xml:space="preserve">. </w:t>
      </w:r>
      <w:r w:rsidR="00062830" w:rsidRPr="00062830">
        <w:rPr>
          <w:rFonts w:asciiTheme="minorHAnsi" w:hAnsiTheme="minorHAnsi" w:cstheme="minorHAnsi"/>
          <w:sz w:val="24"/>
          <w:szCs w:val="24"/>
          <w:lang w:eastAsia="en-GB"/>
        </w:rPr>
        <w:t xml:space="preserve">Yet, in </w:t>
      </w:r>
      <w:proofErr w:type="gramStart"/>
      <w:r w:rsidR="00062830" w:rsidRPr="00062830">
        <w:rPr>
          <w:rFonts w:asciiTheme="minorHAnsi" w:hAnsiTheme="minorHAnsi" w:cstheme="minorHAnsi"/>
          <w:sz w:val="24"/>
          <w:szCs w:val="24"/>
          <w:lang w:eastAsia="en-GB"/>
        </w:rPr>
        <w:t>the vast majority of</w:t>
      </w:r>
      <w:proofErr w:type="gramEnd"/>
      <w:r w:rsidR="00062830" w:rsidRPr="00062830">
        <w:rPr>
          <w:rFonts w:asciiTheme="minorHAnsi" w:hAnsiTheme="minorHAnsi" w:cstheme="minorHAnsi"/>
          <w:sz w:val="24"/>
          <w:szCs w:val="24"/>
          <w:lang w:eastAsia="en-GB"/>
        </w:rPr>
        <w:t xml:space="preserve"> cases, tooth decay is entirely preventable</w:t>
      </w:r>
      <w:r w:rsidR="00062830">
        <w:rPr>
          <w:rFonts w:asciiTheme="minorHAnsi" w:hAnsiTheme="minorHAnsi" w:cstheme="minorHAnsi"/>
          <w:sz w:val="24"/>
          <w:szCs w:val="24"/>
          <w:lang w:eastAsia="en-GB"/>
        </w:rPr>
        <w:t xml:space="preserve"> </w:t>
      </w:r>
      <w:r w:rsidR="00062830" w:rsidRPr="00062830">
        <w:rPr>
          <w:rFonts w:asciiTheme="minorHAnsi" w:hAnsiTheme="minorHAnsi" w:cstheme="minorHAnsi"/>
          <w:sz w:val="24"/>
          <w:szCs w:val="24"/>
          <w:lang w:eastAsia="en-GB"/>
        </w:rPr>
        <w:t>through education, creating conditions for healthy behaviours, and optimal exposure to fluoride</w:t>
      </w:r>
      <w:r w:rsidR="00612A19">
        <w:rPr>
          <w:rFonts w:asciiTheme="minorHAnsi" w:hAnsiTheme="minorHAnsi" w:cstheme="minorHAnsi"/>
          <w:sz w:val="24"/>
          <w:szCs w:val="24"/>
          <w:lang w:eastAsia="en-GB"/>
        </w:rPr>
        <w:t>.</w:t>
      </w:r>
    </w:p>
    <w:p w14:paraId="08F6DA99" w14:textId="18172DAD" w:rsidR="00AB2BBA" w:rsidRPr="00571267" w:rsidRDefault="00AB2BBA" w:rsidP="00F8725A">
      <w:pPr>
        <w:spacing w:line="276" w:lineRule="auto"/>
        <w:ind w:left="567"/>
        <w:jc w:val="both"/>
        <w:rPr>
          <w:rFonts w:asciiTheme="minorHAnsi" w:hAnsiTheme="minorHAnsi" w:cstheme="minorHAnsi"/>
          <w:sz w:val="24"/>
          <w:szCs w:val="24"/>
          <w:lang w:eastAsia="en-GB"/>
        </w:rPr>
      </w:pPr>
    </w:p>
    <w:p w14:paraId="2D8790B2" w14:textId="0F419471" w:rsidR="00D652E0" w:rsidRPr="00612A19" w:rsidRDefault="00FB15DD" w:rsidP="00F8725A">
      <w:pPr>
        <w:spacing w:after="120" w:line="276" w:lineRule="auto"/>
        <w:ind w:left="567"/>
        <w:jc w:val="both"/>
        <w:rPr>
          <w:rFonts w:asciiTheme="minorHAnsi" w:hAnsiTheme="minorHAnsi" w:cstheme="minorHAnsi"/>
          <w:b/>
          <w:sz w:val="24"/>
          <w:szCs w:val="24"/>
          <w:lang w:eastAsia="en-GB"/>
        </w:rPr>
      </w:pPr>
      <w:r w:rsidRPr="00FB15DD">
        <w:rPr>
          <w:rFonts w:asciiTheme="minorHAnsi" w:hAnsiTheme="minorHAnsi" w:cstheme="minorHAnsi"/>
          <w:b/>
          <w:sz w:val="24"/>
          <w:szCs w:val="24"/>
          <w:lang w:eastAsia="en-GB"/>
        </w:rPr>
        <w:t xml:space="preserve">a) </w:t>
      </w:r>
      <w:r w:rsidR="00D652E0" w:rsidRPr="00FB15DD">
        <w:rPr>
          <w:rFonts w:asciiTheme="minorHAnsi" w:hAnsiTheme="minorHAnsi" w:cstheme="minorHAnsi"/>
          <w:b/>
          <w:sz w:val="24"/>
          <w:szCs w:val="24"/>
          <w:lang w:eastAsia="en-GB"/>
        </w:rPr>
        <w:t>Designed to Smile</w:t>
      </w:r>
    </w:p>
    <w:p w14:paraId="44C6BF6D" w14:textId="22ABD535" w:rsidR="00F01403" w:rsidRPr="00073B42" w:rsidRDefault="0003738D" w:rsidP="00F8725A">
      <w:pPr>
        <w:spacing w:line="276" w:lineRule="auto"/>
        <w:ind w:left="567"/>
        <w:jc w:val="both"/>
        <w:rPr>
          <w:rFonts w:asciiTheme="minorHAnsi" w:hAnsiTheme="minorHAnsi" w:cstheme="minorBidi"/>
        </w:rPr>
      </w:pPr>
      <w:r w:rsidRPr="00571267">
        <w:rPr>
          <w:rFonts w:asciiTheme="minorHAnsi" w:hAnsiTheme="minorHAnsi" w:cstheme="minorHAnsi"/>
          <w:sz w:val="24"/>
          <w:szCs w:val="24"/>
          <w:lang w:eastAsia="en-GB"/>
        </w:rPr>
        <w:t>In 2015-16, a third of children aged 5 to 6 years in Wales had experience of tooth decay.  On average, 10 children out of class of 30 would have tooth decay, with these 10 having 3.6 decayed teeth</w:t>
      </w:r>
      <w:r w:rsidR="00435A99">
        <w:rPr>
          <w:rStyle w:val="EndnoteReference"/>
          <w:rFonts w:asciiTheme="minorHAnsi" w:hAnsiTheme="minorHAnsi" w:cstheme="minorHAnsi"/>
          <w:sz w:val="24"/>
          <w:szCs w:val="24"/>
          <w:lang w:eastAsia="en-GB"/>
        </w:rPr>
        <w:endnoteReference w:id="22"/>
      </w:r>
      <w:r w:rsidRPr="00571267">
        <w:rPr>
          <w:rFonts w:asciiTheme="minorHAnsi" w:hAnsiTheme="minorHAnsi" w:cstheme="minorHAnsi"/>
          <w:sz w:val="24"/>
          <w:szCs w:val="24"/>
          <w:lang w:eastAsia="en-GB"/>
        </w:rPr>
        <w:t xml:space="preserve">. </w:t>
      </w:r>
      <w:r w:rsidR="0008272A" w:rsidRPr="00571267">
        <w:rPr>
          <w:rFonts w:asciiTheme="minorHAnsi" w:hAnsiTheme="minorHAnsi" w:cstheme="minorHAnsi"/>
          <w:sz w:val="24"/>
          <w:szCs w:val="24"/>
          <w:lang w:eastAsia="en-GB"/>
        </w:rPr>
        <w:t>Evidence from the Dent</w:t>
      </w:r>
      <w:r w:rsidR="00612A19">
        <w:rPr>
          <w:rFonts w:asciiTheme="minorHAnsi" w:hAnsiTheme="minorHAnsi" w:cstheme="minorHAnsi"/>
          <w:sz w:val="24"/>
          <w:szCs w:val="24"/>
          <w:lang w:eastAsia="en-GB"/>
        </w:rPr>
        <w:t>al Epidemiology P</w:t>
      </w:r>
      <w:r w:rsidR="0008272A" w:rsidRPr="00571267">
        <w:rPr>
          <w:rFonts w:asciiTheme="minorHAnsi" w:hAnsiTheme="minorHAnsi" w:cstheme="minorHAnsi"/>
          <w:sz w:val="24"/>
          <w:szCs w:val="24"/>
          <w:lang w:eastAsia="en-GB"/>
        </w:rPr>
        <w:t>rogramme for Wales demonstrates that oral health inequalities exist from as early as 3 years of age, and children li</w:t>
      </w:r>
      <w:r w:rsidR="00F01403">
        <w:rPr>
          <w:rFonts w:asciiTheme="minorHAnsi" w:hAnsiTheme="minorHAnsi" w:cstheme="minorHAnsi"/>
          <w:sz w:val="24"/>
          <w:szCs w:val="24"/>
          <w:lang w:eastAsia="en-GB"/>
        </w:rPr>
        <w:t>ving in the most deprived areas</w:t>
      </w:r>
      <w:r w:rsidR="0008272A" w:rsidRPr="00571267">
        <w:rPr>
          <w:rFonts w:asciiTheme="minorHAnsi" w:hAnsiTheme="minorHAnsi" w:cstheme="minorHAnsi"/>
          <w:sz w:val="24"/>
          <w:szCs w:val="24"/>
          <w:lang w:eastAsia="en-GB"/>
        </w:rPr>
        <w:t xml:space="preserve"> have the largest burden of dental disease</w:t>
      </w:r>
      <w:r w:rsidR="00435A99">
        <w:rPr>
          <w:rStyle w:val="EndnoteReference"/>
          <w:rFonts w:asciiTheme="minorHAnsi" w:hAnsiTheme="minorHAnsi" w:cstheme="minorHAnsi"/>
          <w:sz w:val="24"/>
          <w:szCs w:val="24"/>
          <w:lang w:eastAsia="en-GB"/>
        </w:rPr>
        <w:endnoteReference w:id="23"/>
      </w:r>
      <w:r w:rsidR="0008272A" w:rsidRPr="00571267">
        <w:rPr>
          <w:rFonts w:asciiTheme="minorHAnsi" w:hAnsiTheme="minorHAnsi" w:cstheme="minorHAnsi"/>
          <w:sz w:val="24"/>
          <w:szCs w:val="24"/>
          <w:lang w:eastAsia="en-GB"/>
        </w:rPr>
        <w:t xml:space="preserve">. </w:t>
      </w:r>
      <w:r w:rsidR="00217DA2" w:rsidRPr="00217DA2">
        <w:rPr>
          <w:rFonts w:asciiTheme="minorHAnsi" w:hAnsiTheme="minorHAnsi" w:cstheme="minorHAnsi"/>
          <w:sz w:val="24"/>
          <w:szCs w:val="24"/>
          <w:lang w:eastAsia="en-GB"/>
        </w:rPr>
        <w:t xml:space="preserve">Even low levels of </w:t>
      </w:r>
      <w:r w:rsidR="004B6AFE">
        <w:rPr>
          <w:rFonts w:asciiTheme="minorHAnsi" w:hAnsiTheme="minorHAnsi" w:cstheme="minorHAnsi"/>
          <w:sz w:val="24"/>
          <w:szCs w:val="24"/>
          <w:lang w:eastAsia="en-GB"/>
        </w:rPr>
        <w:t>tooth decay</w:t>
      </w:r>
      <w:r w:rsidR="00217DA2" w:rsidRPr="00217DA2">
        <w:rPr>
          <w:rFonts w:asciiTheme="minorHAnsi" w:hAnsiTheme="minorHAnsi" w:cstheme="minorHAnsi"/>
          <w:sz w:val="24"/>
          <w:szCs w:val="24"/>
          <w:lang w:eastAsia="en-GB"/>
        </w:rPr>
        <w:t xml:space="preserve"> in children </w:t>
      </w:r>
      <w:r w:rsidR="004B6AFE">
        <w:rPr>
          <w:rFonts w:asciiTheme="minorHAnsi" w:hAnsiTheme="minorHAnsi" w:cstheme="minorHAnsi"/>
          <w:sz w:val="24"/>
          <w:szCs w:val="24"/>
          <w:lang w:eastAsia="en-GB"/>
        </w:rPr>
        <w:t>should be of concern because tooth decay</w:t>
      </w:r>
      <w:r w:rsidR="00217DA2" w:rsidRPr="00217DA2">
        <w:rPr>
          <w:rFonts w:asciiTheme="minorHAnsi" w:hAnsiTheme="minorHAnsi" w:cstheme="minorHAnsi"/>
          <w:sz w:val="24"/>
          <w:szCs w:val="24"/>
          <w:lang w:eastAsia="en-GB"/>
        </w:rPr>
        <w:t xml:space="preserve"> is a lifelong progressive and cumulative disease. </w:t>
      </w:r>
    </w:p>
    <w:p w14:paraId="17AA97DF" w14:textId="77777777" w:rsidR="0008272A" w:rsidRPr="00571267" w:rsidRDefault="0008272A" w:rsidP="00F8725A">
      <w:pPr>
        <w:spacing w:line="276" w:lineRule="auto"/>
        <w:ind w:left="567"/>
        <w:jc w:val="both"/>
        <w:rPr>
          <w:rFonts w:asciiTheme="minorHAnsi" w:hAnsiTheme="minorHAnsi" w:cstheme="minorHAnsi"/>
          <w:sz w:val="24"/>
          <w:szCs w:val="24"/>
          <w:lang w:eastAsia="en-GB"/>
        </w:rPr>
      </w:pPr>
    </w:p>
    <w:p w14:paraId="06910AF3" w14:textId="735ED61D" w:rsidR="0008272A" w:rsidRPr="00571267" w:rsidRDefault="0008272A" w:rsidP="00F8725A">
      <w:pPr>
        <w:spacing w:line="276" w:lineRule="auto"/>
        <w:ind w:left="567"/>
        <w:jc w:val="both"/>
        <w:rPr>
          <w:rFonts w:asciiTheme="minorHAnsi" w:hAnsiTheme="minorHAnsi" w:cstheme="minorHAnsi"/>
          <w:sz w:val="24"/>
          <w:szCs w:val="24"/>
          <w:lang w:eastAsia="en-GB"/>
        </w:rPr>
      </w:pPr>
      <w:r w:rsidRPr="00571267">
        <w:rPr>
          <w:rFonts w:asciiTheme="minorHAnsi" w:hAnsiTheme="minorHAnsi" w:cstheme="minorHAnsi"/>
          <w:sz w:val="24"/>
          <w:szCs w:val="24"/>
          <w:lang w:eastAsia="en-GB"/>
        </w:rPr>
        <w:t>Designed to Smile</w:t>
      </w:r>
      <w:r w:rsidR="004B6AFE">
        <w:rPr>
          <w:rFonts w:asciiTheme="minorHAnsi" w:hAnsiTheme="minorHAnsi" w:cstheme="minorHAnsi"/>
          <w:sz w:val="24"/>
          <w:szCs w:val="24"/>
          <w:lang w:eastAsia="en-GB"/>
        </w:rPr>
        <w:t xml:space="preserve"> (D2S)</w:t>
      </w:r>
      <w:r w:rsidRPr="00571267">
        <w:rPr>
          <w:rFonts w:asciiTheme="minorHAnsi" w:hAnsiTheme="minorHAnsi" w:cstheme="minorHAnsi"/>
          <w:sz w:val="24"/>
          <w:szCs w:val="24"/>
          <w:lang w:eastAsia="en-GB"/>
        </w:rPr>
        <w:t xml:space="preserve"> is a national programme to prevent dental caries in young children in Wales</w:t>
      </w:r>
      <w:r w:rsidR="00DF4F8C" w:rsidRPr="00571267">
        <w:rPr>
          <w:rFonts w:asciiTheme="minorHAnsi" w:hAnsiTheme="minorHAnsi" w:cstheme="minorHAnsi"/>
          <w:sz w:val="24"/>
          <w:szCs w:val="24"/>
          <w:lang w:eastAsia="en-GB"/>
        </w:rPr>
        <w:t xml:space="preserve"> using evidence-based, cost-effective methods</w:t>
      </w:r>
      <w:r w:rsidRPr="00571267">
        <w:rPr>
          <w:rFonts w:asciiTheme="minorHAnsi" w:hAnsiTheme="minorHAnsi" w:cstheme="minorHAnsi"/>
          <w:sz w:val="24"/>
          <w:szCs w:val="24"/>
          <w:lang w:eastAsia="en-GB"/>
        </w:rPr>
        <w:t xml:space="preserve">. </w:t>
      </w:r>
      <w:r w:rsidR="00752DC8" w:rsidRPr="00571267">
        <w:rPr>
          <w:rFonts w:asciiTheme="minorHAnsi" w:hAnsiTheme="minorHAnsi" w:cstheme="minorHAnsi"/>
          <w:sz w:val="24"/>
          <w:szCs w:val="24"/>
          <w:lang w:eastAsia="en-GB"/>
        </w:rPr>
        <w:t xml:space="preserve">It is overseen by NHS </w:t>
      </w:r>
      <w:r w:rsidR="00752DC8" w:rsidRPr="00571267">
        <w:rPr>
          <w:rFonts w:asciiTheme="minorHAnsi" w:hAnsiTheme="minorHAnsi" w:cstheme="minorHAnsi"/>
          <w:sz w:val="24"/>
          <w:szCs w:val="24"/>
          <w:lang w:eastAsia="en-GB"/>
        </w:rPr>
        <w:lastRenderedPageBreak/>
        <w:t>Wales Community Dental Services and delivered in partnership with health and education services</w:t>
      </w:r>
      <w:r w:rsidR="00435A99">
        <w:rPr>
          <w:rStyle w:val="EndnoteReference"/>
          <w:rFonts w:asciiTheme="minorHAnsi" w:hAnsiTheme="minorHAnsi" w:cstheme="minorHAnsi"/>
          <w:sz w:val="24"/>
          <w:szCs w:val="24"/>
          <w:lang w:eastAsia="en-GB"/>
        </w:rPr>
        <w:endnoteReference w:id="24"/>
      </w:r>
      <w:r w:rsidR="00752DC8" w:rsidRPr="00571267">
        <w:rPr>
          <w:rFonts w:asciiTheme="minorHAnsi" w:hAnsiTheme="minorHAnsi" w:cstheme="minorHAnsi"/>
          <w:sz w:val="24"/>
          <w:szCs w:val="24"/>
          <w:lang w:eastAsia="en-GB"/>
        </w:rPr>
        <w:t xml:space="preserve">. </w:t>
      </w:r>
      <w:r w:rsidRPr="00571267">
        <w:rPr>
          <w:rFonts w:asciiTheme="minorHAnsi" w:hAnsiTheme="minorHAnsi" w:cstheme="minorHAnsi"/>
          <w:sz w:val="24"/>
          <w:szCs w:val="24"/>
          <w:lang w:eastAsia="en-GB"/>
        </w:rPr>
        <w:t>It was launched in 2009. It includes:</w:t>
      </w:r>
    </w:p>
    <w:p w14:paraId="055DC3F4" w14:textId="28183A8C" w:rsidR="0008272A" w:rsidRPr="002824CD" w:rsidRDefault="0008272A" w:rsidP="00F8725A">
      <w:pPr>
        <w:pStyle w:val="ListParagraph"/>
        <w:numPr>
          <w:ilvl w:val="0"/>
          <w:numId w:val="5"/>
        </w:numPr>
        <w:spacing w:line="276" w:lineRule="auto"/>
        <w:ind w:left="567"/>
        <w:jc w:val="both"/>
        <w:rPr>
          <w:rFonts w:asciiTheme="minorHAnsi" w:hAnsiTheme="minorHAnsi" w:cstheme="minorHAnsi"/>
          <w:sz w:val="24"/>
          <w:szCs w:val="24"/>
          <w:lang w:eastAsia="en-GB"/>
        </w:rPr>
      </w:pPr>
      <w:r w:rsidRPr="002824CD">
        <w:rPr>
          <w:rFonts w:asciiTheme="minorHAnsi" w:hAnsiTheme="minorHAnsi" w:cstheme="minorHAnsi"/>
          <w:sz w:val="24"/>
          <w:szCs w:val="24"/>
          <w:lang w:eastAsia="en-GB"/>
        </w:rPr>
        <w:t xml:space="preserve">A preventative programme for children from birth involving a wide range of professionals, including health visitors and other early years services. The aims are to help start good habits early by giving advice to families with young children, providing toothbrushes and </w:t>
      </w:r>
      <w:r w:rsidR="000771F7">
        <w:rPr>
          <w:rFonts w:asciiTheme="minorHAnsi" w:hAnsiTheme="minorHAnsi" w:cstheme="minorHAnsi"/>
          <w:sz w:val="24"/>
          <w:szCs w:val="24"/>
          <w:lang w:eastAsia="en-GB"/>
        </w:rPr>
        <w:t xml:space="preserve">fluoride </w:t>
      </w:r>
      <w:r w:rsidRPr="002824CD">
        <w:rPr>
          <w:rFonts w:asciiTheme="minorHAnsi" w:hAnsiTheme="minorHAnsi" w:cstheme="minorHAnsi"/>
          <w:sz w:val="24"/>
          <w:szCs w:val="24"/>
          <w:lang w:eastAsia="en-GB"/>
        </w:rPr>
        <w:t>toothpaste, and encouraging regular attendance to a dental practice. This element of Designed to Smile is aligned to the Healthy Child Wales programme and its approach to provision of universal and enhanced support.</w:t>
      </w:r>
    </w:p>
    <w:p w14:paraId="7933198A" w14:textId="2147E555" w:rsidR="0008272A" w:rsidRPr="002824CD" w:rsidRDefault="0008272A" w:rsidP="00F8725A">
      <w:pPr>
        <w:pStyle w:val="ListParagraph"/>
        <w:numPr>
          <w:ilvl w:val="0"/>
          <w:numId w:val="5"/>
        </w:numPr>
        <w:spacing w:line="276" w:lineRule="auto"/>
        <w:ind w:left="567"/>
        <w:jc w:val="both"/>
        <w:rPr>
          <w:rFonts w:asciiTheme="minorHAnsi" w:hAnsiTheme="minorHAnsi" w:cstheme="minorHAnsi"/>
          <w:sz w:val="24"/>
          <w:szCs w:val="24"/>
          <w:lang w:eastAsia="en-GB"/>
        </w:rPr>
      </w:pPr>
      <w:r w:rsidRPr="002824CD">
        <w:rPr>
          <w:rFonts w:asciiTheme="minorHAnsi" w:hAnsiTheme="minorHAnsi" w:cstheme="minorHAnsi"/>
          <w:sz w:val="24"/>
          <w:szCs w:val="24"/>
          <w:lang w:eastAsia="en-GB"/>
        </w:rPr>
        <w:t>A preventative programme for Nursery and Primary School children involving the delivery of nursery and school-based toothbrushing and fluoride varnish programmes for children to help protect teeth against decay. These aspects of Designed to Smile are targeted to more deprived areas of Wales, with approximately 60% of nurseries and schools invited to participate. Children up to and including Year 2 (</w:t>
      </w:r>
      <w:proofErr w:type="gramStart"/>
      <w:r w:rsidRPr="002824CD">
        <w:rPr>
          <w:rFonts w:asciiTheme="minorHAnsi" w:hAnsiTheme="minorHAnsi" w:cstheme="minorHAnsi"/>
          <w:sz w:val="24"/>
          <w:szCs w:val="24"/>
          <w:lang w:eastAsia="en-GB"/>
        </w:rPr>
        <w:t>6-7 year olds</w:t>
      </w:r>
      <w:proofErr w:type="gramEnd"/>
      <w:r w:rsidRPr="002824CD">
        <w:rPr>
          <w:rFonts w:asciiTheme="minorHAnsi" w:hAnsiTheme="minorHAnsi" w:cstheme="minorHAnsi"/>
          <w:sz w:val="24"/>
          <w:szCs w:val="24"/>
          <w:lang w:eastAsia="en-GB"/>
        </w:rPr>
        <w:t>) are included in the provision</w:t>
      </w:r>
      <w:r w:rsidR="00435A99">
        <w:rPr>
          <w:rStyle w:val="EndnoteReference"/>
          <w:rFonts w:asciiTheme="minorHAnsi" w:hAnsiTheme="minorHAnsi" w:cstheme="minorHAnsi"/>
          <w:sz w:val="24"/>
          <w:szCs w:val="24"/>
          <w:lang w:eastAsia="en-GB"/>
        </w:rPr>
        <w:endnoteReference w:id="25"/>
      </w:r>
      <w:r w:rsidR="00435A99" w:rsidRPr="002824CD">
        <w:rPr>
          <w:rFonts w:asciiTheme="minorHAnsi" w:hAnsiTheme="minorHAnsi" w:cstheme="minorHAnsi"/>
          <w:sz w:val="24"/>
          <w:szCs w:val="24"/>
          <w:lang w:eastAsia="en-GB"/>
        </w:rPr>
        <w:t>.</w:t>
      </w:r>
    </w:p>
    <w:p w14:paraId="3867C249" w14:textId="77777777" w:rsidR="0008272A" w:rsidRPr="00571267" w:rsidRDefault="0008272A" w:rsidP="00F8725A">
      <w:pPr>
        <w:spacing w:line="276" w:lineRule="auto"/>
        <w:ind w:left="567"/>
        <w:jc w:val="both"/>
        <w:rPr>
          <w:rFonts w:asciiTheme="minorHAnsi" w:hAnsiTheme="minorHAnsi" w:cstheme="minorHAnsi"/>
          <w:sz w:val="24"/>
          <w:szCs w:val="24"/>
          <w:lang w:eastAsia="en-GB"/>
        </w:rPr>
      </w:pPr>
    </w:p>
    <w:p w14:paraId="7F954DCC" w14:textId="77777777" w:rsidR="0008272A" w:rsidRPr="00571267" w:rsidRDefault="0008272A" w:rsidP="00F8725A">
      <w:pPr>
        <w:spacing w:line="276" w:lineRule="auto"/>
        <w:ind w:left="567"/>
        <w:jc w:val="both"/>
        <w:rPr>
          <w:rFonts w:asciiTheme="minorHAnsi" w:hAnsiTheme="minorHAnsi" w:cstheme="minorHAnsi"/>
          <w:sz w:val="24"/>
          <w:szCs w:val="24"/>
          <w:lang w:eastAsia="en-GB"/>
        </w:rPr>
      </w:pPr>
      <w:r w:rsidRPr="00571267">
        <w:rPr>
          <w:rFonts w:asciiTheme="minorHAnsi" w:hAnsiTheme="minorHAnsi" w:cstheme="minorHAnsi"/>
          <w:sz w:val="24"/>
          <w:szCs w:val="24"/>
          <w:lang w:eastAsia="en-GB"/>
        </w:rPr>
        <w:t xml:space="preserve">Designed to Smile staff across Wales were extremely valued in the NHS Covid-19 response. They were fully redeployed and had key roles in the community testing units and vaccination centres. </w:t>
      </w:r>
      <w:r w:rsidR="00F01403">
        <w:rPr>
          <w:rFonts w:asciiTheme="minorHAnsi" w:hAnsiTheme="minorHAnsi" w:cstheme="minorHAnsi"/>
          <w:sz w:val="24"/>
          <w:szCs w:val="24"/>
          <w:lang w:eastAsia="en-GB"/>
        </w:rPr>
        <w:t>T</w:t>
      </w:r>
      <w:r w:rsidRPr="00571267">
        <w:rPr>
          <w:rFonts w:asciiTheme="minorHAnsi" w:hAnsiTheme="minorHAnsi" w:cstheme="minorHAnsi"/>
          <w:sz w:val="24"/>
          <w:szCs w:val="24"/>
          <w:lang w:eastAsia="en-GB"/>
        </w:rPr>
        <w:t xml:space="preserve">hose that had returned from redeployment in September 2021 were returned to Covid-19 roles </w:t>
      </w:r>
      <w:r w:rsidR="00D652E0" w:rsidRPr="00571267">
        <w:rPr>
          <w:rFonts w:asciiTheme="minorHAnsi" w:hAnsiTheme="minorHAnsi" w:cstheme="minorHAnsi"/>
          <w:sz w:val="24"/>
          <w:szCs w:val="24"/>
          <w:lang w:eastAsia="en-GB"/>
        </w:rPr>
        <w:t>for the Omicron response. This meant that early attempts to r</w:t>
      </w:r>
      <w:r w:rsidR="0035391D">
        <w:rPr>
          <w:rFonts w:asciiTheme="minorHAnsi" w:hAnsiTheme="minorHAnsi" w:cstheme="minorHAnsi"/>
          <w:sz w:val="24"/>
          <w:szCs w:val="24"/>
          <w:lang w:eastAsia="en-GB"/>
        </w:rPr>
        <w:t xml:space="preserve">estart Designed to Smile faltered </w:t>
      </w:r>
      <w:r w:rsidR="00D652E0" w:rsidRPr="00571267">
        <w:rPr>
          <w:rFonts w:asciiTheme="minorHAnsi" w:hAnsiTheme="minorHAnsi" w:cstheme="minorHAnsi"/>
          <w:sz w:val="24"/>
          <w:szCs w:val="24"/>
          <w:lang w:eastAsia="en-GB"/>
        </w:rPr>
        <w:t xml:space="preserve">in the latter </w:t>
      </w:r>
      <w:proofErr w:type="gramStart"/>
      <w:r w:rsidR="00D652E0" w:rsidRPr="00571267">
        <w:rPr>
          <w:rFonts w:asciiTheme="minorHAnsi" w:hAnsiTheme="minorHAnsi" w:cstheme="minorHAnsi"/>
          <w:sz w:val="24"/>
          <w:szCs w:val="24"/>
          <w:lang w:eastAsia="en-GB"/>
        </w:rPr>
        <w:t>half of 2021, but</w:t>
      </w:r>
      <w:proofErr w:type="gramEnd"/>
      <w:r w:rsidR="00D652E0" w:rsidRPr="00571267">
        <w:rPr>
          <w:rFonts w:asciiTheme="minorHAnsi" w:hAnsiTheme="minorHAnsi" w:cstheme="minorHAnsi"/>
          <w:sz w:val="24"/>
          <w:szCs w:val="24"/>
          <w:lang w:eastAsia="en-GB"/>
        </w:rPr>
        <w:t xml:space="preserve"> began again at pace in Spring 2022.</w:t>
      </w:r>
    </w:p>
    <w:p w14:paraId="1DD67ECD" w14:textId="77777777" w:rsidR="00D652E0" w:rsidRPr="00571267" w:rsidRDefault="00D652E0" w:rsidP="00F8725A">
      <w:pPr>
        <w:spacing w:line="276" w:lineRule="auto"/>
        <w:ind w:left="567"/>
        <w:jc w:val="both"/>
        <w:rPr>
          <w:rFonts w:asciiTheme="minorHAnsi" w:hAnsiTheme="minorHAnsi" w:cstheme="minorHAnsi"/>
          <w:sz w:val="24"/>
          <w:szCs w:val="24"/>
          <w:lang w:eastAsia="en-GB"/>
        </w:rPr>
      </w:pPr>
    </w:p>
    <w:p w14:paraId="47FDCA22" w14:textId="36623DC0" w:rsidR="000D4594" w:rsidRPr="000D4594" w:rsidRDefault="00571267" w:rsidP="00F8725A">
      <w:pPr>
        <w:spacing w:line="276" w:lineRule="auto"/>
        <w:ind w:left="567"/>
        <w:jc w:val="both"/>
        <w:rPr>
          <w:rFonts w:asciiTheme="minorHAnsi" w:hAnsiTheme="minorHAnsi" w:cstheme="minorHAnsi"/>
          <w:sz w:val="24"/>
          <w:szCs w:val="24"/>
          <w:lang w:eastAsia="en-GB"/>
        </w:rPr>
      </w:pPr>
      <w:r>
        <w:rPr>
          <w:rFonts w:asciiTheme="minorHAnsi" w:hAnsiTheme="minorHAnsi" w:cstheme="minorHAnsi"/>
          <w:sz w:val="24"/>
          <w:szCs w:val="24"/>
          <w:lang w:eastAsia="en-GB"/>
        </w:rPr>
        <w:t>Prior to the pandemic, approximately 90,000 children were participating in daily supervised toothbrushing at 1200 nurseries and schools</w:t>
      </w:r>
      <w:r w:rsidR="0035391D">
        <w:rPr>
          <w:rFonts w:asciiTheme="minorHAnsi" w:hAnsiTheme="minorHAnsi" w:cstheme="minorHAnsi"/>
          <w:sz w:val="24"/>
          <w:szCs w:val="24"/>
          <w:lang w:eastAsia="en-GB"/>
        </w:rPr>
        <w:t>, and 45,000 children were receiving fluoride varnish applications at nursery or school</w:t>
      </w:r>
      <w:r w:rsidR="00435A99">
        <w:rPr>
          <w:rStyle w:val="EndnoteReference"/>
          <w:rFonts w:asciiTheme="minorHAnsi" w:hAnsiTheme="minorHAnsi" w:cstheme="minorHAnsi"/>
          <w:sz w:val="24"/>
          <w:szCs w:val="24"/>
          <w:lang w:eastAsia="en-GB"/>
        </w:rPr>
        <w:endnoteReference w:id="26"/>
      </w:r>
      <w:r w:rsidR="00435A99">
        <w:rPr>
          <w:rFonts w:asciiTheme="minorHAnsi" w:hAnsiTheme="minorHAnsi" w:cstheme="minorHAnsi"/>
          <w:sz w:val="24"/>
          <w:szCs w:val="24"/>
          <w:lang w:eastAsia="en-GB"/>
        </w:rPr>
        <w:t>.</w:t>
      </w:r>
      <w:r w:rsidR="000D4594">
        <w:rPr>
          <w:rFonts w:asciiTheme="minorHAnsi" w:hAnsiTheme="minorHAnsi" w:cstheme="minorHAnsi"/>
          <w:sz w:val="24"/>
          <w:szCs w:val="24"/>
          <w:lang w:eastAsia="en-GB"/>
        </w:rPr>
        <w:t xml:space="preserve"> </w:t>
      </w:r>
      <w:r w:rsidR="000D4594" w:rsidRPr="000D4594">
        <w:rPr>
          <w:rFonts w:asciiTheme="minorHAnsi" w:hAnsiTheme="minorHAnsi" w:cstheme="minorHAnsi"/>
          <w:sz w:val="24"/>
          <w:szCs w:val="24"/>
          <w:lang w:eastAsia="en-GB"/>
        </w:rPr>
        <w:t xml:space="preserve">Whilst there are </w:t>
      </w:r>
      <w:r w:rsidR="000D4594">
        <w:rPr>
          <w:rFonts w:asciiTheme="minorHAnsi" w:hAnsiTheme="minorHAnsi" w:cstheme="minorHAnsi"/>
          <w:sz w:val="24"/>
          <w:szCs w:val="24"/>
          <w:lang w:eastAsia="en-GB"/>
        </w:rPr>
        <w:t xml:space="preserve">multiple and varied challenges in recovering </w:t>
      </w:r>
      <w:r w:rsidR="000D4594" w:rsidRPr="000D4594">
        <w:rPr>
          <w:rFonts w:asciiTheme="minorHAnsi" w:hAnsiTheme="minorHAnsi" w:cstheme="minorHAnsi"/>
          <w:sz w:val="24"/>
          <w:szCs w:val="24"/>
          <w:lang w:eastAsia="en-GB"/>
        </w:rPr>
        <w:t>this programme</w:t>
      </w:r>
      <w:r w:rsidR="000D4594">
        <w:rPr>
          <w:rFonts w:asciiTheme="minorHAnsi" w:hAnsiTheme="minorHAnsi" w:cstheme="minorHAnsi"/>
          <w:sz w:val="24"/>
          <w:szCs w:val="24"/>
          <w:lang w:eastAsia="en-GB"/>
        </w:rPr>
        <w:t xml:space="preserve"> to the pre-pandemic level and ensuring targetin</w:t>
      </w:r>
      <w:r w:rsidR="00734002">
        <w:rPr>
          <w:rFonts w:asciiTheme="minorHAnsi" w:hAnsiTheme="minorHAnsi" w:cstheme="minorHAnsi"/>
          <w:sz w:val="24"/>
          <w:szCs w:val="24"/>
          <w:lang w:eastAsia="en-GB"/>
        </w:rPr>
        <w:t>g of available resources</w:t>
      </w:r>
      <w:r w:rsidR="000D4594" w:rsidRPr="000D4594">
        <w:rPr>
          <w:rFonts w:asciiTheme="minorHAnsi" w:hAnsiTheme="minorHAnsi" w:cstheme="minorHAnsi"/>
          <w:sz w:val="24"/>
          <w:szCs w:val="24"/>
          <w:lang w:eastAsia="en-GB"/>
        </w:rPr>
        <w:t>,</w:t>
      </w:r>
      <w:r w:rsidR="00734002">
        <w:rPr>
          <w:rFonts w:asciiTheme="minorHAnsi" w:hAnsiTheme="minorHAnsi" w:cstheme="minorHAnsi"/>
          <w:sz w:val="24"/>
          <w:szCs w:val="24"/>
          <w:lang w:eastAsia="en-GB"/>
        </w:rPr>
        <w:t xml:space="preserve"> the</w:t>
      </w:r>
      <w:r w:rsidR="000D4594" w:rsidRPr="000D4594">
        <w:rPr>
          <w:rFonts w:asciiTheme="minorHAnsi" w:hAnsiTheme="minorHAnsi" w:cstheme="minorHAnsi"/>
          <w:sz w:val="24"/>
          <w:szCs w:val="24"/>
          <w:lang w:eastAsia="en-GB"/>
        </w:rPr>
        <w:t xml:space="preserve"> focus of all partner organisations and teams involved in this important programme should be on recovering this programme as soon as possible so that </w:t>
      </w:r>
      <w:r w:rsidR="00F51FC6">
        <w:rPr>
          <w:rFonts w:asciiTheme="minorHAnsi" w:hAnsiTheme="minorHAnsi" w:cstheme="minorHAnsi"/>
          <w:sz w:val="24"/>
          <w:szCs w:val="24"/>
          <w:lang w:eastAsia="en-GB"/>
        </w:rPr>
        <w:t>oral health and ora</w:t>
      </w:r>
      <w:r w:rsidR="00734002">
        <w:rPr>
          <w:rFonts w:asciiTheme="minorHAnsi" w:hAnsiTheme="minorHAnsi" w:cstheme="minorHAnsi"/>
          <w:sz w:val="24"/>
          <w:szCs w:val="24"/>
          <w:lang w:eastAsia="en-GB"/>
        </w:rPr>
        <w:t>l health inequalities do not</w:t>
      </w:r>
      <w:r w:rsidR="00F51FC6">
        <w:rPr>
          <w:rFonts w:asciiTheme="minorHAnsi" w:hAnsiTheme="minorHAnsi" w:cstheme="minorHAnsi"/>
          <w:sz w:val="24"/>
          <w:szCs w:val="24"/>
          <w:lang w:eastAsia="en-GB"/>
        </w:rPr>
        <w:t xml:space="preserve"> worse</w:t>
      </w:r>
      <w:r w:rsidR="00734002">
        <w:rPr>
          <w:rFonts w:asciiTheme="minorHAnsi" w:hAnsiTheme="minorHAnsi" w:cstheme="minorHAnsi"/>
          <w:sz w:val="24"/>
          <w:szCs w:val="24"/>
          <w:lang w:eastAsia="en-GB"/>
        </w:rPr>
        <w:t>n</w:t>
      </w:r>
      <w:r w:rsidR="00F51FC6">
        <w:rPr>
          <w:rFonts w:asciiTheme="minorHAnsi" w:hAnsiTheme="minorHAnsi" w:cstheme="minorHAnsi"/>
          <w:sz w:val="24"/>
          <w:szCs w:val="24"/>
          <w:lang w:eastAsia="en-GB"/>
        </w:rPr>
        <w:t xml:space="preserve">. </w:t>
      </w:r>
    </w:p>
    <w:p w14:paraId="38E2EAF2" w14:textId="21243209" w:rsidR="00F01403" w:rsidRPr="00571267" w:rsidRDefault="00F01403" w:rsidP="00F8725A">
      <w:pPr>
        <w:spacing w:line="276" w:lineRule="auto"/>
        <w:ind w:left="567"/>
        <w:jc w:val="both"/>
        <w:rPr>
          <w:rFonts w:asciiTheme="minorHAnsi" w:hAnsiTheme="minorHAnsi" w:cstheme="minorHAnsi"/>
          <w:sz w:val="24"/>
          <w:szCs w:val="24"/>
          <w:lang w:eastAsia="en-GB"/>
        </w:rPr>
      </w:pPr>
    </w:p>
    <w:p w14:paraId="0D9CBC64" w14:textId="2025BD59" w:rsidR="00D652E0" w:rsidRPr="004B6AFE" w:rsidRDefault="00FB15DD" w:rsidP="00F8725A">
      <w:pPr>
        <w:spacing w:after="120" w:line="276" w:lineRule="auto"/>
        <w:ind w:left="567"/>
        <w:jc w:val="both"/>
        <w:rPr>
          <w:rFonts w:asciiTheme="minorHAnsi" w:hAnsiTheme="minorHAnsi" w:cstheme="minorHAnsi"/>
          <w:b/>
          <w:sz w:val="24"/>
          <w:szCs w:val="24"/>
          <w:lang w:eastAsia="en-GB"/>
        </w:rPr>
      </w:pPr>
      <w:r w:rsidRPr="00FB15DD">
        <w:rPr>
          <w:rFonts w:asciiTheme="minorHAnsi" w:hAnsiTheme="minorHAnsi" w:cstheme="minorHAnsi"/>
          <w:b/>
          <w:sz w:val="24"/>
          <w:szCs w:val="24"/>
          <w:lang w:eastAsia="en-GB"/>
        </w:rPr>
        <w:t xml:space="preserve">b) </w:t>
      </w:r>
      <w:proofErr w:type="spellStart"/>
      <w:r w:rsidR="004B6AFE">
        <w:rPr>
          <w:rFonts w:asciiTheme="minorHAnsi" w:hAnsiTheme="minorHAnsi" w:cstheme="minorHAnsi"/>
          <w:b/>
          <w:sz w:val="24"/>
          <w:szCs w:val="24"/>
          <w:lang w:eastAsia="en-GB"/>
        </w:rPr>
        <w:t>Gwên</w:t>
      </w:r>
      <w:proofErr w:type="spellEnd"/>
      <w:r w:rsidR="004B6AFE">
        <w:rPr>
          <w:rFonts w:asciiTheme="minorHAnsi" w:hAnsiTheme="minorHAnsi" w:cstheme="minorHAnsi"/>
          <w:b/>
          <w:sz w:val="24"/>
          <w:szCs w:val="24"/>
          <w:lang w:eastAsia="en-GB"/>
        </w:rPr>
        <w:t xml:space="preserve"> am </w:t>
      </w:r>
      <w:proofErr w:type="spellStart"/>
      <w:r w:rsidR="004B6AFE">
        <w:rPr>
          <w:rFonts w:asciiTheme="minorHAnsi" w:hAnsiTheme="minorHAnsi" w:cstheme="minorHAnsi"/>
          <w:b/>
          <w:sz w:val="24"/>
          <w:szCs w:val="24"/>
          <w:lang w:eastAsia="en-GB"/>
        </w:rPr>
        <w:t>Byth</w:t>
      </w:r>
      <w:proofErr w:type="spellEnd"/>
      <w:r w:rsidR="004B6AFE">
        <w:rPr>
          <w:rFonts w:asciiTheme="minorHAnsi" w:hAnsiTheme="minorHAnsi" w:cstheme="minorHAnsi"/>
          <w:b/>
          <w:sz w:val="24"/>
          <w:szCs w:val="24"/>
          <w:lang w:eastAsia="en-GB"/>
        </w:rPr>
        <w:t xml:space="preserve"> </w:t>
      </w:r>
    </w:p>
    <w:p w14:paraId="50F408B1" w14:textId="401F7FD2" w:rsidR="00752DC8" w:rsidRPr="00571267" w:rsidRDefault="0003738D" w:rsidP="00F8725A">
      <w:pPr>
        <w:spacing w:after="120" w:line="276" w:lineRule="auto"/>
        <w:ind w:left="567"/>
        <w:jc w:val="both"/>
        <w:rPr>
          <w:rFonts w:asciiTheme="minorHAnsi" w:hAnsiTheme="minorHAnsi" w:cstheme="minorHAnsi"/>
          <w:sz w:val="24"/>
          <w:szCs w:val="24"/>
          <w:lang w:eastAsia="en-GB"/>
        </w:rPr>
      </w:pPr>
      <w:r w:rsidRPr="00571267">
        <w:rPr>
          <w:rFonts w:asciiTheme="minorHAnsi" w:hAnsiTheme="minorHAnsi" w:cstheme="minorHAnsi"/>
          <w:sz w:val="24"/>
          <w:szCs w:val="24"/>
          <w:lang w:eastAsia="en-GB"/>
        </w:rPr>
        <w:t xml:space="preserve">A survey of care home residents in Wales in 2010-11 highlighted high levels of poor oral hygiene and </w:t>
      </w:r>
      <w:r w:rsidR="00752DC8" w:rsidRPr="00571267">
        <w:rPr>
          <w:rFonts w:asciiTheme="minorHAnsi" w:hAnsiTheme="minorHAnsi" w:cstheme="minorHAnsi"/>
          <w:sz w:val="24"/>
          <w:szCs w:val="24"/>
          <w:lang w:eastAsia="en-GB"/>
        </w:rPr>
        <w:t>dental disease</w:t>
      </w:r>
      <w:r w:rsidR="00435A99">
        <w:rPr>
          <w:rStyle w:val="EndnoteReference"/>
          <w:rFonts w:asciiTheme="minorHAnsi" w:hAnsiTheme="minorHAnsi" w:cstheme="minorHAnsi"/>
          <w:sz w:val="24"/>
          <w:szCs w:val="24"/>
          <w:lang w:eastAsia="en-GB"/>
        </w:rPr>
        <w:endnoteReference w:id="27"/>
      </w:r>
      <w:r w:rsidR="00752DC8" w:rsidRPr="00571267">
        <w:rPr>
          <w:rFonts w:asciiTheme="minorHAnsi" w:hAnsiTheme="minorHAnsi" w:cstheme="minorHAnsi"/>
          <w:sz w:val="24"/>
          <w:szCs w:val="24"/>
          <w:lang w:eastAsia="en-GB"/>
        </w:rPr>
        <w:t>. The</w:t>
      </w:r>
      <w:r w:rsidR="00752DC8" w:rsidRPr="00571267">
        <w:rPr>
          <w:rFonts w:asciiTheme="minorHAnsi" w:hAnsiTheme="minorHAnsi" w:cstheme="minorHAnsi"/>
          <w:sz w:val="24"/>
          <w:szCs w:val="24"/>
        </w:rPr>
        <w:t xml:space="preserve"> </w:t>
      </w:r>
      <w:proofErr w:type="spellStart"/>
      <w:r w:rsidR="00752DC8" w:rsidRPr="00571267">
        <w:rPr>
          <w:rFonts w:asciiTheme="minorHAnsi" w:hAnsiTheme="minorHAnsi" w:cstheme="minorHAnsi"/>
          <w:sz w:val="24"/>
          <w:szCs w:val="24"/>
          <w:lang w:eastAsia="en-GB"/>
        </w:rPr>
        <w:t>Gwên</w:t>
      </w:r>
      <w:proofErr w:type="spellEnd"/>
      <w:r w:rsidR="00752DC8" w:rsidRPr="00571267">
        <w:rPr>
          <w:rFonts w:asciiTheme="minorHAnsi" w:hAnsiTheme="minorHAnsi" w:cstheme="minorHAnsi"/>
          <w:sz w:val="24"/>
          <w:szCs w:val="24"/>
          <w:lang w:eastAsia="en-GB"/>
        </w:rPr>
        <w:t xml:space="preserve"> am </w:t>
      </w:r>
      <w:proofErr w:type="spellStart"/>
      <w:r w:rsidR="00752DC8" w:rsidRPr="00571267">
        <w:rPr>
          <w:rFonts w:asciiTheme="minorHAnsi" w:hAnsiTheme="minorHAnsi" w:cstheme="minorHAnsi"/>
          <w:sz w:val="24"/>
          <w:szCs w:val="24"/>
          <w:lang w:eastAsia="en-GB"/>
        </w:rPr>
        <w:t>Byth</w:t>
      </w:r>
      <w:proofErr w:type="spellEnd"/>
      <w:r w:rsidR="00752DC8" w:rsidRPr="00571267">
        <w:rPr>
          <w:rFonts w:asciiTheme="minorHAnsi" w:hAnsiTheme="minorHAnsi" w:cstheme="minorHAnsi"/>
          <w:sz w:val="24"/>
          <w:szCs w:val="24"/>
          <w:lang w:eastAsia="en-GB"/>
        </w:rPr>
        <w:t xml:space="preserve"> national programme to improve oral health for older people living in care homes was established as a result. Overseen by the NHS Wales Community Dental Services, it has </w:t>
      </w:r>
      <w:r w:rsidR="000771F7">
        <w:rPr>
          <w:rFonts w:asciiTheme="minorHAnsi" w:hAnsiTheme="minorHAnsi" w:cstheme="minorHAnsi"/>
          <w:sz w:val="24"/>
          <w:szCs w:val="24"/>
          <w:lang w:eastAsia="en-GB"/>
        </w:rPr>
        <w:t xml:space="preserve">the </w:t>
      </w:r>
      <w:r w:rsidR="00752DC8" w:rsidRPr="00571267">
        <w:rPr>
          <w:rFonts w:asciiTheme="minorHAnsi" w:hAnsiTheme="minorHAnsi" w:cstheme="minorHAnsi"/>
          <w:sz w:val="24"/>
          <w:szCs w:val="24"/>
          <w:lang w:eastAsia="en-GB"/>
        </w:rPr>
        <w:t xml:space="preserve">aims that in participating care homes: </w:t>
      </w:r>
    </w:p>
    <w:p w14:paraId="3CFE4944" w14:textId="74612640" w:rsidR="00752DC8" w:rsidRPr="00F8725A" w:rsidRDefault="00752DC8" w:rsidP="00F8725A">
      <w:pPr>
        <w:pStyle w:val="ListParagraph"/>
        <w:numPr>
          <w:ilvl w:val="0"/>
          <w:numId w:val="8"/>
        </w:numPr>
        <w:spacing w:line="276" w:lineRule="auto"/>
        <w:ind w:left="1208" w:hanging="357"/>
        <w:jc w:val="both"/>
        <w:rPr>
          <w:rFonts w:asciiTheme="minorHAnsi" w:hAnsiTheme="minorHAnsi" w:cstheme="minorHAnsi"/>
          <w:sz w:val="24"/>
          <w:szCs w:val="24"/>
          <w:lang w:eastAsia="en-GB"/>
        </w:rPr>
      </w:pPr>
      <w:r w:rsidRPr="00F8725A">
        <w:rPr>
          <w:rFonts w:asciiTheme="minorHAnsi" w:hAnsiTheme="minorHAnsi" w:cstheme="minorHAnsi"/>
          <w:sz w:val="24"/>
          <w:szCs w:val="24"/>
          <w:lang w:eastAsia="en-GB"/>
        </w:rPr>
        <w:t xml:space="preserve">an up-to-date mouth care policy is in </w:t>
      </w:r>
      <w:proofErr w:type="gramStart"/>
      <w:r w:rsidRPr="00F8725A">
        <w:rPr>
          <w:rFonts w:asciiTheme="minorHAnsi" w:hAnsiTheme="minorHAnsi" w:cstheme="minorHAnsi"/>
          <w:sz w:val="24"/>
          <w:szCs w:val="24"/>
          <w:lang w:eastAsia="en-GB"/>
        </w:rPr>
        <w:t>place;</w:t>
      </w:r>
      <w:proofErr w:type="gramEnd"/>
    </w:p>
    <w:p w14:paraId="024D7CD0" w14:textId="0A0BF630" w:rsidR="00752DC8" w:rsidRPr="00F8725A" w:rsidRDefault="00752DC8" w:rsidP="00F8725A">
      <w:pPr>
        <w:pStyle w:val="ListParagraph"/>
        <w:numPr>
          <w:ilvl w:val="0"/>
          <w:numId w:val="8"/>
        </w:numPr>
        <w:spacing w:line="276" w:lineRule="auto"/>
        <w:ind w:left="1208" w:hanging="357"/>
        <w:jc w:val="both"/>
        <w:rPr>
          <w:rFonts w:asciiTheme="minorHAnsi" w:hAnsiTheme="minorHAnsi" w:cstheme="minorHAnsi"/>
          <w:sz w:val="24"/>
          <w:szCs w:val="24"/>
          <w:lang w:eastAsia="en-GB"/>
        </w:rPr>
      </w:pPr>
      <w:r w:rsidRPr="00F8725A">
        <w:rPr>
          <w:rFonts w:asciiTheme="minorHAnsi" w:hAnsiTheme="minorHAnsi" w:cstheme="minorHAnsi"/>
          <w:sz w:val="24"/>
          <w:szCs w:val="24"/>
          <w:lang w:eastAsia="en-GB"/>
        </w:rPr>
        <w:t xml:space="preserve">staff are trained in mouth care (including at induction) and the home keeps a register of </w:t>
      </w:r>
      <w:proofErr w:type="gramStart"/>
      <w:r w:rsidRPr="00F8725A">
        <w:rPr>
          <w:rFonts w:asciiTheme="minorHAnsi" w:hAnsiTheme="minorHAnsi" w:cstheme="minorHAnsi"/>
          <w:sz w:val="24"/>
          <w:szCs w:val="24"/>
          <w:lang w:eastAsia="en-GB"/>
        </w:rPr>
        <w:t>training;</w:t>
      </w:r>
      <w:proofErr w:type="gramEnd"/>
    </w:p>
    <w:p w14:paraId="71B9F97F" w14:textId="6C4EB446" w:rsidR="00752DC8" w:rsidRPr="00F8725A" w:rsidRDefault="00752DC8" w:rsidP="00F8725A">
      <w:pPr>
        <w:pStyle w:val="ListParagraph"/>
        <w:numPr>
          <w:ilvl w:val="0"/>
          <w:numId w:val="8"/>
        </w:numPr>
        <w:spacing w:line="276" w:lineRule="auto"/>
        <w:ind w:left="1208" w:hanging="357"/>
        <w:jc w:val="both"/>
        <w:rPr>
          <w:rFonts w:asciiTheme="minorHAnsi" w:hAnsiTheme="minorHAnsi" w:cstheme="minorHAnsi"/>
          <w:sz w:val="24"/>
          <w:szCs w:val="24"/>
          <w:lang w:eastAsia="en-GB"/>
        </w:rPr>
      </w:pPr>
      <w:r w:rsidRPr="00F8725A">
        <w:rPr>
          <w:rFonts w:asciiTheme="minorHAnsi" w:hAnsiTheme="minorHAnsi" w:cstheme="minorHAnsi"/>
          <w:sz w:val="24"/>
          <w:szCs w:val="24"/>
          <w:lang w:eastAsia="en-GB"/>
        </w:rPr>
        <w:lastRenderedPageBreak/>
        <w:t xml:space="preserve">residents have a mouth care assessment at appropriate intervals to identify any changes that will impact on their oral </w:t>
      </w:r>
      <w:proofErr w:type="gramStart"/>
      <w:r w:rsidRPr="00F8725A">
        <w:rPr>
          <w:rFonts w:asciiTheme="minorHAnsi" w:hAnsiTheme="minorHAnsi" w:cstheme="minorHAnsi"/>
          <w:sz w:val="24"/>
          <w:szCs w:val="24"/>
          <w:lang w:eastAsia="en-GB"/>
        </w:rPr>
        <w:t>health;</w:t>
      </w:r>
      <w:proofErr w:type="gramEnd"/>
    </w:p>
    <w:p w14:paraId="06A5775A" w14:textId="0E9CC44D" w:rsidR="00752DC8" w:rsidRPr="00F8725A" w:rsidRDefault="00752DC8" w:rsidP="00F8725A">
      <w:pPr>
        <w:pStyle w:val="ListParagraph"/>
        <w:numPr>
          <w:ilvl w:val="0"/>
          <w:numId w:val="8"/>
        </w:numPr>
        <w:spacing w:line="276" w:lineRule="auto"/>
        <w:ind w:left="1208" w:hanging="357"/>
        <w:jc w:val="both"/>
        <w:rPr>
          <w:rFonts w:asciiTheme="minorHAnsi" w:hAnsiTheme="minorHAnsi" w:cstheme="minorHAnsi"/>
          <w:sz w:val="24"/>
          <w:szCs w:val="24"/>
          <w:lang w:eastAsia="en-GB"/>
        </w:rPr>
      </w:pPr>
      <w:r w:rsidRPr="00F8725A">
        <w:rPr>
          <w:rFonts w:asciiTheme="minorHAnsi" w:hAnsiTheme="minorHAnsi" w:cstheme="minorHAnsi"/>
          <w:sz w:val="24"/>
          <w:szCs w:val="24"/>
          <w:lang w:eastAsia="en-GB"/>
        </w:rPr>
        <w:t>the assessment leads to an individual care plan, designed to support routine good oral hygiene that is reviewed on a regular basis; and</w:t>
      </w:r>
    </w:p>
    <w:p w14:paraId="14E065A1" w14:textId="361F29B0" w:rsidR="00752DC8" w:rsidRPr="00F8725A" w:rsidRDefault="00752DC8" w:rsidP="00F8725A">
      <w:pPr>
        <w:pStyle w:val="ListParagraph"/>
        <w:numPr>
          <w:ilvl w:val="0"/>
          <w:numId w:val="8"/>
        </w:numPr>
        <w:spacing w:line="276" w:lineRule="auto"/>
        <w:ind w:left="1208" w:hanging="357"/>
        <w:jc w:val="both"/>
        <w:rPr>
          <w:rFonts w:asciiTheme="minorHAnsi" w:hAnsiTheme="minorHAnsi" w:cstheme="minorHAnsi"/>
          <w:sz w:val="24"/>
          <w:szCs w:val="24"/>
          <w:lang w:eastAsia="en-GB"/>
        </w:rPr>
      </w:pPr>
      <w:r w:rsidRPr="00F8725A">
        <w:rPr>
          <w:rFonts w:asciiTheme="minorHAnsi" w:hAnsiTheme="minorHAnsi" w:cstheme="minorHAnsi"/>
          <w:sz w:val="24"/>
          <w:szCs w:val="24"/>
          <w:lang w:eastAsia="en-GB"/>
        </w:rPr>
        <w:t>care homes are aware of how to ensure timely access to appropriate dental care and treatment when required.</w:t>
      </w:r>
    </w:p>
    <w:p w14:paraId="7FA79239" w14:textId="77777777" w:rsidR="00364574" w:rsidRPr="00571267" w:rsidRDefault="00364574" w:rsidP="00F8725A">
      <w:pPr>
        <w:spacing w:line="276" w:lineRule="auto"/>
        <w:ind w:left="567"/>
        <w:jc w:val="both"/>
        <w:rPr>
          <w:rFonts w:asciiTheme="minorHAnsi" w:hAnsiTheme="minorHAnsi" w:cstheme="minorHAnsi"/>
          <w:sz w:val="24"/>
          <w:szCs w:val="24"/>
          <w:lang w:eastAsia="en-GB"/>
        </w:rPr>
      </w:pPr>
    </w:p>
    <w:p w14:paraId="5AA19283" w14:textId="4B4E44B1" w:rsidR="00752DC8" w:rsidRDefault="00752DC8" w:rsidP="00F8725A">
      <w:pPr>
        <w:spacing w:line="276" w:lineRule="auto"/>
        <w:ind w:left="567"/>
        <w:jc w:val="both"/>
        <w:rPr>
          <w:rFonts w:asciiTheme="minorHAnsi" w:hAnsiTheme="minorHAnsi" w:cstheme="minorHAnsi"/>
          <w:sz w:val="24"/>
          <w:szCs w:val="24"/>
          <w:lang w:eastAsia="en-GB"/>
        </w:rPr>
      </w:pPr>
      <w:proofErr w:type="spellStart"/>
      <w:r w:rsidRPr="00571267">
        <w:rPr>
          <w:rFonts w:asciiTheme="minorHAnsi" w:hAnsiTheme="minorHAnsi" w:cstheme="minorHAnsi"/>
          <w:sz w:val="24"/>
          <w:szCs w:val="24"/>
        </w:rPr>
        <w:t>Gwên</w:t>
      </w:r>
      <w:proofErr w:type="spellEnd"/>
      <w:r w:rsidRPr="00571267">
        <w:rPr>
          <w:rFonts w:asciiTheme="minorHAnsi" w:hAnsiTheme="minorHAnsi" w:cstheme="minorHAnsi"/>
          <w:sz w:val="24"/>
          <w:szCs w:val="24"/>
        </w:rPr>
        <w:t xml:space="preserve"> am </w:t>
      </w:r>
      <w:proofErr w:type="spellStart"/>
      <w:r w:rsidRPr="00571267">
        <w:rPr>
          <w:rFonts w:asciiTheme="minorHAnsi" w:hAnsiTheme="minorHAnsi" w:cstheme="minorHAnsi"/>
          <w:sz w:val="24"/>
          <w:szCs w:val="24"/>
        </w:rPr>
        <w:t>Byth</w:t>
      </w:r>
      <w:proofErr w:type="spellEnd"/>
      <w:r w:rsidRPr="00571267">
        <w:rPr>
          <w:rFonts w:asciiTheme="minorHAnsi" w:hAnsiTheme="minorHAnsi" w:cstheme="minorHAnsi"/>
          <w:sz w:val="24"/>
          <w:szCs w:val="24"/>
        </w:rPr>
        <w:t xml:space="preserve"> activity was sever</w:t>
      </w:r>
      <w:r w:rsidR="00571267">
        <w:rPr>
          <w:rFonts w:asciiTheme="minorHAnsi" w:hAnsiTheme="minorHAnsi" w:cstheme="minorHAnsi"/>
          <w:sz w:val="24"/>
          <w:szCs w:val="24"/>
        </w:rPr>
        <w:t>e</w:t>
      </w:r>
      <w:r w:rsidRPr="00571267">
        <w:rPr>
          <w:rFonts w:asciiTheme="minorHAnsi" w:hAnsiTheme="minorHAnsi" w:cstheme="minorHAnsi"/>
          <w:sz w:val="24"/>
          <w:szCs w:val="24"/>
        </w:rPr>
        <w:t xml:space="preserve">ly impacted by COVID-19 </w:t>
      </w:r>
      <w:proofErr w:type="gramStart"/>
      <w:r w:rsidRPr="00571267">
        <w:rPr>
          <w:rFonts w:asciiTheme="minorHAnsi" w:hAnsiTheme="minorHAnsi" w:cstheme="minorHAnsi"/>
          <w:sz w:val="24"/>
          <w:szCs w:val="24"/>
        </w:rPr>
        <w:t>restrictions</w:t>
      </w:r>
      <w:r w:rsidR="00571267">
        <w:rPr>
          <w:rFonts w:asciiTheme="minorHAnsi" w:hAnsiTheme="minorHAnsi" w:cstheme="minorHAnsi"/>
          <w:sz w:val="24"/>
          <w:szCs w:val="24"/>
        </w:rPr>
        <w:t>, but</w:t>
      </w:r>
      <w:proofErr w:type="gramEnd"/>
      <w:r w:rsidR="00571267">
        <w:rPr>
          <w:rFonts w:asciiTheme="minorHAnsi" w:hAnsiTheme="minorHAnsi" w:cstheme="minorHAnsi"/>
          <w:sz w:val="24"/>
          <w:szCs w:val="24"/>
        </w:rPr>
        <w:t xml:space="preserve"> has seen a good recovery</w:t>
      </w:r>
      <w:r w:rsidRPr="00571267">
        <w:rPr>
          <w:rFonts w:asciiTheme="minorHAnsi" w:hAnsiTheme="minorHAnsi" w:cstheme="minorHAnsi"/>
          <w:sz w:val="24"/>
          <w:szCs w:val="24"/>
        </w:rPr>
        <w:t xml:space="preserve">. In 2021-2022, 299 care homes were participating fully in the programme and 199 were partially participating. </w:t>
      </w:r>
      <w:r w:rsidR="00571267">
        <w:rPr>
          <w:rFonts w:asciiTheme="minorHAnsi" w:hAnsiTheme="minorHAnsi" w:cstheme="minorHAnsi"/>
          <w:sz w:val="24"/>
          <w:szCs w:val="24"/>
        </w:rPr>
        <w:t>In comparison, in 2019-2020, 310 care homes were participating fully and 12</w:t>
      </w:r>
      <w:r w:rsidR="008B514D">
        <w:rPr>
          <w:rFonts w:asciiTheme="minorHAnsi" w:hAnsiTheme="minorHAnsi" w:cstheme="minorHAnsi"/>
          <w:sz w:val="24"/>
          <w:szCs w:val="24"/>
        </w:rPr>
        <w:t>4 were partially participating</w:t>
      </w:r>
      <w:r w:rsidR="00435A99">
        <w:rPr>
          <w:rStyle w:val="EndnoteReference"/>
          <w:rFonts w:asciiTheme="minorHAnsi" w:hAnsiTheme="minorHAnsi" w:cstheme="minorHAnsi"/>
          <w:sz w:val="24"/>
          <w:szCs w:val="24"/>
        </w:rPr>
        <w:endnoteReference w:id="28"/>
      </w:r>
      <w:r w:rsidR="008B514D">
        <w:rPr>
          <w:rFonts w:asciiTheme="minorHAnsi" w:hAnsiTheme="minorHAnsi" w:cstheme="minorHAnsi"/>
          <w:sz w:val="24"/>
          <w:szCs w:val="24"/>
          <w:lang w:eastAsia="en-GB"/>
        </w:rPr>
        <w:t xml:space="preserve">. </w:t>
      </w:r>
      <w:r w:rsidR="002824CD">
        <w:rPr>
          <w:rFonts w:asciiTheme="minorHAnsi" w:hAnsiTheme="minorHAnsi" w:cstheme="minorHAnsi"/>
          <w:sz w:val="24"/>
          <w:szCs w:val="24"/>
          <w:lang w:eastAsia="en-GB"/>
        </w:rPr>
        <w:t xml:space="preserve">It must be noted that this programme does not deliver domiciliary dental care. </w:t>
      </w:r>
    </w:p>
    <w:p w14:paraId="27AF2030" w14:textId="0A95958E" w:rsidR="00073B42" w:rsidRDefault="00073B42" w:rsidP="00F8725A">
      <w:pPr>
        <w:spacing w:line="276" w:lineRule="auto"/>
        <w:ind w:left="567"/>
        <w:jc w:val="both"/>
        <w:rPr>
          <w:rFonts w:asciiTheme="minorHAnsi" w:hAnsiTheme="minorHAnsi" w:cstheme="minorHAnsi"/>
          <w:sz w:val="24"/>
          <w:szCs w:val="24"/>
        </w:rPr>
      </w:pPr>
    </w:p>
    <w:p w14:paraId="1C2AF85C" w14:textId="2C02D522" w:rsidR="00DF27C3" w:rsidRDefault="007429FD" w:rsidP="00F8725A">
      <w:pPr>
        <w:spacing w:after="240" w:line="276" w:lineRule="auto"/>
        <w:ind w:left="567"/>
        <w:jc w:val="both"/>
        <w:rPr>
          <w:rFonts w:asciiTheme="minorHAnsi" w:hAnsiTheme="minorHAnsi" w:cstheme="minorHAnsi"/>
          <w:b/>
          <w:sz w:val="24"/>
          <w:szCs w:val="24"/>
        </w:rPr>
      </w:pPr>
      <w:r w:rsidRPr="00E207AF">
        <w:rPr>
          <w:rFonts w:asciiTheme="minorHAnsi" w:hAnsiTheme="minorHAnsi" w:cstheme="minorHAnsi"/>
          <w:b/>
          <w:sz w:val="24"/>
          <w:szCs w:val="24"/>
        </w:rPr>
        <w:t>3. Den</w:t>
      </w:r>
      <w:r w:rsidR="00C672F3" w:rsidRPr="00E207AF">
        <w:rPr>
          <w:rFonts w:asciiTheme="minorHAnsi" w:hAnsiTheme="minorHAnsi" w:cstheme="minorHAnsi"/>
          <w:b/>
          <w:sz w:val="24"/>
          <w:szCs w:val="24"/>
        </w:rPr>
        <w:t>tal</w:t>
      </w:r>
      <w:r w:rsidR="00C672F3">
        <w:rPr>
          <w:rFonts w:asciiTheme="minorHAnsi" w:hAnsiTheme="minorHAnsi" w:cstheme="minorHAnsi"/>
          <w:b/>
          <w:sz w:val="24"/>
          <w:szCs w:val="24"/>
        </w:rPr>
        <w:t xml:space="preserve"> s</w:t>
      </w:r>
      <w:r w:rsidRPr="007429FD">
        <w:rPr>
          <w:rFonts w:asciiTheme="minorHAnsi" w:hAnsiTheme="minorHAnsi" w:cstheme="minorHAnsi"/>
          <w:b/>
          <w:sz w:val="24"/>
          <w:szCs w:val="24"/>
        </w:rPr>
        <w:t xml:space="preserve">ervices reform must ensure dental access based on need and </w:t>
      </w:r>
      <w:r w:rsidR="005839E8">
        <w:rPr>
          <w:rFonts w:asciiTheme="minorHAnsi" w:hAnsiTheme="minorHAnsi" w:cstheme="minorHAnsi"/>
          <w:b/>
          <w:sz w:val="24"/>
          <w:szCs w:val="24"/>
        </w:rPr>
        <w:t>delivery of dental care</w:t>
      </w:r>
      <w:r w:rsidR="00C672F3">
        <w:rPr>
          <w:rFonts w:asciiTheme="minorHAnsi" w:hAnsiTheme="minorHAnsi" w:cstheme="minorHAnsi"/>
          <w:b/>
          <w:sz w:val="24"/>
          <w:szCs w:val="24"/>
        </w:rPr>
        <w:t xml:space="preserve"> focussed on patient outcomes </w:t>
      </w:r>
    </w:p>
    <w:p w14:paraId="0BCADF9E" w14:textId="52417BF6" w:rsidR="00D254D0" w:rsidRPr="004B6AFE" w:rsidRDefault="004B6AFE" w:rsidP="00F8725A">
      <w:pPr>
        <w:spacing w:after="120" w:line="276" w:lineRule="auto"/>
        <w:ind w:left="567"/>
        <w:jc w:val="both"/>
        <w:rPr>
          <w:rFonts w:asciiTheme="minorHAnsi" w:hAnsiTheme="minorHAnsi" w:cstheme="minorHAnsi"/>
          <w:b/>
          <w:sz w:val="24"/>
          <w:szCs w:val="24"/>
        </w:rPr>
      </w:pPr>
      <w:r>
        <w:rPr>
          <w:rFonts w:asciiTheme="minorHAnsi" w:hAnsiTheme="minorHAnsi" w:cstheme="minorHAnsi"/>
          <w:b/>
          <w:sz w:val="24"/>
          <w:szCs w:val="24"/>
        </w:rPr>
        <w:t>a) General Dental Services</w:t>
      </w:r>
    </w:p>
    <w:p w14:paraId="2A5C423F" w14:textId="40810828" w:rsidR="00304EEF" w:rsidRDefault="00213DE1" w:rsidP="00F8725A">
      <w:pPr>
        <w:spacing w:after="120" w:line="276" w:lineRule="auto"/>
        <w:ind w:left="567"/>
        <w:jc w:val="both"/>
        <w:rPr>
          <w:rFonts w:asciiTheme="minorHAnsi" w:hAnsiTheme="minorHAnsi" w:cstheme="minorHAnsi"/>
          <w:sz w:val="24"/>
          <w:szCs w:val="24"/>
        </w:rPr>
      </w:pPr>
      <w:r>
        <w:rPr>
          <w:rFonts w:asciiTheme="minorHAnsi" w:hAnsiTheme="minorHAnsi" w:cstheme="minorHAnsi"/>
          <w:sz w:val="24"/>
          <w:szCs w:val="24"/>
        </w:rPr>
        <w:t>NHS</w:t>
      </w:r>
      <w:r w:rsidR="00304EEF">
        <w:rPr>
          <w:rFonts w:asciiTheme="minorHAnsi" w:hAnsiTheme="minorHAnsi" w:cstheme="minorHAnsi"/>
          <w:sz w:val="24"/>
          <w:szCs w:val="24"/>
        </w:rPr>
        <w:t xml:space="preserve"> dental services were probably the most affected primary care</w:t>
      </w:r>
      <w:r w:rsidR="00734002">
        <w:rPr>
          <w:rFonts w:asciiTheme="minorHAnsi" w:hAnsiTheme="minorHAnsi" w:cstheme="minorHAnsi"/>
          <w:sz w:val="24"/>
          <w:szCs w:val="24"/>
        </w:rPr>
        <w:t xml:space="preserve"> service </w:t>
      </w:r>
      <w:r w:rsidR="00304EEF">
        <w:rPr>
          <w:rFonts w:asciiTheme="minorHAnsi" w:hAnsiTheme="minorHAnsi" w:cstheme="minorHAnsi"/>
          <w:sz w:val="24"/>
          <w:szCs w:val="24"/>
        </w:rPr>
        <w:t>during the pandemic because</w:t>
      </w:r>
      <w:r w:rsidR="00734002">
        <w:rPr>
          <w:rFonts w:asciiTheme="minorHAnsi" w:hAnsiTheme="minorHAnsi" w:cstheme="minorHAnsi"/>
          <w:sz w:val="24"/>
          <w:szCs w:val="24"/>
        </w:rPr>
        <w:t xml:space="preserve"> a significant proportion of</w:t>
      </w:r>
      <w:r w:rsidR="00304EEF">
        <w:rPr>
          <w:rFonts w:asciiTheme="minorHAnsi" w:hAnsiTheme="minorHAnsi" w:cstheme="minorHAnsi"/>
          <w:sz w:val="24"/>
          <w:szCs w:val="24"/>
        </w:rPr>
        <w:t xml:space="preserve"> dentistry involves aerosol generating procedures. Strict infection prevention and control measures were needed to reduce the risk of transmission in dental settings. </w:t>
      </w:r>
      <w:r w:rsidR="00734002">
        <w:rPr>
          <w:rFonts w:asciiTheme="minorHAnsi" w:hAnsiTheme="minorHAnsi" w:cstheme="minorHAnsi"/>
          <w:sz w:val="24"/>
          <w:szCs w:val="24"/>
        </w:rPr>
        <w:t>The i</w:t>
      </w:r>
      <w:r w:rsidR="00B164D6" w:rsidRPr="00B164D6">
        <w:rPr>
          <w:rFonts w:asciiTheme="minorHAnsi" w:hAnsiTheme="minorHAnsi" w:cstheme="minorHAnsi"/>
          <w:sz w:val="24"/>
          <w:szCs w:val="24"/>
        </w:rPr>
        <w:t>mpact of the COVID19 pandemic on overall access can be seen in Figure 1 (12 months access for children) and Figure 2 (24 months access for adults) with signs of recovery in</w:t>
      </w:r>
      <w:r w:rsidR="00B164D6">
        <w:rPr>
          <w:rFonts w:asciiTheme="minorHAnsi" w:hAnsiTheme="minorHAnsi" w:cstheme="minorHAnsi"/>
          <w:sz w:val="24"/>
          <w:szCs w:val="24"/>
        </w:rPr>
        <w:t xml:space="preserve"> the</w:t>
      </w:r>
      <w:r w:rsidR="00B164D6" w:rsidRPr="00B164D6">
        <w:rPr>
          <w:rFonts w:asciiTheme="minorHAnsi" w:hAnsiTheme="minorHAnsi" w:cstheme="minorHAnsi"/>
          <w:sz w:val="24"/>
          <w:szCs w:val="24"/>
        </w:rPr>
        <w:t xml:space="preserve"> latter months. </w:t>
      </w:r>
      <w:r w:rsidR="00304EEF">
        <w:rPr>
          <w:rFonts w:asciiTheme="minorHAnsi" w:hAnsiTheme="minorHAnsi" w:cstheme="minorHAnsi"/>
          <w:sz w:val="24"/>
          <w:szCs w:val="24"/>
        </w:rPr>
        <w:t xml:space="preserve"> </w:t>
      </w:r>
    </w:p>
    <w:p w14:paraId="3C045E5E" w14:textId="57034914" w:rsidR="00304EEF" w:rsidRDefault="00304EEF" w:rsidP="00F8725A">
      <w:pPr>
        <w:spacing w:line="276" w:lineRule="auto"/>
        <w:ind w:left="567"/>
        <w:jc w:val="both"/>
        <w:rPr>
          <w:rFonts w:asciiTheme="minorHAnsi" w:hAnsiTheme="minorHAnsi" w:cstheme="minorHAnsi"/>
          <w:sz w:val="24"/>
          <w:szCs w:val="24"/>
        </w:rPr>
      </w:pPr>
    </w:p>
    <w:p w14:paraId="6D57E771" w14:textId="113C654B" w:rsidR="00304EEF" w:rsidRPr="00F9066F" w:rsidRDefault="001529B9" w:rsidP="00F8725A">
      <w:pPr>
        <w:spacing w:line="276" w:lineRule="auto"/>
        <w:ind w:left="567"/>
        <w:jc w:val="both"/>
        <w:rPr>
          <w:rFonts w:asciiTheme="minorHAnsi" w:hAnsiTheme="minorHAnsi" w:cs="Arial"/>
          <w:b/>
          <w:sz w:val="24"/>
          <w:szCs w:val="24"/>
        </w:rPr>
      </w:pPr>
      <w:r w:rsidRPr="00F9066F">
        <w:rPr>
          <w:rFonts w:asciiTheme="minorHAnsi" w:hAnsiTheme="minorHAnsi" w:cs="Arial"/>
          <w:b/>
          <w:sz w:val="24"/>
          <w:szCs w:val="24"/>
        </w:rPr>
        <w:t>Figure 1: Number of children who received NHS dental care in the previous 12 months up to and including the month shown</w:t>
      </w:r>
    </w:p>
    <w:p w14:paraId="7F110095" w14:textId="445AB1EB" w:rsidR="00304EEF" w:rsidRDefault="001529B9" w:rsidP="00F8725A">
      <w:pPr>
        <w:spacing w:line="276" w:lineRule="auto"/>
        <w:ind w:left="567"/>
        <w:jc w:val="both"/>
        <w:rPr>
          <w:rFonts w:asciiTheme="minorHAnsi" w:hAnsiTheme="minorHAnsi" w:cstheme="minorHAnsi"/>
          <w:sz w:val="24"/>
          <w:szCs w:val="24"/>
        </w:rPr>
      </w:pPr>
      <w:r>
        <w:rPr>
          <w:noProof/>
          <w:lang w:eastAsia="en-GB"/>
        </w:rPr>
        <w:drawing>
          <wp:inline distT="0" distB="0" distL="0" distR="0" wp14:anchorId="6E88C5F8" wp14:editId="0C429175">
            <wp:extent cx="5731510" cy="217170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5CF16E" w14:textId="55069CC7" w:rsidR="00304EEF" w:rsidRDefault="00304EEF" w:rsidP="00F8725A">
      <w:pPr>
        <w:spacing w:line="276" w:lineRule="auto"/>
        <w:ind w:left="567"/>
        <w:jc w:val="both"/>
        <w:rPr>
          <w:rFonts w:asciiTheme="minorHAnsi" w:hAnsiTheme="minorHAnsi" w:cstheme="minorHAnsi"/>
          <w:sz w:val="24"/>
          <w:szCs w:val="24"/>
        </w:rPr>
      </w:pPr>
    </w:p>
    <w:p w14:paraId="79B95069" w14:textId="4766EC9C" w:rsidR="001529B9" w:rsidRPr="00F9066F" w:rsidRDefault="00B76003" w:rsidP="00F8725A">
      <w:pPr>
        <w:spacing w:line="276" w:lineRule="auto"/>
        <w:ind w:left="567"/>
        <w:jc w:val="both"/>
        <w:rPr>
          <w:rFonts w:asciiTheme="minorHAnsi" w:hAnsiTheme="minorHAnsi" w:cs="Arial"/>
          <w:b/>
          <w:sz w:val="24"/>
          <w:szCs w:val="24"/>
        </w:rPr>
      </w:pPr>
      <w:r w:rsidRPr="00F9066F">
        <w:rPr>
          <w:rFonts w:asciiTheme="minorHAnsi" w:hAnsiTheme="minorHAnsi" w:cs="Arial"/>
          <w:b/>
          <w:sz w:val="24"/>
          <w:szCs w:val="24"/>
        </w:rPr>
        <w:t>Figure 2: Number of adults who received NHS dental care in the previous 24 months up to and including the month shown</w:t>
      </w:r>
    </w:p>
    <w:p w14:paraId="1BEAB358" w14:textId="20A29A2A" w:rsidR="001529B9" w:rsidRDefault="001529B9" w:rsidP="00F8725A">
      <w:pPr>
        <w:spacing w:line="276" w:lineRule="auto"/>
        <w:ind w:left="567"/>
        <w:jc w:val="both"/>
        <w:rPr>
          <w:rFonts w:asciiTheme="minorHAnsi" w:hAnsiTheme="minorHAnsi" w:cstheme="minorHAnsi"/>
          <w:sz w:val="24"/>
          <w:szCs w:val="24"/>
        </w:rPr>
      </w:pPr>
      <w:r>
        <w:rPr>
          <w:noProof/>
          <w:lang w:eastAsia="en-GB"/>
        </w:rPr>
        <w:lastRenderedPageBreak/>
        <w:drawing>
          <wp:inline distT="0" distB="0" distL="0" distR="0" wp14:anchorId="2C68BC29" wp14:editId="58CFAC3C">
            <wp:extent cx="5988050" cy="21971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29CC9B" w14:textId="51CC4C1E" w:rsidR="001529B9" w:rsidRDefault="001529B9" w:rsidP="00F8725A">
      <w:pPr>
        <w:spacing w:line="276" w:lineRule="auto"/>
        <w:ind w:left="567"/>
        <w:jc w:val="both"/>
        <w:rPr>
          <w:rFonts w:asciiTheme="minorHAnsi" w:hAnsiTheme="minorHAnsi" w:cstheme="minorHAnsi"/>
          <w:sz w:val="24"/>
          <w:szCs w:val="24"/>
        </w:rPr>
      </w:pPr>
    </w:p>
    <w:p w14:paraId="1F541CC3" w14:textId="4F9F68AC" w:rsidR="00C672F3" w:rsidRDefault="00E62E80"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 xml:space="preserve">Table 1 shows the level of Band II </w:t>
      </w:r>
      <w:r w:rsidR="00734002">
        <w:rPr>
          <w:rFonts w:asciiTheme="minorHAnsi" w:hAnsiTheme="minorHAnsi" w:cstheme="minorHAnsi"/>
          <w:sz w:val="24"/>
          <w:szCs w:val="24"/>
        </w:rPr>
        <w:t>and Band III treatments that were delivered by</w:t>
      </w:r>
      <w:r>
        <w:rPr>
          <w:rFonts w:asciiTheme="minorHAnsi" w:hAnsiTheme="minorHAnsi" w:cstheme="minorHAnsi"/>
          <w:sz w:val="24"/>
          <w:szCs w:val="24"/>
        </w:rPr>
        <w:t xml:space="preserve"> </w:t>
      </w:r>
      <w:r w:rsidR="000771F7">
        <w:rPr>
          <w:rFonts w:asciiTheme="minorHAnsi" w:hAnsiTheme="minorHAnsi" w:cstheme="minorHAnsi"/>
          <w:sz w:val="24"/>
          <w:szCs w:val="24"/>
        </w:rPr>
        <w:t xml:space="preserve">NHS </w:t>
      </w:r>
      <w:r>
        <w:rPr>
          <w:rFonts w:asciiTheme="minorHAnsi" w:hAnsiTheme="minorHAnsi" w:cstheme="minorHAnsi"/>
          <w:sz w:val="24"/>
          <w:szCs w:val="24"/>
        </w:rPr>
        <w:t>General Dental Services in Wales</w:t>
      </w:r>
      <w:r w:rsidR="00AF737C">
        <w:rPr>
          <w:rFonts w:asciiTheme="minorHAnsi" w:hAnsiTheme="minorHAnsi" w:cstheme="minorHAnsi"/>
          <w:sz w:val="24"/>
          <w:szCs w:val="24"/>
        </w:rPr>
        <w:t xml:space="preserve"> in 2019/20 and how that compares to same </w:t>
      </w:r>
      <w:r w:rsidR="008F6F71">
        <w:rPr>
          <w:rFonts w:asciiTheme="minorHAnsi" w:hAnsiTheme="minorHAnsi" w:cstheme="minorHAnsi"/>
          <w:sz w:val="24"/>
          <w:szCs w:val="24"/>
        </w:rPr>
        <w:t xml:space="preserve">treatment </w:t>
      </w:r>
      <w:r w:rsidR="00AF737C">
        <w:rPr>
          <w:rFonts w:asciiTheme="minorHAnsi" w:hAnsiTheme="minorHAnsi" w:cstheme="minorHAnsi"/>
          <w:sz w:val="24"/>
          <w:szCs w:val="24"/>
        </w:rPr>
        <w:t>bands delivered during pandemic years 2020/21 and 2021/22.</w:t>
      </w:r>
    </w:p>
    <w:p w14:paraId="3772EE73" w14:textId="77F7A20D" w:rsidR="00AF737C" w:rsidRDefault="00AF737C" w:rsidP="00F8725A">
      <w:pPr>
        <w:spacing w:line="276" w:lineRule="auto"/>
        <w:ind w:left="567"/>
        <w:jc w:val="both"/>
        <w:rPr>
          <w:rFonts w:asciiTheme="minorHAnsi" w:hAnsiTheme="minorHAnsi" w:cstheme="minorHAnsi"/>
          <w:sz w:val="24"/>
          <w:szCs w:val="24"/>
        </w:rPr>
      </w:pPr>
    </w:p>
    <w:p w14:paraId="54DAA679" w14:textId="408524F8" w:rsidR="00E62E80" w:rsidRPr="004B6AFE" w:rsidRDefault="00AF737C" w:rsidP="00F8725A">
      <w:pPr>
        <w:spacing w:line="276" w:lineRule="auto"/>
        <w:ind w:left="567"/>
        <w:jc w:val="both"/>
        <w:rPr>
          <w:rFonts w:asciiTheme="minorHAnsi" w:hAnsiTheme="minorHAnsi" w:cstheme="minorHAnsi"/>
          <w:b/>
          <w:sz w:val="24"/>
          <w:szCs w:val="24"/>
        </w:rPr>
      </w:pPr>
      <w:r w:rsidRPr="00F9066F">
        <w:rPr>
          <w:rFonts w:asciiTheme="minorHAnsi" w:hAnsiTheme="minorHAnsi" w:cstheme="minorHAnsi"/>
          <w:b/>
          <w:sz w:val="24"/>
          <w:szCs w:val="24"/>
        </w:rPr>
        <w:t>Table 1: Number of Band II and Band III</w:t>
      </w:r>
      <w:r w:rsidR="004B6AFE">
        <w:rPr>
          <w:rFonts w:asciiTheme="minorHAnsi" w:hAnsiTheme="minorHAnsi" w:cstheme="minorHAnsi"/>
          <w:b/>
          <w:sz w:val="24"/>
          <w:szCs w:val="24"/>
        </w:rPr>
        <w:t xml:space="preserve"> course of</w:t>
      </w:r>
      <w:r w:rsidRPr="00F9066F">
        <w:rPr>
          <w:rFonts w:asciiTheme="minorHAnsi" w:hAnsiTheme="minorHAnsi" w:cstheme="minorHAnsi"/>
          <w:b/>
          <w:sz w:val="24"/>
          <w:szCs w:val="24"/>
        </w:rPr>
        <w:t xml:space="preserve"> treatments delivered</w:t>
      </w:r>
      <w:r w:rsidR="000771F7">
        <w:rPr>
          <w:rFonts w:asciiTheme="minorHAnsi" w:hAnsiTheme="minorHAnsi" w:cstheme="minorHAnsi"/>
          <w:b/>
          <w:sz w:val="24"/>
          <w:szCs w:val="24"/>
        </w:rPr>
        <w:t xml:space="preserve"> by NHS</w:t>
      </w:r>
      <w:r w:rsidR="004B6AFE">
        <w:rPr>
          <w:rFonts w:asciiTheme="minorHAnsi" w:hAnsiTheme="minorHAnsi" w:cstheme="minorHAnsi"/>
          <w:b/>
          <w:sz w:val="24"/>
          <w:szCs w:val="24"/>
        </w:rPr>
        <w:t xml:space="preserve"> General Dental Services in Wales</w:t>
      </w:r>
    </w:p>
    <w:tbl>
      <w:tblPr>
        <w:tblStyle w:val="TableGrid"/>
        <w:tblW w:w="0" w:type="auto"/>
        <w:tblInd w:w="421" w:type="dxa"/>
        <w:tblLook w:val="04A0" w:firstRow="1" w:lastRow="0" w:firstColumn="1" w:lastColumn="0" w:noHBand="0" w:noVBand="1"/>
      </w:tblPr>
      <w:tblGrid>
        <w:gridCol w:w="3260"/>
        <w:gridCol w:w="2103"/>
        <w:gridCol w:w="1616"/>
        <w:gridCol w:w="1616"/>
      </w:tblGrid>
      <w:tr w:rsidR="008F6F71" w:rsidRPr="008F6F71" w14:paraId="37500BC8" w14:textId="77777777" w:rsidTr="00EE6670">
        <w:tc>
          <w:tcPr>
            <w:tcW w:w="3260" w:type="dxa"/>
          </w:tcPr>
          <w:p w14:paraId="5CFB23BD" w14:textId="6E2896BC" w:rsidR="008F6F71" w:rsidRPr="008F6F71" w:rsidRDefault="004B6AFE" w:rsidP="00F8725A">
            <w:pPr>
              <w:spacing w:line="276" w:lineRule="auto"/>
              <w:ind w:left="567"/>
              <w:jc w:val="both"/>
              <w:rPr>
                <w:rFonts w:asciiTheme="minorHAnsi" w:hAnsiTheme="minorHAnsi" w:cstheme="minorHAnsi"/>
                <w:b/>
                <w:sz w:val="24"/>
                <w:szCs w:val="24"/>
              </w:rPr>
            </w:pPr>
            <w:r>
              <w:rPr>
                <w:rFonts w:asciiTheme="minorHAnsi" w:hAnsiTheme="minorHAnsi" w:cstheme="minorHAnsi"/>
                <w:b/>
                <w:sz w:val="24"/>
                <w:szCs w:val="24"/>
              </w:rPr>
              <w:t>Courses of Treatment</w:t>
            </w:r>
          </w:p>
        </w:tc>
        <w:tc>
          <w:tcPr>
            <w:tcW w:w="2103" w:type="dxa"/>
          </w:tcPr>
          <w:p w14:paraId="2996E6A6" w14:textId="7F835F33" w:rsidR="008F6F71" w:rsidRPr="008F6F71" w:rsidRDefault="008F6F71" w:rsidP="00F8725A">
            <w:pPr>
              <w:spacing w:line="276" w:lineRule="auto"/>
              <w:ind w:left="567"/>
              <w:jc w:val="both"/>
              <w:rPr>
                <w:rFonts w:asciiTheme="minorHAnsi" w:hAnsiTheme="minorHAnsi" w:cstheme="minorHAnsi"/>
                <w:b/>
                <w:sz w:val="24"/>
                <w:szCs w:val="24"/>
              </w:rPr>
            </w:pPr>
            <w:r w:rsidRPr="008F6F71">
              <w:rPr>
                <w:rFonts w:asciiTheme="minorHAnsi" w:hAnsiTheme="minorHAnsi" w:cstheme="minorHAnsi"/>
                <w:b/>
                <w:sz w:val="24"/>
                <w:szCs w:val="24"/>
              </w:rPr>
              <w:t>2019/20</w:t>
            </w:r>
          </w:p>
        </w:tc>
        <w:tc>
          <w:tcPr>
            <w:tcW w:w="1616" w:type="dxa"/>
          </w:tcPr>
          <w:p w14:paraId="68D2595F" w14:textId="63C620C4" w:rsidR="008F6F71" w:rsidRPr="008F6F71" w:rsidRDefault="008F6F71" w:rsidP="00F8725A">
            <w:pPr>
              <w:spacing w:line="276" w:lineRule="auto"/>
              <w:ind w:left="567"/>
              <w:jc w:val="both"/>
              <w:rPr>
                <w:rFonts w:asciiTheme="minorHAnsi" w:hAnsiTheme="minorHAnsi" w:cstheme="minorHAnsi"/>
                <w:b/>
                <w:sz w:val="24"/>
                <w:szCs w:val="24"/>
              </w:rPr>
            </w:pPr>
            <w:r w:rsidRPr="008F6F71">
              <w:rPr>
                <w:rFonts w:asciiTheme="minorHAnsi" w:hAnsiTheme="minorHAnsi" w:cstheme="minorHAnsi"/>
                <w:b/>
                <w:sz w:val="24"/>
                <w:szCs w:val="24"/>
              </w:rPr>
              <w:t>2020/21</w:t>
            </w:r>
          </w:p>
        </w:tc>
        <w:tc>
          <w:tcPr>
            <w:tcW w:w="1616" w:type="dxa"/>
          </w:tcPr>
          <w:p w14:paraId="1D1B31BE" w14:textId="35B873D8" w:rsidR="008F6F71" w:rsidRPr="008F6F71" w:rsidRDefault="008F6F71" w:rsidP="00F8725A">
            <w:pPr>
              <w:spacing w:line="276" w:lineRule="auto"/>
              <w:ind w:left="567"/>
              <w:jc w:val="both"/>
              <w:rPr>
                <w:rFonts w:asciiTheme="minorHAnsi" w:hAnsiTheme="minorHAnsi" w:cstheme="minorHAnsi"/>
                <w:b/>
                <w:sz w:val="24"/>
                <w:szCs w:val="24"/>
              </w:rPr>
            </w:pPr>
            <w:r w:rsidRPr="008F6F71">
              <w:rPr>
                <w:rFonts w:asciiTheme="minorHAnsi" w:hAnsiTheme="minorHAnsi" w:cstheme="minorHAnsi"/>
                <w:b/>
                <w:sz w:val="24"/>
                <w:szCs w:val="24"/>
              </w:rPr>
              <w:t>2021/22</w:t>
            </w:r>
          </w:p>
        </w:tc>
      </w:tr>
      <w:tr w:rsidR="008F6F71" w14:paraId="374EC63C" w14:textId="77777777" w:rsidTr="00EE6670">
        <w:tc>
          <w:tcPr>
            <w:tcW w:w="3260" w:type="dxa"/>
          </w:tcPr>
          <w:p w14:paraId="14E0D59F" w14:textId="65DC1221" w:rsidR="008F6F71" w:rsidRDefault="008F6F71" w:rsidP="00F8725A">
            <w:pPr>
              <w:spacing w:line="276" w:lineRule="auto"/>
              <w:ind w:left="567"/>
              <w:rPr>
                <w:rFonts w:asciiTheme="minorHAnsi" w:hAnsiTheme="minorHAnsi" w:cstheme="minorHAnsi"/>
                <w:sz w:val="24"/>
                <w:szCs w:val="24"/>
              </w:rPr>
            </w:pPr>
            <w:r w:rsidRPr="008F6F71">
              <w:rPr>
                <w:rFonts w:asciiTheme="minorHAnsi" w:hAnsiTheme="minorHAnsi" w:cstheme="minorHAnsi"/>
                <w:b/>
                <w:sz w:val="24"/>
                <w:szCs w:val="24"/>
              </w:rPr>
              <w:t>Band II</w:t>
            </w:r>
          </w:p>
        </w:tc>
        <w:tc>
          <w:tcPr>
            <w:tcW w:w="2103" w:type="dxa"/>
          </w:tcPr>
          <w:p w14:paraId="106FDFB3" w14:textId="58E63FF4" w:rsidR="008F6F71" w:rsidRDefault="008F6F71" w:rsidP="00F8725A">
            <w:pPr>
              <w:spacing w:line="276" w:lineRule="auto"/>
              <w:ind w:left="567"/>
              <w:jc w:val="both"/>
              <w:rPr>
                <w:rFonts w:asciiTheme="minorHAnsi" w:hAnsiTheme="minorHAnsi" w:cstheme="minorHAnsi"/>
                <w:sz w:val="24"/>
                <w:szCs w:val="24"/>
              </w:rPr>
            </w:pPr>
            <w:r w:rsidRPr="008F6F71">
              <w:rPr>
                <w:rFonts w:asciiTheme="minorHAnsi" w:hAnsiTheme="minorHAnsi" w:cstheme="minorHAnsi"/>
                <w:sz w:val="24"/>
                <w:szCs w:val="24"/>
              </w:rPr>
              <w:t>569418</w:t>
            </w:r>
          </w:p>
        </w:tc>
        <w:tc>
          <w:tcPr>
            <w:tcW w:w="1616" w:type="dxa"/>
          </w:tcPr>
          <w:p w14:paraId="7E42319D" w14:textId="6F47185D" w:rsidR="008F6F71" w:rsidRDefault="008F6F71" w:rsidP="00F8725A">
            <w:pPr>
              <w:spacing w:line="276" w:lineRule="auto"/>
              <w:ind w:left="567"/>
              <w:jc w:val="both"/>
              <w:rPr>
                <w:rFonts w:asciiTheme="minorHAnsi" w:hAnsiTheme="minorHAnsi" w:cstheme="minorHAnsi"/>
                <w:sz w:val="24"/>
                <w:szCs w:val="24"/>
              </w:rPr>
            </w:pPr>
            <w:r w:rsidRPr="008F6F71">
              <w:rPr>
                <w:rFonts w:asciiTheme="minorHAnsi" w:hAnsiTheme="minorHAnsi" w:cstheme="minorHAnsi"/>
                <w:sz w:val="24"/>
                <w:szCs w:val="24"/>
              </w:rPr>
              <w:t>134681</w:t>
            </w:r>
          </w:p>
        </w:tc>
        <w:tc>
          <w:tcPr>
            <w:tcW w:w="1616" w:type="dxa"/>
          </w:tcPr>
          <w:p w14:paraId="2EE58C94" w14:textId="206627A2" w:rsidR="008F6F71" w:rsidRDefault="008F6F71" w:rsidP="00F8725A">
            <w:pPr>
              <w:spacing w:line="276" w:lineRule="auto"/>
              <w:ind w:left="567"/>
              <w:jc w:val="both"/>
              <w:rPr>
                <w:rFonts w:asciiTheme="minorHAnsi" w:hAnsiTheme="minorHAnsi" w:cstheme="minorHAnsi"/>
                <w:sz w:val="24"/>
                <w:szCs w:val="24"/>
              </w:rPr>
            </w:pPr>
            <w:r w:rsidRPr="008F6F71">
              <w:rPr>
                <w:rFonts w:asciiTheme="minorHAnsi" w:hAnsiTheme="minorHAnsi" w:cstheme="minorHAnsi"/>
                <w:sz w:val="24"/>
                <w:szCs w:val="24"/>
              </w:rPr>
              <w:t>219377</w:t>
            </w:r>
          </w:p>
        </w:tc>
      </w:tr>
      <w:tr w:rsidR="008F6F71" w14:paraId="27E5B499" w14:textId="77777777" w:rsidTr="00EE6670">
        <w:tc>
          <w:tcPr>
            <w:tcW w:w="3260" w:type="dxa"/>
          </w:tcPr>
          <w:p w14:paraId="6417B5AD" w14:textId="4DCFAA08" w:rsidR="008F6F71" w:rsidRPr="008F6F71" w:rsidRDefault="008F6F71" w:rsidP="00F8725A">
            <w:pPr>
              <w:spacing w:line="276" w:lineRule="auto"/>
              <w:ind w:left="567"/>
              <w:rPr>
                <w:rFonts w:asciiTheme="minorHAnsi" w:hAnsiTheme="minorHAnsi" w:cstheme="minorHAnsi"/>
                <w:b/>
                <w:sz w:val="24"/>
                <w:szCs w:val="24"/>
              </w:rPr>
            </w:pPr>
            <w:r w:rsidRPr="008F6F71">
              <w:rPr>
                <w:rFonts w:asciiTheme="minorHAnsi" w:hAnsiTheme="minorHAnsi" w:cstheme="minorHAnsi"/>
                <w:b/>
                <w:sz w:val="24"/>
                <w:szCs w:val="24"/>
              </w:rPr>
              <w:t>Band III</w:t>
            </w:r>
          </w:p>
        </w:tc>
        <w:tc>
          <w:tcPr>
            <w:tcW w:w="2103" w:type="dxa"/>
          </w:tcPr>
          <w:p w14:paraId="7CA18B6E" w14:textId="2E3E9BD7" w:rsidR="008F6F71" w:rsidRDefault="008F6F71" w:rsidP="00F8725A">
            <w:pPr>
              <w:spacing w:line="276" w:lineRule="auto"/>
              <w:ind w:left="567"/>
              <w:jc w:val="both"/>
              <w:rPr>
                <w:rFonts w:asciiTheme="minorHAnsi" w:hAnsiTheme="minorHAnsi" w:cstheme="minorHAnsi"/>
                <w:sz w:val="24"/>
                <w:szCs w:val="24"/>
              </w:rPr>
            </w:pPr>
            <w:r w:rsidRPr="008F6F71">
              <w:rPr>
                <w:rFonts w:asciiTheme="minorHAnsi" w:hAnsiTheme="minorHAnsi" w:cstheme="minorHAnsi"/>
                <w:sz w:val="24"/>
                <w:szCs w:val="24"/>
              </w:rPr>
              <w:t>98443</w:t>
            </w:r>
          </w:p>
        </w:tc>
        <w:tc>
          <w:tcPr>
            <w:tcW w:w="1616" w:type="dxa"/>
          </w:tcPr>
          <w:p w14:paraId="749B621C" w14:textId="06C24E06" w:rsidR="008F6F71" w:rsidRDefault="008F6F71" w:rsidP="00F8725A">
            <w:pPr>
              <w:spacing w:line="276" w:lineRule="auto"/>
              <w:ind w:left="567"/>
              <w:jc w:val="both"/>
              <w:rPr>
                <w:rFonts w:asciiTheme="minorHAnsi" w:hAnsiTheme="minorHAnsi" w:cstheme="minorHAnsi"/>
                <w:sz w:val="24"/>
                <w:szCs w:val="24"/>
              </w:rPr>
            </w:pPr>
            <w:r w:rsidRPr="008F6F71">
              <w:rPr>
                <w:rFonts w:asciiTheme="minorHAnsi" w:hAnsiTheme="minorHAnsi" w:cstheme="minorHAnsi"/>
                <w:sz w:val="24"/>
                <w:szCs w:val="24"/>
              </w:rPr>
              <w:t>22363</w:t>
            </w:r>
          </w:p>
        </w:tc>
        <w:tc>
          <w:tcPr>
            <w:tcW w:w="1616" w:type="dxa"/>
          </w:tcPr>
          <w:p w14:paraId="5C6EF624" w14:textId="25B59594" w:rsidR="008F6F71" w:rsidRDefault="008F6F71" w:rsidP="00F8725A">
            <w:pPr>
              <w:spacing w:line="276" w:lineRule="auto"/>
              <w:ind w:left="567"/>
              <w:jc w:val="both"/>
              <w:rPr>
                <w:rFonts w:asciiTheme="minorHAnsi" w:hAnsiTheme="minorHAnsi" w:cstheme="minorHAnsi"/>
                <w:sz w:val="24"/>
                <w:szCs w:val="24"/>
              </w:rPr>
            </w:pPr>
            <w:r w:rsidRPr="008F6F71">
              <w:rPr>
                <w:rFonts w:asciiTheme="minorHAnsi" w:hAnsiTheme="minorHAnsi" w:cstheme="minorHAnsi"/>
                <w:sz w:val="24"/>
                <w:szCs w:val="24"/>
              </w:rPr>
              <w:t>36372</w:t>
            </w:r>
          </w:p>
        </w:tc>
      </w:tr>
      <w:tr w:rsidR="008F6F71" w14:paraId="5E55D028" w14:textId="77777777" w:rsidTr="00EE6670">
        <w:tc>
          <w:tcPr>
            <w:tcW w:w="3260" w:type="dxa"/>
          </w:tcPr>
          <w:p w14:paraId="324E0C2D" w14:textId="4789FBFA" w:rsidR="008F6F71" w:rsidRPr="006E412B" w:rsidRDefault="006E412B" w:rsidP="00F8725A">
            <w:pPr>
              <w:spacing w:line="276" w:lineRule="auto"/>
              <w:ind w:left="567"/>
              <w:rPr>
                <w:rFonts w:asciiTheme="minorHAnsi" w:hAnsiTheme="minorHAnsi" w:cstheme="minorHAnsi"/>
                <w:b/>
                <w:sz w:val="24"/>
                <w:szCs w:val="24"/>
              </w:rPr>
            </w:pPr>
            <w:r w:rsidRPr="006E412B">
              <w:rPr>
                <w:rFonts w:asciiTheme="minorHAnsi" w:hAnsiTheme="minorHAnsi" w:cstheme="minorHAnsi"/>
                <w:b/>
                <w:sz w:val="24"/>
                <w:szCs w:val="24"/>
              </w:rPr>
              <w:t>Total Band II and III</w:t>
            </w:r>
          </w:p>
        </w:tc>
        <w:tc>
          <w:tcPr>
            <w:tcW w:w="2103" w:type="dxa"/>
          </w:tcPr>
          <w:p w14:paraId="7735F5D5" w14:textId="53E5E320" w:rsidR="008F6F71" w:rsidRPr="00F050F5" w:rsidRDefault="006E412B" w:rsidP="00F8725A">
            <w:pPr>
              <w:spacing w:line="276" w:lineRule="auto"/>
              <w:ind w:left="567"/>
              <w:jc w:val="both"/>
              <w:rPr>
                <w:rFonts w:asciiTheme="minorHAnsi" w:hAnsiTheme="minorHAnsi" w:cstheme="minorHAnsi"/>
                <w:b/>
                <w:sz w:val="24"/>
                <w:szCs w:val="24"/>
              </w:rPr>
            </w:pPr>
            <w:r w:rsidRPr="00F050F5">
              <w:rPr>
                <w:rFonts w:asciiTheme="minorHAnsi" w:hAnsiTheme="minorHAnsi" w:cstheme="minorHAnsi"/>
                <w:b/>
                <w:sz w:val="24"/>
                <w:szCs w:val="24"/>
              </w:rPr>
              <w:t>667861</w:t>
            </w:r>
          </w:p>
        </w:tc>
        <w:tc>
          <w:tcPr>
            <w:tcW w:w="1616" w:type="dxa"/>
          </w:tcPr>
          <w:p w14:paraId="5DB39824" w14:textId="76F08294" w:rsidR="008F6F71" w:rsidRPr="00F050F5" w:rsidRDefault="00F050F5" w:rsidP="00F8725A">
            <w:pPr>
              <w:spacing w:line="276" w:lineRule="auto"/>
              <w:ind w:left="567"/>
              <w:jc w:val="both"/>
              <w:rPr>
                <w:rFonts w:asciiTheme="minorHAnsi" w:hAnsiTheme="minorHAnsi" w:cstheme="minorHAnsi"/>
                <w:b/>
                <w:sz w:val="24"/>
                <w:szCs w:val="24"/>
              </w:rPr>
            </w:pPr>
            <w:r w:rsidRPr="00F050F5">
              <w:rPr>
                <w:rFonts w:asciiTheme="minorHAnsi" w:hAnsiTheme="minorHAnsi" w:cstheme="minorHAnsi"/>
                <w:b/>
                <w:sz w:val="24"/>
                <w:szCs w:val="24"/>
              </w:rPr>
              <w:t>157044</w:t>
            </w:r>
          </w:p>
        </w:tc>
        <w:tc>
          <w:tcPr>
            <w:tcW w:w="1616" w:type="dxa"/>
          </w:tcPr>
          <w:p w14:paraId="6C24E443" w14:textId="63C11D56" w:rsidR="008F6F71" w:rsidRPr="00F050F5" w:rsidRDefault="00F050F5" w:rsidP="00F8725A">
            <w:pPr>
              <w:spacing w:line="276" w:lineRule="auto"/>
              <w:ind w:left="567"/>
              <w:jc w:val="both"/>
              <w:rPr>
                <w:rFonts w:asciiTheme="minorHAnsi" w:hAnsiTheme="minorHAnsi" w:cstheme="minorHAnsi"/>
                <w:b/>
                <w:sz w:val="24"/>
                <w:szCs w:val="24"/>
              </w:rPr>
            </w:pPr>
            <w:r w:rsidRPr="00F050F5">
              <w:rPr>
                <w:rFonts w:asciiTheme="minorHAnsi" w:hAnsiTheme="minorHAnsi" w:cstheme="minorHAnsi"/>
                <w:b/>
                <w:sz w:val="24"/>
                <w:szCs w:val="24"/>
              </w:rPr>
              <w:t>255749</w:t>
            </w:r>
          </w:p>
        </w:tc>
      </w:tr>
    </w:tbl>
    <w:p w14:paraId="132F40C8" w14:textId="666F6BBE" w:rsidR="00E62E80" w:rsidRPr="00304EEF" w:rsidRDefault="00C41DFC" w:rsidP="00F8725A">
      <w:pPr>
        <w:spacing w:line="276" w:lineRule="auto"/>
        <w:ind w:left="567"/>
        <w:jc w:val="both"/>
        <w:rPr>
          <w:rFonts w:asciiTheme="minorHAnsi" w:hAnsiTheme="minorHAnsi" w:cstheme="minorHAnsi"/>
          <w:i/>
          <w:sz w:val="24"/>
          <w:szCs w:val="24"/>
        </w:rPr>
      </w:pPr>
      <w:r w:rsidRPr="00304EEF">
        <w:rPr>
          <w:rFonts w:asciiTheme="minorHAnsi" w:hAnsiTheme="minorHAnsi" w:cstheme="minorHAnsi"/>
          <w:i/>
          <w:sz w:val="24"/>
          <w:szCs w:val="24"/>
        </w:rPr>
        <w:t xml:space="preserve">Source: </w:t>
      </w:r>
      <w:proofErr w:type="spellStart"/>
      <w:r w:rsidRPr="00304EEF">
        <w:rPr>
          <w:rFonts w:asciiTheme="minorHAnsi" w:hAnsiTheme="minorHAnsi" w:cstheme="minorHAnsi"/>
          <w:i/>
          <w:sz w:val="24"/>
          <w:szCs w:val="24"/>
        </w:rPr>
        <w:t>StatsWales</w:t>
      </w:r>
      <w:proofErr w:type="spellEnd"/>
    </w:p>
    <w:p w14:paraId="5B8549B0" w14:textId="77777777" w:rsidR="00C41DFC" w:rsidRDefault="00C41DFC" w:rsidP="00F8725A">
      <w:pPr>
        <w:spacing w:line="276" w:lineRule="auto"/>
        <w:ind w:left="567"/>
        <w:jc w:val="both"/>
        <w:rPr>
          <w:rFonts w:asciiTheme="minorHAnsi" w:hAnsiTheme="minorHAnsi" w:cstheme="minorHAnsi"/>
          <w:sz w:val="24"/>
          <w:szCs w:val="24"/>
        </w:rPr>
      </w:pPr>
    </w:p>
    <w:p w14:paraId="0D853435" w14:textId="73E3F8D8" w:rsidR="00CF20C3" w:rsidRDefault="00C41DFC"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 xml:space="preserve">It is clear from the level </w:t>
      </w:r>
      <w:r w:rsidR="00734002">
        <w:rPr>
          <w:rFonts w:asciiTheme="minorHAnsi" w:hAnsiTheme="minorHAnsi" w:cstheme="minorHAnsi"/>
          <w:sz w:val="24"/>
          <w:szCs w:val="24"/>
        </w:rPr>
        <w:t xml:space="preserve">of </w:t>
      </w:r>
      <w:r>
        <w:rPr>
          <w:rFonts w:asciiTheme="minorHAnsi" w:hAnsiTheme="minorHAnsi" w:cstheme="minorHAnsi"/>
          <w:sz w:val="24"/>
          <w:szCs w:val="24"/>
        </w:rPr>
        <w:t xml:space="preserve">treatment delivery during 20/21 and 21/22 compared to pre-pandemic year that there is a </w:t>
      </w:r>
      <w:r w:rsidR="00304EEF">
        <w:rPr>
          <w:rFonts w:asciiTheme="minorHAnsi" w:hAnsiTheme="minorHAnsi" w:cstheme="minorHAnsi"/>
          <w:sz w:val="24"/>
          <w:szCs w:val="24"/>
        </w:rPr>
        <w:t xml:space="preserve">significant </w:t>
      </w:r>
      <w:r w:rsidR="00B164D6">
        <w:rPr>
          <w:rFonts w:asciiTheme="minorHAnsi" w:hAnsiTheme="minorHAnsi" w:cstheme="minorHAnsi"/>
          <w:sz w:val="24"/>
          <w:szCs w:val="24"/>
        </w:rPr>
        <w:t>‘</w:t>
      </w:r>
      <w:r>
        <w:rPr>
          <w:rFonts w:asciiTheme="minorHAnsi" w:hAnsiTheme="minorHAnsi" w:cstheme="minorHAnsi"/>
          <w:sz w:val="24"/>
          <w:szCs w:val="24"/>
        </w:rPr>
        <w:t>treatment back log</w:t>
      </w:r>
      <w:r w:rsidR="00B164D6">
        <w:rPr>
          <w:rFonts w:asciiTheme="minorHAnsi" w:hAnsiTheme="minorHAnsi" w:cstheme="minorHAnsi"/>
          <w:sz w:val="24"/>
          <w:szCs w:val="24"/>
        </w:rPr>
        <w:t>’</w:t>
      </w:r>
      <w:r>
        <w:rPr>
          <w:rFonts w:asciiTheme="minorHAnsi" w:hAnsiTheme="minorHAnsi" w:cstheme="minorHAnsi"/>
          <w:sz w:val="24"/>
          <w:szCs w:val="24"/>
        </w:rPr>
        <w:t xml:space="preserve"> in </w:t>
      </w:r>
      <w:r w:rsidR="00CF20C3">
        <w:rPr>
          <w:rFonts w:asciiTheme="minorHAnsi" w:hAnsiTheme="minorHAnsi" w:cstheme="minorHAnsi"/>
          <w:sz w:val="24"/>
          <w:szCs w:val="24"/>
        </w:rPr>
        <w:t>General Dental Services</w:t>
      </w:r>
      <w:r w:rsidR="00B164D6">
        <w:rPr>
          <w:rFonts w:asciiTheme="minorHAnsi" w:hAnsiTheme="minorHAnsi" w:cstheme="minorHAnsi"/>
          <w:sz w:val="24"/>
          <w:szCs w:val="24"/>
        </w:rPr>
        <w:t xml:space="preserve"> (GDS)</w:t>
      </w:r>
      <w:r>
        <w:rPr>
          <w:rFonts w:asciiTheme="minorHAnsi" w:hAnsiTheme="minorHAnsi" w:cstheme="minorHAnsi"/>
          <w:sz w:val="24"/>
          <w:szCs w:val="24"/>
        </w:rPr>
        <w:t xml:space="preserve"> in Wales. </w:t>
      </w:r>
      <w:r w:rsidR="00734002">
        <w:rPr>
          <w:rFonts w:asciiTheme="minorHAnsi" w:hAnsiTheme="minorHAnsi" w:cstheme="minorHAnsi"/>
          <w:sz w:val="24"/>
          <w:szCs w:val="24"/>
        </w:rPr>
        <w:t>A s</w:t>
      </w:r>
      <w:r w:rsidR="00B164D6">
        <w:rPr>
          <w:rFonts w:asciiTheme="minorHAnsi" w:hAnsiTheme="minorHAnsi" w:cstheme="minorHAnsi"/>
          <w:sz w:val="24"/>
          <w:szCs w:val="24"/>
        </w:rPr>
        <w:t>imilar situation exist</w:t>
      </w:r>
      <w:r w:rsidR="00734002">
        <w:rPr>
          <w:rFonts w:asciiTheme="minorHAnsi" w:hAnsiTheme="minorHAnsi" w:cstheme="minorHAnsi"/>
          <w:sz w:val="24"/>
          <w:szCs w:val="24"/>
        </w:rPr>
        <w:t>s</w:t>
      </w:r>
      <w:r w:rsidR="00B164D6">
        <w:rPr>
          <w:rFonts w:asciiTheme="minorHAnsi" w:hAnsiTheme="minorHAnsi" w:cstheme="minorHAnsi"/>
          <w:sz w:val="24"/>
          <w:szCs w:val="24"/>
        </w:rPr>
        <w:t xml:space="preserve"> in other UK countries.</w:t>
      </w:r>
      <w:r w:rsidR="00057A43">
        <w:rPr>
          <w:rFonts w:asciiTheme="minorHAnsi" w:hAnsiTheme="minorHAnsi" w:cstheme="minorHAnsi"/>
          <w:sz w:val="24"/>
          <w:szCs w:val="24"/>
        </w:rPr>
        <w:t xml:space="preserve"> </w:t>
      </w:r>
      <w:r w:rsidR="00057A43" w:rsidRPr="00057A43">
        <w:rPr>
          <w:rFonts w:asciiTheme="minorHAnsi" w:hAnsiTheme="minorHAnsi" w:cstheme="minorHAnsi"/>
          <w:sz w:val="24"/>
          <w:szCs w:val="24"/>
        </w:rPr>
        <w:t>The COVID-19 pandemic has exacerbated socioeconomic and ethnic inequalities</w:t>
      </w:r>
      <w:r w:rsidR="00057A43">
        <w:rPr>
          <w:rFonts w:asciiTheme="minorHAnsi" w:hAnsiTheme="minorHAnsi" w:cstheme="minorHAnsi"/>
          <w:sz w:val="24"/>
          <w:szCs w:val="24"/>
        </w:rPr>
        <w:t xml:space="preserve"> </w:t>
      </w:r>
      <w:r w:rsidR="00057A43" w:rsidRPr="00057A43">
        <w:rPr>
          <w:rFonts w:asciiTheme="minorHAnsi" w:hAnsiTheme="minorHAnsi" w:cstheme="minorHAnsi"/>
          <w:sz w:val="24"/>
          <w:szCs w:val="24"/>
        </w:rPr>
        <w:t>and will undoubtedly worsen oral health inequalities</w:t>
      </w:r>
      <w:r w:rsidR="00057A43">
        <w:rPr>
          <w:rFonts w:asciiTheme="minorHAnsi" w:hAnsiTheme="minorHAnsi" w:cstheme="minorHAnsi"/>
          <w:sz w:val="24"/>
          <w:szCs w:val="24"/>
        </w:rPr>
        <w:t>.</w:t>
      </w:r>
    </w:p>
    <w:p w14:paraId="456BC5BC" w14:textId="06BC6746" w:rsidR="00F96900" w:rsidRDefault="00F96900" w:rsidP="00F8725A">
      <w:pPr>
        <w:spacing w:line="276" w:lineRule="auto"/>
        <w:ind w:left="567"/>
        <w:jc w:val="both"/>
        <w:rPr>
          <w:rFonts w:asciiTheme="minorHAnsi" w:hAnsiTheme="minorHAnsi" w:cstheme="minorHAnsi"/>
          <w:sz w:val="24"/>
          <w:szCs w:val="24"/>
        </w:rPr>
      </w:pPr>
    </w:p>
    <w:p w14:paraId="27480D2C" w14:textId="125A9E53" w:rsidR="00B164D6" w:rsidRDefault="000A11EB"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 xml:space="preserve">It </w:t>
      </w:r>
      <w:r w:rsidR="00734002">
        <w:rPr>
          <w:rFonts w:asciiTheme="minorHAnsi" w:hAnsiTheme="minorHAnsi" w:cstheme="minorHAnsi"/>
          <w:sz w:val="24"/>
          <w:szCs w:val="24"/>
        </w:rPr>
        <w:t xml:space="preserve">can be expected from </w:t>
      </w:r>
      <w:r w:rsidR="00A85279">
        <w:rPr>
          <w:rFonts w:asciiTheme="minorHAnsi" w:hAnsiTheme="minorHAnsi" w:cstheme="minorHAnsi"/>
          <w:sz w:val="24"/>
          <w:szCs w:val="24"/>
        </w:rPr>
        <w:t>Figure</w:t>
      </w:r>
      <w:r w:rsidR="00734002">
        <w:rPr>
          <w:rFonts w:asciiTheme="minorHAnsi" w:hAnsiTheme="minorHAnsi" w:cstheme="minorHAnsi"/>
          <w:sz w:val="24"/>
          <w:szCs w:val="24"/>
        </w:rPr>
        <w:t>s 1 and</w:t>
      </w:r>
      <w:r w:rsidR="00A85279">
        <w:rPr>
          <w:rFonts w:asciiTheme="minorHAnsi" w:hAnsiTheme="minorHAnsi" w:cstheme="minorHAnsi"/>
          <w:sz w:val="24"/>
          <w:szCs w:val="24"/>
        </w:rPr>
        <w:t xml:space="preserve"> 2</w:t>
      </w:r>
      <w:r>
        <w:rPr>
          <w:rFonts w:asciiTheme="minorHAnsi" w:hAnsiTheme="minorHAnsi" w:cstheme="minorHAnsi"/>
          <w:sz w:val="24"/>
          <w:szCs w:val="24"/>
        </w:rPr>
        <w:t xml:space="preserve"> that </w:t>
      </w:r>
      <w:r w:rsidR="00B164D6">
        <w:rPr>
          <w:rFonts w:asciiTheme="minorHAnsi" w:hAnsiTheme="minorHAnsi" w:cstheme="minorHAnsi"/>
          <w:sz w:val="24"/>
          <w:szCs w:val="24"/>
        </w:rPr>
        <w:t>the GDS</w:t>
      </w:r>
      <w:r w:rsidR="00A85279">
        <w:rPr>
          <w:rFonts w:asciiTheme="minorHAnsi" w:hAnsiTheme="minorHAnsi" w:cstheme="minorHAnsi"/>
          <w:sz w:val="24"/>
          <w:szCs w:val="24"/>
        </w:rPr>
        <w:t xml:space="preserve"> in Wales</w:t>
      </w:r>
      <w:r>
        <w:rPr>
          <w:rFonts w:asciiTheme="minorHAnsi" w:hAnsiTheme="minorHAnsi" w:cstheme="minorHAnsi"/>
          <w:sz w:val="24"/>
          <w:szCs w:val="24"/>
        </w:rPr>
        <w:t xml:space="preserve"> will be able to deliver more dental care </w:t>
      </w:r>
      <w:r w:rsidR="00FA6E08">
        <w:rPr>
          <w:rFonts w:asciiTheme="minorHAnsi" w:hAnsiTheme="minorHAnsi" w:cstheme="minorHAnsi"/>
          <w:sz w:val="24"/>
          <w:szCs w:val="24"/>
        </w:rPr>
        <w:t xml:space="preserve">in 2022/23 </w:t>
      </w:r>
      <w:r>
        <w:rPr>
          <w:rFonts w:asciiTheme="minorHAnsi" w:hAnsiTheme="minorHAnsi" w:cstheme="minorHAnsi"/>
          <w:sz w:val="24"/>
          <w:szCs w:val="24"/>
        </w:rPr>
        <w:t xml:space="preserve">than they did </w:t>
      </w:r>
      <w:r w:rsidR="00A6607A">
        <w:rPr>
          <w:rFonts w:asciiTheme="minorHAnsi" w:hAnsiTheme="minorHAnsi" w:cstheme="minorHAnsi"/>
          <w:sz w:val="24"/>
          <w:szCs w:val="24"/>
        </w:rPr>
        <w:t xml:space="preserve">in the </w:t>
      </w:r>
      <w:r w:rsidR="00FA6E08">
        <w:rPr>
          <w:rFonts w:asciiTheme="minorHAnsi" w:hAnsiTheme="minorHAnsi" w:cstheme="minorHAnsi"/>
          <w:sz w:val="24"/>
          <w:szCs w:val="24"/>
        </w:rPr>
        <w:t xml:space="preserve">last financial year. </w:t>
      </w:r>
      <w:r>
        <w:rPr>
          <w:rFonts w:asciiTheme="minorHAnsi" w:hAnsiTheme="minorHAnsi" w:cstheme="minorHAnsi"/>
          <w:sz w:val="24"/>
          <w:szCs w:val="24"/>
        </w:rPr>
        <w:t>Regardless of the le</w:t>
      </w:r>
      <w:r w:rsidR="00FA6E08">
        <w:rPr>
          <w:rFonts w:asciiTheme="minorHAnsi" w:hAnsiTheme="minorHAnsi" w:cstheme="minorHAnsi"/>
          <w:sz w:val="24"/>
          <w:szCs w:val="24"/>
        </w:rPr>
        <w:t xml:space="preserve">vel of recovery during 2022/23, with the ‘treatment back log’ from the pandemic, </w:t>
      </w:r>
      <w:r>
        <w:rPr>
          <w:rFonts w:asciiTheme="minorHAnsi" w:hAnsiTheme="minorHAnsi" w:cstheme="minorHAnsi"/>
          <w:sz w:val="24"/>
          <w:szCs w:val="24"/>
        </w:rPr>
        <w:t xml:space="preserve">there will be ongoing need for </w:t>
      </w:r>
      <w:r w:rsidR="007213F7">
        <w:rPr>
          <w:rFonts w:asciiTheme="minorHAnsi" w:hAnsiTheme="minorHAnsi" w:cstheme="minorHAnsi"/>
          <w:sz w:val="24"/>
          <w:szCs w:val="24"/>
        </w:rPr>
        <w:t xml:space="preserve">prioritisation of dental access and care </w:t>
      </w:r>
      <w:r w:rsidR="007E7085">
        <w:rPr>
          <w:rFonts w:asciiTheme="minorHAnsi" w:hAnsiTheme="minorHAnsi" w:cstheme="minorHAnsi"/>
          <w:sz w:val="24"/>
          <w:szCs w:val="24"/>
        </w:rPr>
        <w:t>for those</w:t>
      </w:r>
      <w:r w:rsidR="007213F7">
        <w:rPr>
          <w:rFonts w:asciiTheme="minorHAnsi" w:hAnsiTheme="minorHAnsi" w:cstheme="minorHAnsi"/>
          <w:sz w:val="24"/>
          <w:szCs w:val="24"/>
        </w:rPr>
        <w:t xml:space="preserve"> who </w:t>
      </w:r>
      <w:r w:rsidR="00A10523">
        <w:rPr>
          <w:rFonts w:asciiTheme="minorHAnsi" w:hAnsiTheme="minorHAnsi" w:cstheme="minorHAnsi"/>
          <w:sz w:val="24"/>
          <w:szCs w:val="24"/>
        </w:rPr>
        <w:t xml:space="preserve">are vulnerable, have </w:t>
      </w:r>
      <w:r w:rsidR="00A6607A">
        <w:rPr>
          <w:rFonts w:asciiTheme="minorHAnsi" w:hAnsiTheme="minorHAnsi" w:cstheme="minorHAnsi"/>
          <w:sz w:val="24"/>
          <w:szCs w:val="24"/>
        </w:rPr>
        <w:t xml:space="preserve">dental </w:t>
      </w:r>
      <w:r w:rsidR="007213F7">
        <w:rPr>
          <w:rFonts w:asciiTheme="minorHAnsi" w:hAnsiTheme="minorHAnsi" w:cstheme="minorHAnsi"/>
          <w:sz w:val="24"/>
          <w:szCs w:val="24"/>
        </w:rPr>
        <w:t xml:space="preserve">need and </w:t>
      </w:r>
      <w:r w:rsidR="00A10523">
        <w:rPr>
          <w:rFonts w:asciiTheme="minorHAnsi" w:hAnsiTheme="minorHAnsi" w:cstheme="minorHAnsi"/>
          <w:sz w:val="24"/>
          <w:szCs w:val="24"/>
        </w:rPr>
        <w:t xml:space="preserve">thus will </w:t>
      </w:r>
      <w:r w:rsidR="007213F7">
        <w:rPr>
          <w:rFonts w:asciiTheme="minorHAnsi" w:hAnsiTheme="minorHAnsi" w:cstheme="minorHAnsi"/>
          <w:sz w:val="24"/>
          <w:szCs w:val="24"/>
        </w:rPr>
        <w:t>benefit</w:t>
      </w:r>
      <w:r>
        <w:rPr>
          <w:rFonts w:asciiTheme="minorHAnsi" w:hAnsiTheme="minorHAnsi" w:cstheme="minorHAnsi"/>
          <w:sz w:val="24"/>
          <w:szCs w:val="24"/>
        </w:rPr>
        <w:t xml:space="preserve"> the</w:t>
      </w:r>
      <w:r w:rsidR="007213F7">
        <w:rPr>
          <w:rFonts w:asciiTheme="minorHAnsi" w:hAnsiTheme="minorHAnsi" w:cstheme="minorHAnsi"/>
          <w:sz w:val="24"/>
          <w:szCs w:val="24"/>
        </w:rPr>
        <w:t xml:space="preserve"> most</w:t>
      </w:r>
      <w:r w:rsidR="00A6607A">
        <w:rPr>
          <w:rFonts w:asciiTheme="minorHAnsi" w:hAnsiTheme="minorHAnsi" w:cstheme="minorHAnsi"/>
          <w:sz w:val="24"/>
          <w:szCs w:val="24"/>
        </w:rPr>
        <w:t xml:space="preserve"> over patients who have no dent</w:t>
      </w:r>
      <w:r w:rsidR="00F661E4">
        <w:rPr>
          <w:rFonts w:asciiTheme="minorHAnsi" w:hAnsiTheme="minorHAnsi" w:cstheme="minorHAnsi"/>
          <w:sz w:val="24"/>
          <w:szCs w:val="24"/>
        </w:rPr>
        <w:t>al disease and low risk but request</w:t>
      </w:r>
      <w:r w:rsidR="00A6607A">
        <w:rPr>
          <w:rFonts w:asciiTheme="minorHAnsi" w:hAnsiTheme="minorHAnsi" w:cstheme="minorHAnsi"/>
          <w:sz w:val="24"/>
          <w:szCs w:val="24"/>
        </w:rPr>
        <w:t xml:space="preserve"> regular ‘check-up’</w:t>
      </w:r>
      <w:r w:rsidR="007E7085">
        <w:rPr>
          <w:rFonts w:asciiTheme="minorHAnsi" w:hAnsiTheme="minorHAnsi" w:cstheme="minorHAnsi"/>
          <w:sz w:val="24"/>
          <w:szCs w:val="24"/>
        </w:rPr>
        <w:t xml:space="preserve">. </w:t>
      </w:r>
    </w:p>
    <w:p w14:paraId="0B008DF2" w14:textId="77777777" w:rsidR="00B164D6" w:rsidRDefault="00B164D6" w:rsidP="00F8725A">
      <w:pPr>
        <w:spacing w:line="276" w:lineRule="auto"/>
        <w:ind w:left="567"/>
        <w:jc w:val="both"/>
        <w:rPr>
          <w:rFonts w:asciiTheme="minorHAnsi" w:hAnsiTheme="minorHAnsi" w:cstheme="minorHAnsi"/>
          <w:sz w:val="24"/>
          <w:szCs w:val="24"/>
        </w:rPr>
      </w:pPr>
    </w:p>
    <w:p w14:paraId="530BC626" w14:textId="1555A740" w:rsidR="00304EEF" w:rsidRDefault="007E7085"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Additional capacity wi</w:t>
      </w:r>
      <w:r w:rsidR="00F661E4">
        <w:rPr>
          <w:rFonts w:asciiTheme="minorHAnsi" w:hAnsiTheme="minorHAnsi" w:cstheme="minorHAnsi"/>
          <w:sz w:val="24"/>
          <w:szCs w:val="24"/>
        </w:rPr>
        <w:t>ll need to be created within</w:t>
      </w:r>
      <w:r>
        <w:rPr>
          <w:rFonts w:asciiTheme="minorHAnsi" w:hAnsiTheme="minorHAnsi" w:cstheme="minorHAnsi"/>
          <w:sz w:val="24"/>
          <w:szCs w:val="24"/>
        </w:rPr>
        <w:t xml:space="preserve"> primary care to meet the </w:t>
      </w:r>
      <w:r w:rsidR="00EE6670">
        <w:rPr>
          <w:rFonts w:asciiTheme="minorHAnsi" w:hAnsiTheme="minorHAnsi" w:cstheme="minorHAnsi"/>
          <w:sz w:val="24"/>
          <w:szCs w:val="24"/>
        </w:rPr>
        <w:t xml:space="preserve">oral health and </w:t>
      </w:r>
      <w:r>
        <w:rPr>
          <w:rFonts w:asciiTheme="minorHAnsi" w:hAnsiTheme="minorHAnsi" w:cstheme="minorHAnsi"/>
          <w:sz w:val="24"/>
          <w:szCs w:val="24"/>
        </w:rPr>
        <w:t>dent</w:t>
      </w:r>
      <w:r w:rsidR="00A6607A">
        <w:rPr>
          <w:rFonts w:asciiTheme="minorHAnsi" w:hAnsiTheme="minorHAnsi" w:cstheme="minorHAnsi"/>
          <w:sz w:val="24"/>
          <w:szCs w:val="24"/>
        </w:rPr>
        <w:t>al care need of the population</w:t>
      </w:r>
      <w:r w:rsidR="005C63C8">
        <w:rPr>
          <w:rFonts w:asciiTheme="minorHAnsi" w:hAnsiTheme="minorHAnsi" w:cstheme="minorHAnsi"/>
          <w:sz w:val="24"/>
          <w:szCs w:val="24"/>
        </w:rPr>
        <w:t xml:space="preserve"> </w:t>
      </w:r>
      <w:proofErr w:type="gramStart"/>
      <w:r w:rsidR="005C63C8">
        <w:rPr>
          <w:rFonts w:asciiTheme="minorHAnsi" w:hAnsiTheme="minorHAnsi" w:cstheme="minorHAnsi"/>
          <w:sz w:val="24"/>
          <w:szCs w:val="24"/>
        </w:rPr>
        <w:t>and also</w:t>
      </w:r>
      <w:proofErr w:type="gramEnd"/>
      <w:r w:rsidR="005C63C8">
        <w:rPr>
          <w:rFonts w:asciiTheme="minorHAnsi" w:hAnsiTheme="minorHAnsi" w:cstheme="minorHAnsi"/>
          <w:sz w:val="24"/>
          <w:szCs w:val="24"/>
        </w:rPr>
        <w:t xml:space="preserve"> to move towards a system where primary care dental services are able to work with other health and care services locally to ensure proactive, preventive and co-ordinated care.</w:t>
      </w:r>
      <w:r w:rsidR="00111353">
        <w:rPr>
          <w:rFonts w:asciiTheme="minorHAnsi" w:hAnsiTheme="minorHAnsi" w:cstheme="minorHAnsi"/>
          <w:sz w:val="24"/>
          <w:szCs w:val="24"/>
        </w:rPr>
        <w:t xml:space="preserve"> </w:t>
      </w:r>
    </w:p>
    <w:p w14:paraId="508BE524" w14:textId="77777777" w:rsidR="00304EEF" w:rsidRDefault="00304EEF" w:rsidP="00F8725A">
      <w:pPr>
        <w:spacing w:line="276" w:lineRule="auto"/>
        <w:ind w:left="567"/>
        <w:jc w:val="both"/>
        <w:rPr>
          <w:rFonts w:asciiTheme="minorHAnsi" w:hAnsiTheme="minorHAnsi" w:cstheme="minorHAnsi"/>
          <w:sz w:val="24"/>
          <w:szCs w:val="24"/>
        </w:rPr>
      </w:pPr>
    </w:p>
    <w:p w14:paraId="5B50364D" w14:textId="32D64D72" w:rsidR="005C63C8" w:rsidRDefault="00213DE1" w:rsidP="00F8725A">
      <w:pPr>
        <w:spacing w:line="276" w:lineRule="auto"/>
        <w:ind w:left="567"/>
        <w:jc w:val="both"/>
        <w:rPr>
          <w:rFonts w:asciiTheme="minorHAnsi" w:hAnsiTheme="minorHAnsi" w:cstheme="minorHAnsi"/>
          <w:sz w:val="24"/>
          <w:szCs w:val="24"/>
        </w:rPr>
      </w:pPr>
      <w:r w:rsidRPr="00213DE1">
        <w:rPr>
          <w:rFonts w:asciiTheme="minorHAnsi" w:hAnsiTheme="minorHAnsi" w:cstheme="minorHAnsi"/>
          <w:sz w:val="24"/>
          <w:szCs w:val="24"/>
        </w:rPr>
        <w:lastRenderedPageBreak/>
        <w:t xml:space="preserve">In 2018, the Welsh Government document ‘Oral Health and Dental Services response to A Healthier </w:t>
      </w:r>
      <w:proofErr w:type="spellStart"/>
      <w:r w:rsidRPr="00213DE1">
        <w:rPr>
          <w:rFonts w:asciiTheme="minorHAnsi" w:hAnsiTheme="minorHAnsi" w:cstheme="minorHAnsi"/>
          <w:sz w:val="24"/>
          <w:szCs w:val="24"/>
        </w:rPr>
        <w:t>Wales’</w:t>
      </w:r>
      <w:proofErr w:type="spellEnd"/>
      <w:r w:rsidR="008417F0">
        <w:rPr>
          <w:rStyle w:val="EndnoteReference"/>
          <w:rFonts w:asciiTheme="minorHAnsi" w:hAnsiTheme="minorHAnsi" w:cstheme="minorHAnsi"/>
          <w:sz w:val="24"/>
          <w:szCs w:val="24"/>
        </w:rPr>
        <w:endnoteReference w:id="29"/>
      </w:r>
      <w:r w:rsidRPr="00213DE1">
        <w:rPr>
          <w:rFonts w:asciiTheme="minorHAnsi" w:hAnsiTheme="minorHAnsi" w:cstheme="minorHAnsi"/>
          <w:sz w:val="24"/>
          <w:szCs w:val="24"/>
        </w:rPr>
        <w:t xml:space="preserve"> argued for a needs-based approach to the provision of NHS dentistry across Wales: </w:t>
      </w:r>
    </w:p>
    <w:p w14:paraId="1B7F4FA7" w14:textId="25A52FBF" w:rsidR="005C63C8" w:rsidRPr="00EE6670" w:rsidRDefault="00213DE1" w:rsidP="00F8725A">
      <w:pPr>
        <w:pStyle w:val="ListParagraph"/>
        <w:numPr>
          <w:ilvl w:val="0"/>
          <w:numId w:val="7"/>
        </w:numPr>
        <w:spacing w:line="276" w:lineRule="auto"/>
        <w:ind w:left="1208" w:hanging="357"/>
        <w:jc w:val="both"/>
        <w:rPr>
          <w:rFonts w:asciiTheme="minorHAnsi" w:hAnsiTheme="minorHAnsi" w:cstheme="minorHAnsi"/>
          <w:sz w:val="24"/>
          <w:szCs w:val="24"/>
        </w:rPr>
      </w:pPr>
      <w:r w:rsidRPr="00EE6670">
        <w:rPr>
          <w:rFonts w:asciiTheme="minorHAnsi" w:hAnsiTheme="minorHAnsi" w:cstheme="minorHAnsi"/>
          <w:sz w:val="24"/>
          <w:szCs w:val="24"/>
        </w:rPr>
        <w:t xml:space="preserve">Increasing access to new patients with higher </w:t>
      </w:r>
      <w:proofErr w:type="gramStart"/>
      <w:r w:rsidRPr="00EE6670">
        <w:rPr>
          <w:rFonts w:asciiTheme="minorHAnsi" w:hAnsiTheme="minorHAnsi" w:cstheme="minorHAnsi"/>
          <w:sz w:val="24"/>
          <w:szCs w:val="24"/>
        </w:rPr>
        <w:t>needs;</w:t>
      </w:r>
      <w:proofErr w:type="gramEnd"/>
      <w:r w:rsidRPr="00EE6670">
        <w:rPr>
          <w:rFonts w:asciiTheme="minorHAnsi" w:hAnsiTheme="minorHAnsi" w:cstheme="minorHAnsi"/>
          <w:sz w:val="24"/>
          <w:szCs w:val="24"/>
        </w:rPr>
        <w:t xml:space="preserve"> </w:t>
      </w:r>
    </w:p>
    <w:p w14:paraId="176E6D52" w14:textId="605E481A" w:rsidR="005C63C8" w:rsidRPr="00EE6670" w:rsidRDefault="00213DE1" w:rsidP="00F8725A">
      <w:pPr>
        <w:pStyle w:val="ListParagraph"/>
        <w:numPr>
          <w:ilvl w:val="0"/>
          <w:numId w:val="7"/>
        </w:numPr>
        <w:spacing w:line="276" w:lineRule="auto"/>
        <w:ind w:left="1208" w:hanging="357"/>
        <w:jc w:val="both"/>
        <w:rPr>
          <w:rFonts w:asciiTheme="minorHAnsi" w:hAnsiTheme="minorHAnsi" w:cstheme="minorHAnsi"/>
          <w:sz w:val="24"/>
          <w:szCs w:val="24"/>
        </w:rPr>
      </w:pPr>
      <w:r w:rsidRPr="00EE6670">
        <w:rPr>
          <w:rFonts w:asciiTheme="minorHAnsi" w:hAnsiTheme="minorHAnsi" w:cstheme="minorHAnsi"/>
          <w:sz w:val="24"/>
          <w:szCs w:val="24"/>
        </w:rPr>
        <w:t xml:space="preserve">Adopting a preventive approach to care for </w:t>
      </w:r>
      <w:proofErr w:type="gramStart"/>
      <w:r w:rsidRPr="00EE6670">
        <w:rPr>
          <w:rFonts w:asciiTheme="minorHAnsi" w:hAnsiTheme="minorHAnsi" w:cstheme="minorHAnsi"/>
          <w:sz w:val="24"/>
          <w:szCs w:val="24"/>
        </w:rPr>
        <w:t>all;</w:t>
      </w:r>
      <w:proofErr w:type="gramEnd"/>
      <w:r w:rsidRPr="00EE6670">
        <w:rPr>
          <w:rFonts w:asciiTheme="minorHAnsi" w:hAnsiTheme="minorHAnsi" w:cstheme="minorHAnsi"/>
          <w:sz w:val="24"/>
          <w:szCs w:val="24"/>
        </w:rPr>
        <w:t xml:space="preserve"> </w:t>
      </w:r>
    </w:p>
    <w:p w14:paraId="6BD952DA" w14:textId="0D6C80DB" w:rsidR="005C63C8" w:rsidRPr="00EE6670" w:rsidRDefault="00213DE1" w:rsidP="00F8725A">
      <w:pPr>
        <w:pStyle w:val="ListParagraph"/>
        <w:numPr>
          <w:ilvl w:val="0"/>
          <w:numId w:val="7"/>
        </w:numPr>
        <w:spacing w:line="276" w:lineRule="auto"/>
        <w:ind w:left="1208" w:hanging="357"/>
        <w:jc w:val="both"/>
        <w:rPr>
          <w:rFonts w:asciiTheme="minorHAnsi" w:hAnsiTheme="minorHAnsi" w:cstheme="minorHAnsi"/>
          <w:sz w:val="24"/>
          <w:szCs w:val="24"/>
        </w:rPr>
      </w:pPr>
      <w:r w:rsidRPr="00EE6670">
        <w:rPr>
          <w:rFonts w:asciiTheme="minorHAnsi" w:hAnsiTheme="minorHAnsi" w:cstheme="minorHAnsi"/>
          <w:sz w:val="24"/>
          <w:szCs w:val="24"/>
        </w:rPr>
        <w:t xml:space="preserve">Extending the use of ‘skill-mix’ as part of the Prudent Health agenda; and </w:t>
      </w:r>
    </w:p>
    <w:p w14:paraId="148DA6C8" w14:textId="1364FABF" w:rsidR="00213DE1" w:rsidRPr="00EE6670" w:rsidRDefault="00213DE1" w:rsidP="00F8725A">
      <w:pPr>
        <w:pStyle w:val="ListParagraph"/>
        <w:numPr>
          <w:ilvl w:val="0"/>
          <w:numId w:val="7"/>
        </w:numPr>
        <w:spacing w:line="276" w:lineRule="auto"/>
        <w:ind w:left="1208" w:hanging="357"/>
        <w:jc w:val="both"/>
        <w:rPr>
          <w:rFonts w:asciiTheme="minorHAnsi" w:hAnsiTheme="minorHAnsi" w:cstheme="minorHAnsi"/>
          <w:sz w:val="24"/>
          <w:szCs w:val="24"/>
        </w:rPr>
      </w:pPr>
      <w:r w:rsidRPr="00EE6670">
        <w:rPr>
          <w:rFonts w:asciiTheme="minorHAnsi" w:hAnsiTheme="minorHAnsi" w:cstheme="minorHAnsi"/>
          <w:sz w:val="24"/>
          <w:szCs w:val="24"/>
        </w:rPr>
        <w:t>Prompting patients to attend according to need.</w:t>
      </w:r>
    </w:p>
    <w:p w14:paraId="45281D4E" w14:textId="77777777" w:rsidR="00773F47" w:rsidRDefault="00773F47" w:rsidP="00F8725A">
      <w:pPr>
        <w:spacing w:line="276" w:lineRule="auto"/>
        <w:ind w:left="567"/>
        <w:jc w:val="both"/>
        <w:rPr>
          <w:rFonts w:asciiTheme="minorHAnsi" w:hAnsiTheme="minorHAnsi" w:cstheme="minorHAnsi"/>
          <w:sz w:val="24"/>
          <w:szCs w:val="24"/>
        </w:rPr>
      </w:pPr>
    </w:p>
    <w:p w14:paraId="1943FDA8" w14:textId="51833C5E" w:rsidR="00213DE1" w:rsidRPr="00213DE1" w:rsidRDefault="00213DE1" w:rsidP="00F8725A">
      <w:pPr>
        <w:spacing w:line="276" w:lineRule="auto"/>
        <w:ind w:left="567"/>
        <w:jc w:val="both"/>
        <w:rPr>
          <w:rFonts w:asciiTheme="minorHAnsi" w:hAnsiTheme="minorHAnsi" w:cstheme="minorHAnsi"/>
          <w:sz w:val="24"/>
          <w:szCs w:val="24"/>
        </w:rPr>
      </w:pPr>
      <w:r w:rsidRPr="00213DE1">
        <w:rPr>
          <w:rFonts w:asciiTheme="minorHAnsi" w:hAnsiTheme="minorHAnsi" w:cstheme="minorHAnsi"/>
          <w:sz w:val="24"/>
          <w:szCs w:val="24"/>
        </w:rPr>
        <w:t xml:space="preserve">These align well with the </w:t>
      </w:r>
      <w:r w:rsidR="00995AE9">
        <w:rPr>
          <w:rFonts w:asciiTheme="minorHAnsi" w:hAnsiTheme="minorHAnsi" w:cstheme="minorHAnsi"/>
          <w:sz w:val="24"/>
          <w:szCs w:val="24"/>
        </w:rPr>
        <w:t xml:space="preserve">WHO </w:t>
      </w:r>
      <w:r w:rsidRPr="00213DE1">
        <w:rPr>
          <w:rFonts w:asciiTheme="minorHAnsi" w:hAnsiTheme="minorHAnsi" w:cstheme="minorHAnsi"/>
          <w:sz w:val="24"/>
          <w:szCs w:val="24"/>
        </w:rPr>
        <w:t>resolution on oral health</w:t>
      </w:r>
      <w:r w:rsidR="00995AE9">
        <w:rPr>
          <w:rFonts w:asciiTheme="minorHAnsi" w:hAnsiTheme="minorHAnsi" w:cstheme="minorHAnsi"/>
          <w:sz w:val="24"/>
          <w:szCs w:val="24"/>
        </w:rPr>
        <w:t xml:space="preserve"> </w:t>
      </w:r>
      <w:r w:rsidRPr="00213DE1">
        <w:rPr>
          <w:rFonts w:asciiTheme="minorHAnsi" w:hAnsiTheme="minorHAnsi" w:cstheme="minorHAnsi"/>
          <w:sz w:val="24"/>
          <w:szCs w:val="24"/>
        </w:rPr>
        <w:t>at the 74th World Health Assembly</w:t>
      </w:r>
      <w:r w:rsidR="00995AE9" w:rsidRPr="00213DE1">
        <w:rPr>
          <w:rFonts w:asciiTheme="minorHAnsi" w:hAnsiTheme="minorHAnsi" w:cstheme="minorHAnsi"/>
          <w:sz w:val="24"/>
          <w:szCs w:val="24"/>
        </w:rPr>
        <w:t xml:space="preserve"> in 2021</w:t>
      </w:r>
      <w:r w:rsidRPr="00213DE1">
        <w:rPr>
          <w:rFonts w:asciiTheme="minorHAnsi" w:hAnsiTheme="minorHAnsi" w:cstheme="minorHAnsi"/>
          <w:sz w:val="24"/>
          <w:szCs w:val="24"/>
        </w:rPr>
        <w:t>.</w:t>
      </w:r>
      <w:r w:rsidR="00EE6670">
        <w:rPr>
          <w:rStyle w:val="EndnoteReference"/>
          <w:rFonts w:asciiTheme="minorHAnsi" w:hAnsiTheme="minorHAnsi" w:cstheme="minorHAnsi"/>
          <w:sz w:val="24"/>
          <w:szCs w:val="24"/>
        </w:rPr>
        <w:endnoteReference w:id="30"/>
      </w:r>
      <w:r w:rsidRPr="00213DE1">
        <w:rPr>
          <w:rFonts w:asciiTheme="minorHAnsi" w:hAnsiTheme="minorHAnsi" w:cstheme="minorHAnsi"/>
          <w:sz w:val="24"/>
          <w:szCs w:val="24"/>
        </w:rPr>
        <w:t xml:space="preserve"> The</w:t>
      </w:r>
      <w:r w:rsidR="00EE6670">
        <w:rPr>
          <w:rFonts w:asciiTheme="minorHAnsi" w:hAnsiTheme="minorHAnsi" w:cstheme="minorHAnsi"/>
          <w:sz w:val="24"/>
          <w:szCs w:val="24"/>
        </w:rPr>
        <w:t xml:space="preserve"> </w:t>
      </w:r>
      <w:r w:rsidR="00995AE9">
        <w:rPr>
          <w:rFonts w:asciiTheme="minorHAnsi" w:hAnsiTheme="minorHAnsi" w:cstheme="minorHAnsi"/>
          <w:sz w:val="24"/>
          <w:szCs w:val="24"/>
        </w:rPr>
        <w:t>r</w:t>
      </w:r>
      <w:r w:rsidRPr="00213DE1">
        <w:rPr>
          <w:rFonts w:asciiTheme="minorHAnsi" w:hAnsiTheme="minorHAnsi" w:cstheme="minorHAnsi"/>
          <w:sz w:val="24"/>
          <w:szCs w:val="24"/>
        </w:rPr>
        <w:t xml:space="preserve">esolution recommends a shift from the traditional curative approach towards a preventive approach that includes promotion of oral health within the family, </w:t>
      </w:r>
      <w:proofErr w:type="gramStart"/>
      <w:r w:rsidRPr="00213DE1">
        <w:rPr>
          <w:rFonts w:asciiTheme="minorHAnsi" w:hAnsiTheme="minorHAnsi" w:cstheme="minorHAnsi"/>
          <w:sz w:val="24"/>
          <w:szCs w:val="24"/>
        </w:rPr>
        <w:t>schools</w:t>
      </w:r>
      <w:proofErr w:type="gramEnd"/>
      <w:r w:rsidRPr="00213DE1">
        <w:rPr>
          <w:rFonts w:asciiTheme="minorHAnsi" w:hAnsiTheme="minorHAnsi" w:cstheme="minorHAnsi"/>
          <w:sz w:val="24"/>
          <w:szCs w:val="24"/>
        </w:rPr>
        <w:t xml:space="preserve"> and workplaces, and includes timely, comprehensive and inclusive care within the p</w:t>
      </w:r>
      <w:r w:rsidR="00995AE9">
        <w:rPr>
          <w:rFonts w:asciiTheme="minorHAnsi" w:hAnsiTheme="minorHAnsi" w:cstheme="minorHAnsi"/>
          <w:sz w:val="24"/>
          <w:szCs w:val="24"/>
        </w:rPr>
        <w:t>rimary health-care system. The r</w:t>
      </w:r>
      <w:r w:rsidRPr="00213DE1">
        <w:rPr>
          <w:rFonts w:asciiTheme="minorHAnsi" w:hAnsiTheme="minorHAnsi" w:cstheme="minorHAnsi"/>
          <w:sz w:val="24"/>
          <w:szCs w:val="24"/>
        </w:rPr>
        <w:t>esolution affirms that oral health should be firmly embedded within the non-communicable disease agenda. </w:t>
      </w:r>
      <w:r w:rsidR="00A2193C" w:rsidRPr="00A2193C">
        <w:rPr>
          <w:rFonts w:asciiTheme="minorHAnsi" w:hAnsiTheme="minorHAnsi" w:cstheme="minorHAnsi"/>
          <w:sz w:val="24"/>
          <w:szCs w:val="24"/>
        </w:rPr>
        <w:t>A recent Lancet publication has also highlighted the need to move from a ‘cure’ to a ‘care’ culture, which focuses on prevention over simple interventionist approaches.</w:t>
      </w:r>
      <w:r w:rsidR="008417F0">
        <w:rPr>
          <w:rStyle w:val="EndnoteReference"/>
          <w:rFonts w:asciiTheme="minorHAnsi" w:hAnsiTheme="minorHAnsi" w:cstheme="minorHAnsi"/>
          <w:sz w:val="24"/>
          <w:szCs w:val="24"/>
        </w:rPr>
        <w:endnoteReference w:id="31"/>
      </w:r>
    </w:p>
    <w:p w14:paraId="6066D5F2" w14:textId="77777777" w:rsidR="00213DE1" w:rsidRPr="00213DE1" w:rsidRDefault="00213DE1" w:rsidP="00F8725A">
      <w:pPr>
        <w:spacing w:line="276" w:lineRule="auto"/>
        <w:ind w:left="567"/>
        <w:jc w:val="both"/>
        <w:rPr>
          <w:rFonts w:asciiTheme="minorHAnsi" w:hAnsiTheme="minorHAnsi" w:cstheme="minorHAnsi"/>
          <w:sz w:val="24"/>
          <w:szCs w:val="24"/>
        </w:rPr>
      </w:pPr>
    </w:p>
    <w:p w14:paraId="642A7C6E" w14:textId="51329F63" w:rsidR="00213DE1" w:rsidRPr="00213DE1" w:rsidRDefault="00213DE1" w:rsidP="00F8725A">
      <w:pPr>
        <w:spacing w:line="276" w:lineRule="auto"/>
        <w:ind w:left="567"/>
        <w:jc w:val="both"/>
        <w:rPr>
          <w:rFonts w:asciiTheme="minorHAnsi" w:hAnsiTheme="minorHAnsi" w:cstheme="minorHAnsi"/>
          <w:sz w:val="24"/>
          <w:szCs w:val="24"/>
        </w:rPr>
      </w:pPr>
      <w:r w:rsidRPr="00213DE1">
        <w:rPr>
          <w:rFonts w:asciiTheme="minorHAnsi" w:hAnsiTheme="minorHAnsi" w:cstheme="minorHAnsi"/>
          <w:sz w:val="24"/>
          <w:szCs w:val="24"/>
        </w:rPr>
        <w:t>In the past, there has been too much focus and reliance on designing a new dental contract to deliver treatments</w:t>
      </w:r>
      <w:r w:rsidR="00995AE9">
        <w:rPr>
          <w:rFonts w:asciiTheme="minorHAnsi" w:hAnsiTheme="minorHAnsi" w:cstheme="minorHAnsi"/>
          <w:sz w:val="24"/>
          <w:szCs w:val="24"/>
        </w:rPr>
        <w:t>,</w:t>
      </w:r>
      <w:r w:rsidRPr="00213DE1">
        <w:rPr>
          <w:rFonts w:asciiTheme="minorHAnsi" w:hAnsiTheme="minorHAnsi" w:cstheme="minorHAnsi"/>
          <w:sz w:val="24"/>
          <w:szCs w:val="24"/>
        </w:rPr>
        <w:t xml:space="preserve"> </w:t>
      </w:r>
      <w:r w:rsidR="00A2193C">
        <w:rPr>
          <w:rFonts w:asciiTheme="minorHAnsi" w:hAnsiTheme="minorHAnsi" w:cstheme="minorHAnsi"/>
          <w:sz w:val="24"/>
          <w:szCs w:val="24"/>
        </w:rPr>
        <w:t xml:space="preserve">and </w:t>
      </w:r>
      <w:r w:rsidR="00A6607A">
        <w:rPr>
          <w:rFonts w:asciiTheme="minorHAnsi" w:hAnsiTheme="minorHAnsi" w:cstheme="minorHAnsi"/>
          <w:sz w:val="24"/>
          <w:szCs w:val="24"/>
        </w:rPr>
        <w:t xml:space="preserve">unrealistic </w:t>
      </w:r>
      <w:r w:rsidR="00A2193C">
        <w:rPr>
          <w:rFonts w:asciiTheme="minorHAnsi" w:hAnsiTheme="minorHAnsi" w:cstheme="minorHAnsi"/>
          <w:sz w:val="24"/>
          <w:szCs w:val="24"/>
        </w:rPr>
        <w:t>expect</w:t>
      </w:r>
      <w:r w:rsidR="00A6607A">
        <w:rPr>
          <w:rFonts w:asciiTheme="minorHAnsi" w:hAnsiTheme="minorHAnsi" w:cstheme="minorHAnsi"/>
          <w:sz w:val="24"/>
          <w:szCs w:val="24"/>
        </w:rPr>
        <w:t>ation placed on a new dental contract to</w:t>
      </w:r>
      <w:r w:rsidR="00F661E4">
        <w:rPr>
          <w:rFonts w:asciiTheme="minorHAnsi" w:hAnsiTheme="minorHAnsi" w:cstheme="minorHAnsi"/>
          <w:sz w:val="24"/>
          <w:szCs w:val="24"/>
        </w:rPr>
        <w:t xml:space="preserve"> improve</w:t>
      </w:r>
      <w:r w:rsidR="00A2193C">
        <w:rPr>
          <w:rFonts w:asciiTheme="minorHAnsi" w:hAnsiTheme="minorHAnsi" w:cstheme="minorHAnsi"/>
          <w:sz w:val="24"/>
          <w:szCs w:val="24"/>
        </w:rPr>
        <w:t xml:space="preserve"> oral health and reduce demand for dental care. </w:t>
      </w:r>
      <w:r w:rsidR="00F661E4">
        <w:rPr>
          <w:rFonts w:asciiTheme="minorHAnsi" w:hAnsiTheme="minorHAnsi" w:cstheme="minorHAnsi"/>
          <w:sz w:val="24"/>
          <w:szCs w:val="24"/>
        </w:rPr>
        <w:t>There was no</w:t>
      </w:r>
      <w:r w:rsidRPr="00213DE1">
        <w:rPr>
          <w:rFonts w:asciiTheme="minorHAnsi" w:hAnsiTheme="minorHAnsi" w:cstheme="minorHAnsi"/>
          <w:sz w:val="24"/>
          <w:szCs w:val="24"/>
        </w:rPr>
        <w:t xml:space="preserve"> </w:t>
      </w:r>
      <w:r w:rsidR="000A03A0">
        <w:rPr>
          <w:rFonts w:asciiTheme="minorHAnsi" w:hAnsiTheme="minorHAnsi" w:cstheme="minorHAnsi"/>
          <w:sz w:val="24"/>
          <w:szCs w:val="24"/>
        </w:rPr>
        <w:t xml:space="preserve">associated planning </w:t>
      </w:r>
      <w:r w:rsidRPr="00213DE1">
        <w:rPr>
          <w:rFonts w:asciiTheme="minorHAnsi" w:hAnsiTheme="minorHAnsi" w:cstheme="minorHAnsi"/>
          <w:sz w:val="24"/>
          <w:szCs w:val="24"/>
        </w:rPr>
        <w:t>for prevention</w:t>
      </w:r>
      <w:r w:rsidR="00A2193C">
        <w:rPr>
          <w:rFonts w:asciiTheme="minorHAnsi" w:hAnsiTheme="minorHAnsi" w:cstheme="minorHAnsi"/>
          <w:sz w:val="24"/>
          <w:szCs w:val="24"/>
        </w:rPr>
        <w:t xml:space="preserve"> </w:t>
      </w:r>
      <w:r w:rsidR="000A03A0">
        <w:rPr>
          <w:rFonts w:asciiTheme="minorHAnsi" w:hAnsiTheme="minorHAnsi" w:cstheme="minorHAnsi"/>
          <w:sz w:val="24"/>
          <w:szCs w:val="24"/>
        </w:rPr>
        <w:t xml:space="preserve">from clinical settings or the wider population level to reduce the burden of disease in the population. </w:t>
      </w:r>
      <w:r w:rsidRPr="00213DE1">
        <w:rPr>
          <w:rFonts w:asciiTheme="minorHAnsi" w:hAnsiTheme="minorHAnsi" w:cstheme="minorHAnsi"/>
          <w:sz w:val="24"/>
          <w:szCs w:val="24"/>
        </w:rPr>
        <w:t>Previous new dental contract introduction</w:t>
      </w:r>
      <w:r w:rsidR="000A03A0">
        <w:rPr>
          <w:rFonts w:asciiTheme="minorHAnsi" w:hAnsiTheme="minorHAnsi" w:cstheme="minorHAnsi"/>
          <w:sz w:val="24"/>
          <w:szCs w:val="24"/>
        </w:rPr>
        <w:t>s</w:t>
      </w:r>
      <w:r w:rsidRPr="00213DE1">
        <w:rPr>
          <w:rFonts w:asciiTheme="minorHAnsi" w:hAnsiTheme="minorHAnsi" w:cstheme="minorHAnsi"/>
          <w:sz w:val="24"/>
          <w:szCs w:val="24"/>
        </w:rPr>
        <w:t xml:space="preserve"> in 1990 and 2006 </w:t>
      </w:r>
      <w:r w:rsidR="00A10523">
        <w:rPr>
          <w:rFonts w:asciiTheme="minorHAnsi" w:hAnsiTheme="minorHAnsi" w:cstheme="minorHAnsi"/>
          <w:sz w:val="24"/>
          <w:szCs w:val="24"/>
        </w:rPr>
        <w:t>also did not take</w:t>
      </w:r>
      <w:r w:rsidRPr="00213DE1">
        <w:rPr>
          <w:rFonts w:asciiTheme="minorHAnsi" w:hAnsiTheme="minorHAnsi" w:cstheme="minorHAnsi"/>
          <w:sz w:val="24"/>
          <w:szCs w:val="24"/>
        </w:rPr>
        <w:t xml:space="preserve"> account of variation in oral health needs of population in different areas </w:t>
      </w:r>
      <w:r w:rsidR="00A10523">
        <w:rPr>
          <w:rFonts w:asciiTheme="minorHAnsi" w:hAnsiTheme="minorHAnsi" w:cstheme="minorHAnsi"/>
          <w:sz w:val="24"/>
          <w:szCs w:val="24"/>
        </w:rPr>
        <w:t>and did not</w:t>
      </w:r>
      <w:r w:rsidRPr="00213DE1">
        <w:rPr>
          <w:rFonts w:asciiTheme="minorHAnsi" w:hAnsiTheme="minorHAnsi" w:cstheme="minorHAnsi"/>
          <w:sz w:val="24"/>
          <w:szCs w:val="24"/>
        </w:rPr>
        <w:t xml:space="preserve"> encour</w:t>
      </w:r>
      <w:r w:rsidR="00A10523">
        <w:rPr>
          <w:rFonts w:asciiTheme="minorHAnsi" w:hAnsiTheme="minorHAnsi" w:cstheme="minorHAnsi"/>
          <w:sz w:val="24"/>
          <w:szCs w:val="24"/>
        </w:rPr>
        <w:t>age local innovation in service</w:t>
      </w:r>
      <w:r w:rsidRPr="00213DE1">
        <w:rPr>
          <w:rFonts w:asciiTheme="minorHAnsi" w:hAnsiTheme="minorHAnsi" w:cstheme="minorHAnsi"/>
          <w:sz w:val="24"/>
          <w:szCs w:val="24"/>
        </w:rPr>
        <w:t xml:space="preserve"> commissioning or service provision.  </w:t>
      </w:r>
    </w:p>
    <w:p w14:paraId="573EBCCC" w14:textId="1FAC7EF0" w:rsidR="00213DE1" w:rsidRPr="00213DE1" w:rsidRDefault="00213DE1" w:rsidP="00F8725A">
      <w:pPr>
        <w:spacing w:line="276" w:lineRule="auto"/>
        <w:ind w:left="567"/>
        <w:jc w:val="both"/>
        <w:rPr>
          <w:rFonts w:asciiTheme="minorHAnsi" w:hAnsiTheme="minorHAnsi" w:cstheme="minorHAnsi"/>
          <w:sz w:val="24"/>
          <w:szCs w:val="24"/>
        </w:rPr>
      </w:pPr>
    </w:p>
    <w:p w14:paraId="3194EF95" w14:textId="3C8F813E" w:rsidR="00213DE1" w:rsidRPr="00213DE1" w:rsidRDefault="00213DE1" w:rsidP="00F8725A">
      <w:pPr>
        <w:spacing w:after="120" w:line="276" w:lineRule="auto"/>
        <w:ind w:left="567"/>
        <w:jc w:val="both"/>
        <w:rPr>
          <w:rFonts w:asciiTheme="minorHAnsi" w:hAnsiTheme="minorHAnsi" w:cstheme="minorHAnsi"/>
          <w:sz w:val="24"/>
          <w:szCs w:val="24"/>
        </w:rPr>
      </w:pPr>
      <w:r w:rsidRPr="00213DE1">
        <w:rPr>
          <w:rFonts w:asciiTheme="minorHAnsi" w:hAnsiTheme="minorHAnsi" w:cstheme="minorHAnsi"/>
          <w:sz w:val="24"/>
          <w:szCs w:val="24"/>
        </w:rPr>
        <w:t>Proposed primary ca</w:t>
      </w:r>
      <w:r w:rsidR="00995AE9">
        <w:rPr>
          <w:rFonts w:asciiTheme="minorHAnsi" w:hAnsiTheme="minorHAnsi" w:cstheme="minorHAnsi"/>
          <w:sz w:val="24"/>
          <w:szCs w:val="24"/>
        </w:rPr>
        <w:t>re dental services reform by</w:t>
      </w:r>
      <w:r w:rsidRPr="00213DE1">
        <w:rPr>
          <w:rFonts w:asciiTheme="minorHAnsi" w:hAnsiTheme="minorHAnsi" w:cstheme="minorHAnsi"/>
          <w:sz w:val="24"/>
          <w:szCs w:val="24"/>
        </w:rPr>
        <w:t xml:space="preserve"> Welsh Government to replace the current Units of Dental Activity (UDA) based </w:t>
      </w:r>
      <w:r w:rsidR="00F661E4">
        <w:rPr>
          <w:rFonts w:asciiTheme="minorHAnsi" w:hAnsiTheme="minorHAnsi" w:cstheme="minorHAnsi"/>
          <w:sz w:val="24"/>
          <w:szCs w:val="24"/>
        </w:rPr>
        <w:t xml:space="preserve">model </w:t>
      </w:r>
      <w:r w:rsidRPr="00213DE1">
        <w:rPr>
          <w:rFonts w:asciiTheme="minorHAnsi" w:hAnsiTheme="minorHAnsi" w:cstheme="minorHAnsi"/>
          <w:sz w:val="24"/>
          <w:szCs w:val="24"/>
        </w:rPr>
        <w:t>is a step in the right direction and an opportunity to create a learning oral health care system in Wales.</w:t>
      </w:r>
      <w:r w:rsidR="00EF6CDA">
        <w:rPr>
          <w:rFonts w:asciiTheme="minorHAnsi" w:hAnsiTheme="minorHAnsi" w:cstheme="minorHAnsi"/>
          <w:sz w:val="24"/>
          <w:szCs w:val="24"/>
        </w:rPr>
        <w:t xml:space="preserve"> </w:t>
      </w:r>
      <w:r w:rsidR="00FF3F32">
        <w:rPr>
          <w:rFonts w:asciiTheme="minorHAnsi" w:hAnsiTheme="minorHAnsi" w:cstheme="minorHAnsi"/>
          <w:sz w:val="24"/>
          <w:szCs w:val="24"/>
        </w:rPr>
        <w:t>The p</w:t>
      </w:r>
      <w:r w:rsidR="00EF6CDA">
        <w:rPr>
          <w:rFonts w:asciiTheme="minorHAnsi" w:hAnsiTheme="minorHAnsi" w:cstheme="minorHAnsi"/>
          <w:sz w:val="24"/>
          <w:szCs w:val="24"/>
        </w:rPr>
        <w:t xml:space="preserve">revailing idea that one </w:t>
      </w:r>
      <w:r w:rsidR="00FF3F32">
        <w:rPr>
          <w:rFonts w:asciiTheme="minorHAnsi" w:hAnsiTheme="minorHAnsi" w:cstheme="minorHAnsi"/>
          <w:sz w:val="24"/>
          <w:szCs w:val="24"/>
        </w:rPr>
        <w:t xml:space="preserve">highly prescriptive </w:t>
      </w:r>
      <w:r w:rsidR="00EF6CDA">
        <w:rPr>
          <w:rFonts w:asciiTheme="minorHAnsi" w:hAnsiTheme="minorHAnsi" w:cstheme="minorHAnsi"/>
          <w:sz w:val="24"/>
          <w:szCs w:val="24"/>
        </w:rPr>
        <w:t>dental contract</w:t>
      </w:r>
      <w:r w:rsidR="00FF3F32">
        <w:rPr>
          <w:rFonts w:asciiTheme="minorHAnsi" w:hAnsiTheme="minorHAnsi" w:cstheme="minorHAnsi"/>
          <w:sz w:val="24"/>
          <w:szCs w:val="24"/>
        </w:rPr>
        <w:t xml:space="preserve"> (like the Units of Dental Activity based contract)</w:t>
      </w:r>
      <w:r w:rsidR="00EF6CDA">
        <w:rPr>
          <w:rFonts w:asciiTheme="minorHAnsi" w:hAnsiTheme="minorHAnsi" w:cstheme="minorHAnsi"/>
          <w:sz w:val="24"/>
          <w:szCs w:val="24"/>
        </w:rPr>
        <w:t xml:space="preserve"> or </w:t>
      </w:r>
      <w:r w:rsidR="00FF3F32">
        <w:rPr>
          <w:rFonts w:asciiTheme="minorHAnsi" w:hAnsiTheme="minorHAnsi" w:cstheme="minorHAnsi"/>
          <w:sz w:val="24"/>
          <w:szCs w:val="24"/>
        </w:rPr>
        <w:t xml:space="preserve">a particular </w:t>
      </w:r>
      <w:r w:rsidR="00EF6CDA">
        <w:rPr>
          <w:rFonts w:asciiTheme="minorHAnsi" w:hAnsiTheme="minorHAnsi" w:cstheme="minorHAnsi"/>
          <w:sz w:val="24"/>
          <w:szCs w:val="24"/>
        </w:rPr>
        <w:t>service model</w:t>
      </w:r>
      <w:r w:rsidR="00F9066F">
        <w:rPr>
          <w:rFonts w:asciiTheme="minorHAnsi" w:hAnsiTheme="minorHAnsi" w:cstheme="minorHAnsi"/>
          <w:sz w:val="24"/>
          <w:szCs w:val="24"/>
        </w:rPr>
        <w:t xml:space="preserve"> being</w:t>
      </w:r>
      <w:r w:rsidR="00FF3F32">
        <w:rPr>
          <w:rFonts w:asciiTheme="minorHAnsi" w:hAnsiTheme="minorHAnsi" w:cstheme="minorHAnsi"/>
          <w:sz w:val="24"/>
          <w:szCs w:val="24"/>
        </w:rPr>
        <w:t xml:space="preserve"> suitable for</w:t>
      </w:r>
      <w:r w:rsidR="00EF6CDA">
        <w:rPr>
          <w:rFonts w:asciiTheme="minorHAnsi" w:hAnsiTheme="minorHAnsi" w:cstheme="minorHAnsi"/>
          <w:sz w:val="24"/>
          <w:szCs w:val="24"/>
        </w:rPr>
        <w:t xml:space="preserve"> all parts of Wales with different level</w:t>
      </w:r>
      <w:r w:rsidR="00F661E4">
        <w:rPr>
          <w:rFonts w:asciiTheme="minorHAnsi" w:hAnsiTheme="minorHAnsi" w:cstheme="minorHAnsi"/>
          <w:sz w:val="24"/>
          <w:szCs w:val="24"/>
        </w:rPr>
        <w:t>s</w:t>
      </w:r>
      <w:r w:rsidR="00EF6CDA">
        <w:rPr>
          <w:rFonts w:asciiTheme="minorHAnsi" w:hAnsiTheme="minorHAnsi" w:cstheme="minorHAnsi"/>
          <w:sz w:val="24"/>
          <w:szCs w:val="24"/>
        </w:rPr>
        <w:t xml:space="preserve"> of population need, demand and workforce challenges is unrealistic. </w:t>
      </w:r>
    </w:p>
    <w:p w14:paraId="4D00EAA2" w14:textId="77777777" w:rsidR="00F8725A" w:rsidRDefault="00F8725A" w:rsidP="00F8725A">
      <w:pPr>
        <w:spacing w:after="120" w:line="276" w:lineRule="auto"/>
        <w:ind w:left="567"/>
        <w:jc w:val="both"/>
        <w:rPr>
          <w:rFonts w:asciiTheme="minorHAnsi" w:hAnsiTheme="minorHAnsi" w:cstheme="minorHAnsi"/>
          <w:b/>
          <w:sz w:val="24"/>
          <w:szCs w:val="24"/>
        </w:rPr>
      </w:pPr>
    </w:p>
    <w:p w14:paraId="4599E289" w14:textId="175E75A9" w:rsidR="00D85DBD" w:rsidRDefault="00DF27C3" w:rsidP="00F8725A">
      <w:pPr>
        <w:spacing w:after="120" w:line="276" w:lineRule="auto"/>
        <w:ind w:left="567"/>
        <w:jc w:val="both"/>
        <w:rPr>
          <w:rFonts w:asciiTheme="minorHAnsi" w:hAnsiTheme="minorHAnsi" w:cstheme="minorHAnsi"/>
          <w:b/>
          <w:sz w:val="24"/>
          <w:szCs w:val="24"/>
        </w:rPr>
      </w:pPr>
      <w:r w:rsidRPr="00DF27C3">
        <w:rPr>
          <w:rFonts w:asciiTheme="minorHAnsi" w:hAnsiTheme="minorHAnsi" w:cstheme="minorHAnsi"/>
          <w:b/>
          <w:sz w:val="24"/>
          <w:szCs w:val="24"/>
        </w:rPr>
        <w:t>b) Community Dental Services</w:t>
      </w:r>
    </w:p>
    <w:p w14:paraId="4B2E77A5" w14:textId="4D3DD55E" w:rsidR="00D85DBD" w:rsidRDefault="00F661E4" w:rsidP="00F8725A">
      <w:pPr>
        <w:spacing w:after="120" w:line="276" w:lineRule="auto"/>
        <w:ind w:left="567"/>
        <w:jc w:val="both"/>
        <w:rPr>
          <w:rFonts w:asciiTheme="minorHAnsi" w:hAnsiTheme="minorHAnsi" w:cstheme="minorHAnsi"/>
          <w:sz w:val="24"/>
          <w:szCs w:val="24"/>
        </w:rPr>
      </w:pPr>
      <w:r>
        <w:rPr>
          <w:rFonts w:asciiTheme="minorHAnsi" w:hAnsiTheme="minorHAnsi" w:cstheme="minorHAnsi"/>
          <w:sz w:val="24"/>
          <w:szCs w:val="24"/>
        </w:rPr>
        <w:t>The NHS Wales Community Dental Services</w:t>
      </w:r>
      <w:r w:rsidR="00D85DBD" w:rsidRPr="00D85DBD">
        <w:rPr>
          <w:rFonts w:asciiTheme="minorHAnsi" w:hAnsiTheme="minorHAnsi" w:cstheme="minorHAnsi"/>
          <w:sz w:val="24"/>
          <w:szCs w:val="24"/>
        </w:rPr>
        <w:t xml:space="preserve"> provide dental care for th</w:t>
      </w:r>
      <w:r>
        <w:rPr>
          <w:rFonts w:asciiTheme="minorHAnsi" w:hAnsiTheme="minorHAnsi" w:cstheme="minorHAnsi"/>
          <w:sz w:val="24"/>
          <w:szCs w:val="24"/>
        </w:rPr>
        <w:t xml:space="preserve">e most vulnerable groups in </w:t>
      </w:r>
      <w:r w:rsidR="00D85DBD" w:rsidRPr="00D85DBD">
        <w:rPr>
          <w:rFonts w:asciiTheme="minorHAnsi" w:hAnsiTheme="minorHAnsi" w:cstheme="minorHAnsi"/>
          <w:sz w:val="24"/>
          <w:szCs w:val="24"/>
        </w:rPr>
        <w:t xml:space="preserve">society and deliver key dental public health programmes like Designed to Smile, Gwen Am </w:t>
      </w:r>
      <w:proofErr w:type="spellStart"/>
      <w:r w:rsidR="00D85DBD" w:rsidRPr="00D85DBD">
        <w:rPr>
          <w:rFonts w:asciiTheme="minorHAnsi" w:hAnsiTheme="minorHAnsi" w:cstheme="minorHAnsi"/>
          <w:sz w:val="24"/>
          <w:szCs w:val="24"/>
        </w:rPr>
        <w:t>Byth</w:t>
      </w:r>
      <w:proofErr w:type="spellEnd"/>
      <w:r w:rsidR="00D85DBD" w:rsidRPr="00D85DBD">
        <w:rPr>
          <w:rFonts w:asciiTheme="minorHAnsi" w:hAnsiTheme="minorHAnsi" w:cstheme="minorHAnsi"/>
          <w:sz w:val="24"/>
          <w:szCs w:val="24"/>
        </w:rPr>
        <w:t xml:space="preserve"> and </w:t>
      </w:r>
      <w:r>
        <w:rPr>
          <w:rFonts w:asciiTheme="minorHAnsi" w:hAnsiTheme="minorHAnsi" w:cstheme="minorHAnsi"/>
          <w:sz w:val="24"/>
          <w:szCs w:val="24"/>
        </w:rPr>
        <w:t xml:space="preserve">the </w:t>
      </w:r>
      <w:r w:rsidR="00D85DBD" w:rsidRPr="00D85DBD">
        <w:rPr>
          <w:rFonts w:asciiTheme="minorHAnsi" w:hAnsiTheme="minorHAnsi" w:cstheme="minorHAnsi"/>
          <w:sz w:val="24"/>
          <w:szCs w:val="24"/>
        </w:rPr>
        <w:t>Dental Epidemiology Programme.</w:t>
      </w:r>
      <w:r w:rsidR="00D85DBD">
        <w:rPr>
          <w:rFonts w:asciiTheme="minorHAnsi" w:hAnsiTheme="minorHAnsi" w:cstheme="minorHAnsi"/>
          <w:sz w:val="24"/>
          <w:szCs w:val="24"/>
        </w:rPr>
        <w:t xml:space="preserve"> Community Dental Service</w:t>
      </w:r>
      <w:r>
        <w:rPr>
          <w:rFonts w:asciiTheme="minorHAnsi" w:hAnsiTheme="minorHAnsi" w:cstheme="minorHAnsi"/>
          <w:sz w:val="24"/>
          <w:szCs w:val="24"/>
        </w:rPr>
        <w:t xml:space="preserve">s’ role is well described in a </w:t>
      </w:r>
      <w:r w:rsidR="00D85DBD">
        <w:rPr>
          <w:rFonts w:asciiTheme="minorHAnsi" w:hAnsiTheme="minorHAnsi" w:cstheme="minorHAnsi"/>
          <w:sz w:val="24"/>
          <w:szCs w:val="24"/>
        </w:rPr>
        <w:t>Welsh Health Circular.</w:t>
      </w:r>
      <w:r w:rsidR="00D85DBD">
        <w:rPr>
          <w:rStyle w:val="EndnoteReference"/>
          <w:rFonts w:asciiTheme="minorHAnsi" w:hAnsiTheme="minorHAnsi" w:cstheme="minorHAnsi"/>
          <w:sz w:val="24"/>
          <w:szCs w:val="24"/>
        </w:rPr>
        <w:endnoteReference w:id="32"/>
      </w:r>
    </w:p>
    <w:p w14:paraId="311C3781" w14:textId="7B6133B5" w:rsidR="00D85DBD" w:rsidRPr="00D85DBD" w:rsidRDefault="00D85DBD" w:rsidP="00F8725A">
      <w:pPr>
        <w:spacing w:line="276" w:lineRule="auto"/>
        <w:ind w:left="567"/>
        <w:jc w:val="both"/>
        <w:rPr>
          <w:rFonts w:asciiTheme="minorHAnsi" w:hAnsiTheme="minorHAnsi" w:cstheme="minorHAnsi"/>
          <w:sz w:val="24"/>
          <w:szCs w:val="24"/>
        </w:rPr>
      </w:pPr>
    </w:p>
    <w:p w14:paraId="6E416F6B" w14:textId="1B86EAAB" w:rsidR="00D85DBD" w:rsidRDefault="00323874"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lastRenderedPageBreak/>
        <w:t>The</w:t>
      </w:r>
      <w:r w:rsidR="00213DE1" w:rsidRPr="00213DE1">
        <w:rPr>
          <w:rFonts w:asciiTheme="minorHAnsi" w:hAnsiTheme="minorHAnsi" w:cstheme="minorHAnsi"/>
          <w:sz w:val="24"/>
          <w:szCs w:val="24"/>
        </w:rPr>
        <w:t xml:space="preserve"> Community Dental Services (CDS</w:t>
      </w:r>
      <w:r w:rsidR="00F661E4">
        <w:rPr>
          <w:rFonts w:asciiTheme="minorHAnsi" w:hAnsiTheme="minorHAnsi" w:cstheme="minorHAnsi"/>
          <w:sz w:val="24"/>
          <w:szCs w:val="24"/>
        </w:rPr>
        <w:t>) in Wales</w:t>
      </w:r>
      <w:r w:rsidR="00995AE9">
        <w:rPr>
          <w:rFonts w:asciiTheme="minorHAnsi" w:hAnsiTheme="minorHAnsi" w:cstheme="minorHAnsi"/>
          <w:sz w:val="24"/>
          <w:szCs w:val="24"/>
        </w:rPr>
        <w:t xml:space="preserve"> have</w:t>
      </w:r>
      <w:r w:rsidR="00213DE1" w:rsidRPr="00213DE1">
        <w:rPr>
          <w:rFonts w:asciiTheme="minorHAnsi" w:hAnsiTheme="minorHAnsi" w:cstheme="minorHAnsi"/>
          <w:sz w:val="24"/>
          <w:szCs w:val="24"/>
        </w:rPr>
        <w:t xml:space="preserve"> been impacted by the COVID19 </w:t>
      </w:r>
      <w:r w:rsidR="00F661E4">
        <w:rPr>
          <w:rFonts w:asciiTheme="minorHAnsi" w:hAnsiTheme="minorHAnsi" w:cstheme="minorHAnsi"/>
          <w:sz w:val="24"/>
          <w:szCs w:val="24"/>
        </w:rPr>
        <w:t xml:space="preserve">pandemic </w:t>
      </w:r>
      <w:r w:rsidR="00213DE1" w:rsidRPr="00213DE1">
        <w:rPr>
          <w:rFonts w:asciiTheme="minorHAnsi" w:hAnsiTheme="minorHAnsi" w:cstheme="minorHAnsi"/>
          <w:sz w:val="24"/>
          <w:szCs w:val="24"/>
        </w:rPr>
        <w:t xml:space="preserve">and </w:t>
      </w:r>
      <w:proofErr w:type="gramStart"/>
      <w:r w:rsidR="00213DE1" w:rsidRPr="00213DE1">
        <w:rPr>
          <w:rFonts w:asciiTheme="minorHAnsi" w:hAnsiTheme="minorHAnsi" w:cstheme="minorHAnsi"/>
          <w:sz w:val="24"/>
          <w:szCs w:val="24"/>
        </w:rPr>
        <w:t>long term</w:t>
      </w:r>
      <w:proofErr w:type="gramEnd"/>
      <w:r w:rsidR="00213DE1" w:rsidRPr="00213DE1">
        <w:rPr>
          <w:rFonts w:asciiTheme="minorHAnsi" w:hAnsiTheme="minorHAnsi" w:cstheme="minorHAnsi"/>
          <w:sz w:val="24"/>
          <w:szCs w:val="24"/>
        </w:rPr>
        <w:t xml:space="preserve"> workforce and infrastructure issues.  </w:t>
      </w:r>
      <w:r w:rsidR="00CF20C3" w:rsidRPr="00CF20C3">
        <w:rPr>
          <w:rFonts w:asciiTheme="minorHAnsi" w:hAnsiTheme="minorHAnsi" w:cstheme="minorHAnsi"/>
          <w:sz w:val="24"/>
          <w:szCs w:val="24"/>
        </w:rPr>
        <w:t>Many staff from the</w:t>
      </w:r>
      <w:r w:rsidR="00F661E4">
        <w:rPr>
          <w:rFonts w:asciiTheme="minorHAnsi" w:hAnsiTheme="minorHAnsi" w:cstheme="minorHAnsi"/>
          <w:sz w:val="24"/>
          <w:szCs w:val="24"/>
        </w:rPr>
        <w:t xml:space="preserve"> CDS</w:t>
      </w:r>
      <w:r w:rsidR="00CF20C3" w:rsidRPr="00CF20C3">
        <w:rPr>
          <w:rFonts w:asciiTheme="minorHAnsi" w:hAnsiTheme="minorHAnsi" w:cstheme="minorHAnsi"/>
          <w:sz w:val="24"/>
          <w:szCs w:val="24"/>
        </w:rPr>
        <w:t xml:space="preserve">, including Designed to Smile, were redeployed </w:t>
      </w:r>
      <w:r w:rsidR="00F661E4">
        <w:rPr>
          <w:rFonts w:asciiTheme="minorHAnsi" w:hAnsiTheme="minorHAnsi" w:cstheme="minorHAnsi"/>
          <w:sz w:val="24"/>
          <w:szCs w:val="24"/>
        </w:rPr>
        <w:t xml:space="preserve">long-term </w:t>
      </w:r>
      <w:r w:rsidR="00CF20C3" w:rsidRPr="00CF20C3">
        <w:rPr>
          <w:rFonts w:asciiTheme="minorHAnsi" w:hAnsiTheme="minorHAnsi" w:cstheme="minorHAnsi"/>
          <w:sz w:val="24"/>
          <w:szCs w:val="24"/>
        </w:rPr>
        <w:t>to various COVID19 response roles.</w:t>
      </w:r>
      <w:r w:rsidR="00CF20C3">
        <w:rPr>
          <w:rFonts w:asciiTheme="minorHAnsi" w:hAnsiTheme="minorHAnsi" w:cstheme="minorHAnsi"/>
          <w:sz w:val="24"/>
          <w:szCs w:val="24"/>
        </w:rPr>
        <w:t xml:space="preserve"> </w:t>
      </w:r>
    </w:p>
    <w:p w14:paraId="74847F3C" w14:textId="77777777" w:rsidR="00D85DBD" w:rsidRDefault="00D85DBD" w:rsidP="00F8725A">
      <w:pPr>
        <w:spacing w:line="276" w:lineRule="auto"/>
        <w:ind w:left="567"/>
        <w:jc w:val="both"/>
        <w:rPr>
          <w:rFonts w:asciiTheme="minorHAnsi" w:hAnsiTheme="minorHAnsi" w:cstheme="minorHAnsi"/>
          <w:sz w:val="24"/>
          <w:szCs w:val="24"/>
        </w:rPr>
      </w:pPr>
    </w:p>
    <w:p w14:paraId="39B7F44F" w14:textId="013514D0" w:rsidR="00213DE1" w:rsidRPr="00213DE1" w:rsidRDefault="00213DE1" w:rsidP="00F8725A">
      <w:pPr>
        <w:spacing w:line="276" w:lineRule="auto"/>
        <w:ind w:left="567"/>
        <w:jc w:val="both"/>
        <w:rPr>
          <w:rFonts w:asciiTheme="minorHAnsi" w:hAnsiTheme="minorHAnsi" w:cstheme="minorHAnsi"/>
          <w:sz w:val="24"/>
          <w:szCs w:val="24"/>
        </w:rPr>
      </w:pPr>
      <w:r w:rsidRPr="00213DE1">
        <w:rPr>
          <w:rFonts w:asciiTheme="minorHAnsi" w:hAnsiTheme="minorHAnsi" w:cstheme="minorHAnsi"/>
          <w:sz w:val="24"/>
          <w:szCs w:val="24"/>
        </w:rPr>
        <w:t xml:space="preserve">There seems to be variation between health boards in their capacity to meet the dental care needs of vulnerable groups in society. </w:t>
      </w:r>
      <w:r w:rsidR="00F661E4">
        <w:rPr>
          <w:rFonts w:asciiTheme="minorHAnsi" w:hAnsiTheme="minorHAnsi" w:cstheme="minorHAnsi"/>
          <w:sz w:val="24"/>
          <w:szCs w:val="24"/>
        </w:rPr>
        <w:t>CDS</w:t>
      </w:r>
      <w:r w:rsidR="00FF3F32">
        <w:rPr>
          <w:rFonts w:asciiTheme="minorHAnsi" w:hAnsiTheme="minorHAnsi" w:cstheme="minorHAnsi"/>
          <w:sz w:val="24"/>
          <w:szCs w:val="24"/>
        </w:rPr>
        <w:t xml:space="preserve"> have reported difficulty in recruiting and retaining specialists in special care dentistry.</w:t>
      </w:r>
      <w:r w:rsidR="00323874">
        <w:rPr>
          <w:rFonts w:asciiTheme="minorHAnsi" w:hAnsiTheme="minorHAnsi" w:cstheme="minorHAnsi"/>
          <w:sz w:val="24"/>
          <w:szCs w:val="24"/>
        </w:rPr>
        <w:t xml:space="preserve"> It is important to ensure inequalities do not widen due to </w:t>
      </w:r>
      <w:r w:rsidR="00F661E4">
        <w:rPr>
          <w:rFonts w:asciiTheme="minorHAnsi" w:hAnsiTheme="minorHAnsi" w:cstheme="minorHAnsi"/>
          <w:sz w:val="24"/>
          <w:szCs w:val="24"/>
        </w:rPr>
        <w:t>lack of capacity within the CDS</w:t>
      </w:r>
      <w:r w:rsidR="00323874">
        <w:rPr>
          <w:rFonts w:asciiTheme="minorHAnsi" w:hAnsiTheme="minorHAnsi" w:cstheme="minorHAnsi"/>
          <w:sz w:val="24"/>
          <w:szCs w:val="24"/>
        </w:rPr>
        <w:t xml:space="preserve"> in Wales.  </w:t>
      </w:r>
      <w:r w:rsidR="00CF20C3">
        <w:rPr>
          <w:rFonts w:asciiTheme="minorHAnsi" w:hAnsiTheme="minorHAnsi" w:cstheme="minorHAnsi"/>
          <w:sz w:val="24"/>
          <w:szCs w:val="24"/>
        </w:rPr>
        <w:t>Inf</w:t>
      </w:r>
      <w:r w:rsidR="00995AE9">
        <w:rPr>
          <w:rFonts w:asciiTheme="minorHAnsi" w:hAnsiTheme="minorHAnsi" w:cstheme="minorHAnsi"/>
          <w:sz w:val="24"/>
          <w:szCs w:val="24"/>
        </w:rPr>
        <w:t>ormation systems will need to improve</w:t>
      </w:r>
      <w:r w:rsidR="00CF20C3">
        <w:rPr>
          <w:rFonts w:asciiTheme="minorHAnsi" w:hAnsiTheme="minorHAnsi" w:cstheme="minorHAnsi"/>
          <w:sz w:val="24"/>
          <w:szCs w:val="24"/>
        </w:rPr>
        <w:t xml:space="preserve"> to understand the service need, demand and current provision for different vulnerable groups and workforce need</w:t>
      </w:r>
      <w:r w:rsidR="00FF3F32">
        <w:rPr>
          <w:rFonts w:asciiTheme="minorHAnsi" w:hAnsiTheme="minorHAnsi" w:cstheme="minorHAnsi"/>
          <w:sz w:val="24"/>
          <w:szCs w:val="24"/>
        </w:rPr>
        <w:t xml:space="preserve">ed to provide prevention and dental care for </w:t>
      </w:r>
      <w:r w:rsidR="005C63C8">
        <w:rPr>
          <w:rFonts w:asciiTheme="minorHAnsi" w:hAnsiTheme="minorHAnsi" w:cstheme="minorHAnsi"/>
          <w:sz w:val="24"/>
          <w:szCs w:val="24"/>
        </w:rPr>
        <w:t xml:space="preserve">these </w:t>
      </w:r>
      <w:r w:rsidR="00FF3F32">
        <w:rPr>
          <w:rFonts w:asciiTheme="minorHAnsi" w:hAnsiTheme="minorHAnsi" w:cstheme="minorHAnsi"/>
          <w:sz w:val="24"/>
          <w:szCs w:val="24"/>
        </w:rPr>
        <w:t>vulnerable groups in society</w:t>
      </w:r>
      <w:r w:rsidR="00CF20C3">
        <w:rPr>
          <w:rFonts w:asciiTheme="minorHAnsi" w:hAnsiTheme="minorHAnsi" w:cstheme="minorHAnsi"/>
          <w:sz w:val="24"/>
          <w:szCs w:val="24"/>
        </w:rPr>
        <w:t xml:space="preserve">. </w:t>
      </w:r>
    </w:p>
    <w:p w14:paraId="272D3A39" w14:textId="5EE8D729" w:rsidR="00E62E80" w:rsidRDefault="00E62E80" w:rsidP="00F8725A">
      <w:pPr>
        <w:spacing w:line="276" w:lineRule="auto"/>
        <w:ind w:left="567"/>
        <w:jc w:val="both"/>
        <w:rPr>
          <w:rFonts w:asciiTheme="minorHAnsi" w:hAnsiTheme="minorHAnsi" w:cstheme="minorHAnsi"/>
          <w:sz w:val="24"/>
          <w:szCs w:val="24"/>
        </w:rPr>
      </w:pPr>
    </w:p>
    <w:p w14:paraId="58545A25" w14:textId="616D0A79" w:rsidR="00D85DBD" w:rsidRDefault="005870C0" w:rsidP="00F8725A">
      <w:pPr>
        <w:spacing w:after="120" w:line="276" w:lineRule="auto"/>
        <w:ind w:left="567"/>
        <w:jc w:val="both"/>
        <w:rPr>
          <w:rFonts w:asciiTheme="minorHAnsi" w:hAnsiTheme="minorHAnsi" w:cstheme="minorHAnsi"/>
          <w:b/>
          <w:sz w:val="24"/>
          <w:szCs w:val="24"/>
        </w:rPr>
      </w:pPr>
      <w:r>
        <w:rPr>
          <w:rFonts w:asciiTheme="minorHAnsi" w:hAnsiTheme="minorHAnsi" w:cstheme="minorHAnsi"/>
          <w:b/>
          <w:sz w:val="24"/>
          <w:szCs w:val="24"/>
        </w:rPr>
        <w:t>c</w:t>
      </w:r>
      <w:r w:rsidR="00D85DBD" w:rsidRPr="00D85DBD">
        <w:rPr>
          <w:rFonts w:asciiTheme="minorHAnsi" w:hAnsiTheme="minorHAnsi" w:cstheme="minorHAnsi"/>
          <w:b/>
          <w:sz w:val="24"/>
          <w:szCs w:val="24"/>
        </w:rPr>
        <w:t>) Integrated service planning for better oral health</w:t>
      </w:r>
    </w:p>
    <w:p w14:paraId="5B585E6D" w14:textId="3446F418" w:rsidR="00D85DBD" w:rsidRPr="00D85DBD" w:rsidRDefault="00D85DBD" w:rsidP="00F8725A">
      <w:pPr>
        <w:spacing w:after="120" w:line="276" w:lineRule="auto"/>
        <w:ind w:left="567"/>
        <w:jc w:val="both"/>
        <w:rPr>
          <w:rFonts w:asciiTheme="minorHAnsi" w:hAnsiTheme="minorHAnsi" w:cstheme="minorHAnsi"/>
          <w:sz w:val="24"/>
          <w:szCs w:val="24"/>
        </w:rPr>
      </w:pPr>
      <w:r w:rsidRPr="00D85DBD">
        <w:rPr>
          <w:rFonts w:asciiTheme="minorHAnsi" w:hAnsiTheme="minorHAnsi" w:cstheme="minorHAnsi"/>
          <w:sz w:val="24"/>
          <w:szCs w:val="24"/>
        </w:rPr>
        <w:t xml:space="preserve">Transformation of primary dental care will need ongoing national and local innovation, </w:t>
      </w:r>
      <w:proofErr w:type="gramStart"/>
      <w:r w:rsidRPr="00D85DBD">
        <w:rPr>
          <w:rFonts w:asciiTheme="minorHAnsi" w:hAnsiTheme="minorHAnsi" w:cstheme="minorHAnsi"/>
          <w:sz w:val="24"/>
          <w:szCs w:val="24"/>
        </w:rPr>
        <w:t>evaluation</w:t>
      </w:r>
      <w:proofErr w:type="gramEnd"/>
      <w:r w:rsidRPr="00D85DBD">
        <w:rPr>
          <w:rFonts w:asciiTheme="minorHAnsi" w:hAnsiTheme="minorHAnsi" w:cstheme="minorHAnsi"/>
          <w:sz w:val="24"/>
          <w:szCs w:val="24"/>
        </w:rPr>
        <w:t xml:space="preserve"> and improvement. Hence, the much talked about </w:t>
      </w:r>
      <w:r w:rsidR="00995AE9">
        <w:rPr>
          <w:rFonts w:asciiTheme="minorHAnsi" w:hAnsiTheme="minorHAnsi" w:cstheme="minorHAnsi"/>
          <w:sz w:val="24"/>
          <w:szCs w:val="24"/>
        </w:rPr>
        <w:t xml:space="preserve">new NHS dental contract for </w:t>
      </w:r>
      <w:r w:rsidRPr="00D85DBD">
        <w:rPr>
          <w:rFonts w:asciiTheme="minorHAnsi" w:hAnsiTheme="minorHAnsi" w:cstheme="minorHAnsi"/>
          <w:sz w:val="24"/>
          <w:szCs w:val="24"/>
        </w:rPr>
        <w:t>dental pract</w:t>
      </w:r>
      <w:r w:rsidR="00F661E4">
        <w:rPr>
          <w:rFonts w:asciiTheme="minorHAnsi" w:hAnsiTheme="minorHAnsi" w:cstheme="minorHAnsi"/>
          <w:sz w:val="24"/>
          <w:szCs w:val="24"/>
        </w:rPr>
        <w:t xml:space="preserve">ices should be the start of transforming </w:t>
      </w:r>
      <w:r w:rsidRPr="00D85DBD">
        <w:rPr>
          <w:rFonts w:asciiTheme="minorHAnsi" w:hAnsiTheme="minorHAnsi" w:cstheme="minorHAnsi"/>
          <w:sz w:val="24"/>
          <w:szCs w:val="24"/>
        </w:rPr>
        <w:t>primary dental care in Wales</w:t>
      </w:r>
      <w:r w:rsidR="00F661E4">
        <w:rPr>
          <w:rFonts w:asciiTheme="minorHAnsi" w:hAnsiTheme="minorHAnsi" w:cstheme="minorHAnsi"/>
          <w:sz w:val="24"/>
          <w:szCs w:val="24"/>
        </w:rPr>
        <w:t>,</w:t>
      </w:r>
      <w:r w:rsidRPr="00D85DBD">
        <w:rPr>
          <w:rFonts w:asciiTheme="minorHAnsi" w:hAnsiTheme="minorHAnsi" w:cstheme="minorHAnsi"/>
          <w:sz w:val="24"/>
          <w:szCs w:val="24"/>
        </w:rPr>
        <w:t xml:space="preserve"> not the end.  The new General Dental Services model can have positive or negative impact on</w:t>
      </w:r>
      <w:r w:rsidR="00F661E4">
        <w:rPr>
          <w:rFonts w:asciiTheme="minorHAnsi" w:hAnsiTheme="minorHAnsi" w:cstheme="minorHAnsi"/>
          <w:sz w:val="24"/>
          <w:szCs w:val="24"/>
        </w:rPr>
        <w:t xml:space="preserve"> the </w:t>
      </w:r>
      <w:proofErr w:type="gramStart"/>
      <w:r w:rsidR="00F661E4">
        <w:rPr>
          <w:rFonts w:asciiTheme="minorHAnsi" w:hAnsiTheme="minorHAnsi" w:cstheme="minorHAnsi"/>
          <w:sz w:val="24"/>
          <w:szCs w:val="24"/>
        </w:rPr>
        <w:t>CDS</w:t>
      </w:r>
      <w:proofErr w:type="gramEnd"/>
      <w:r w:rsidRPr="00D85DBD">
        <w:rPr>
          <w:rFonts w:asciiTheme="minorHAnsi" w:hAnsiTheme="minorHAnsi" w:cstheme="minorHAnsi"/>
          <w:sz w:val="24"/>
          <w:szCs w:val="24"/>
        </w:rPr>
        <w:t xml:space="preserve"> and specialist dental services delivered</w:t>
      </w:r>
      <w:r w:rsidR="00995AE9">
        <w:rPr>
          <w:rFonts w:asciiTheme="minorHAnsi" w:hAnsiTheme="minorHAnsi" w:cstheme="minorHAnsi"/>
          <w:sz w:val="24"/>
          <w:szCs w:val="24"/>
        </w:rPr>
        <w:t xml:space="preserve"> within primary care or</w:t>
      </w:r>
      <w:r w:rsidRPr="00D85DBD">
        <w:rPr>
          <w:rFonts w:asciiTheme="minorHAnsi" w:hAnsiTheme="minorHAnsi" w:cstheme="minorHAnsi"/>
          <w:sz w:val="24"/>
          <w:szCs w:val="24"/>
        </w:rPr>
        <w:t xml:space="preserve"> secondary care settings. Integrated dental services planning will be important and information system</w:t>
      </w:r>
      <w:r w:rsidR="00F661E4">
        <w:rPr>
          <w:rFonts w:asciiTheme="minorHAnsi" w:hAnsiTheme="minorHAnsi" w:cstheme="minorHAnsi"/>
          <w:sz w:val="24"/>
          <w:szCs w:val="24"/>
        </w:rPr>
        <w:t>s</w:t>
      </w:r>
      <w:r w:rsidRPr="00D85DBD">
        <w:rPr>
          <w:rFonts w:asciiTheme="minorHAnsi" w:hAnsiTheme="minorHAnsi" w:cstheme="minorHAnsi"/>
          <w:sz w:val="24"/>
          <w:szCs w:val="24"/>
        </w:rPr>
        <w:t xml:space="preserve"> with analytical support for primary care teams need to be in place so that impact of the GDS service model on the CDS and specialist services can be monitored. </w:t>
      </w:r>
    </w:p>
    <w:p w14:paraId="037930F8" w14:textId="70483A11" w:rsidR="00D85DBD" w:rsidRPr="00D85DBD" w:rsidRDefault="00D85DBD" w:rsidP="00F661E4">
      <w:pPr>
        <w:spacing w:line="276" w:lineRule="auto"/>
        <w:jc w:val="both"/>
        <w:rPr>
          <w:rFonts w:asciiTheme="minorHAnsi" w:hAnsiTheme="minorHAnsi" w:cstheme="minorHAnsi"/>
          <w:b/>
          <w:sz w:val="24"/>
          <w:szCs w:val="24"/>
        </w:rPr>
      </w:pPr>
    </w:p>
    <w:p w14:paraId="4C5DA45A" w14:textId="735E70C1" w:rsidR="007429FD" w:rsidRPr="007429FD" w:rsidRDefault="007429FD" w:rsidP="00F8725A">
      <w:pPr>
        <w:spacing w:line="276" w:lineRule="auto"/>
        <w:ind w:left="567"/>
        <w:jc w:val="both"/>
        <w:rPr>
          <w:rFonts w:asciiTheme="minorHAnsi" w:hAnsiTheme="minorHAnsi" w:cstheme="minorHAnsi"/>
          <w:sz w:val="24"/>
          <w:szCs w:val="24"/>
        </w:rPr>
      </w:pPr>
      <w:r w:rsidRPr="007429FD">
        <w:rPr>
          <w:rFonts w:asciiTheme="minorHAnsi" w:hAnsiTheme="minorHAnsi" w:cstheme="minorHAnsi"/>
          <w:sz w:val="24"/>
          <w:szCs w:val="24"/>
        </w:rPr>
        <w:t xml:space="preserve">Although concepts for integrating basic oral health care in </w:t>
      </w:r>
      <w:r w:rsidR="00F661E4">
        <w:rPr>
          <w:rFonts w:asciiTheme="minorHAnsi" w:hAnsiTheme="minorHAnsi" w:cstheme="minorHAnsi"/>
          <w:sz w:val="24"/>
          <w:szCs w:val="24"/>
        </w:rPr>
        <w:t xml:space="preserve">wider </w:t>
      </w:r>
      <w:r w:rsidRPr="007429FD">
        <w:rPr>
          <w:rFonts w:asciiTheme="minorHAnsi" w:hAnsiTheme="minorHAnsi" w:cstheme="minorHAnsi"/>
          <w:sz w:val="24"/>
          <w:szCs w:val="24"/>
        </w:rPr>
        <w:t xml:space="preserve">primary health care exist, they have not gained widespread traction, which further contributes to the challenge of providing access to even preventive basic oral health care </w:t>
      </w:r>
      <w:r w:rsidR="00567991">
        <w:rPr>
          <w:rFonts w:asciiTheme="minorHAnsi" w:hAnsiTheme="minorHAnsi" w:cstheme="minorHAnsi"/>
          <w:sz w:val="24"/>
          <w:szCs w:val="24"/>
        </w:rPr>
        <w:t xml:space="preserve">to a significant proportion </w:t>
      </w:r>
      <w:r w:rsidR="00D85DBD">
        <w:rPr>
          <w:rFonts w:asciiTheme="minorHAnsi" w:hAnsiTheme="minorHAnsi" w:cstheme="minorHAnsi"/>
          <w:sz w:val="24"/>
          <w:szCs w:val="24"/>
        </w:rPr>
        <w:t>of</w:t>
      </w:r>
      <w:r w:rsidR="00F661E4">
        <w:rPr>
          <w:rFonts w:asciiTheme="minorHAnsi" w:hAnsiTheme="minorHAnsi" w:cstheme="minorHAnsi"/>
          <w:sz w:val="24"/>
          <w:szCs w:val="24"/>
        </w:rPr>
        <w:t xml:space="preserve"> the</w:t>
      </w:r>
      <w:r w:rsidR="00D85DBD">
        <w:rPr>
          <w:rFonts w:asciiTheme="minorHAnsi" w:hAnsiTheme="minorHAnsi" w:cstheme="minorHAnsi"/>
          <w:sz w:val="24"/>
          <w:szCs w:val="24"/>
        </w:rPr>
        <w:t xml:space="preserve"> population who do not or can</w:t>
      </w:r>
      <w:r w:rsidR="00567991">
        <w:rPr>
          <w:rFonts w:asciiTheme="minorHAnsi" w:hAnsiTheme="minorHAnsi" w:cstheme="minorHAnsi"/>
          <w:sz w:val="24"/>
          <w:szCs w:val="24"/>
        </w:rPr>
        <w:t>not access dental practices</w:t>
      </w:r>
      <w:r w:rsidRPr="007429FD">
        <w:rPr>
          <w:rFonts w:asciiTheme="minorHAnsi" w:hAnsiTheme="minorHAnsi" w:cstheme="minorHAnsi"/>
          <w:sz w:val="24"/>
          <w:szCs w:val="24"/>
        </w:rPr>
        <w:t xml:space="preserve">. </w:t>
      </w:r>
      <w:r w:rsidR="003D437C">
        <w:rPr>
          <w:rFonts w:asciiTheme="minorHAnsi" w:hAnsiTheme="minorHAnsi" w:cstheme="minorHAnsi"/>
          <w:sz w:val="24"/>
          <w:szCs w:val="24"/>
        </w:rPr>
        <w:t xml:space="preserve">We have </w:t>
      </w:r>
      <w:r w:rsidR="002C1B68">
        <w:rPr>
          <w:rFonts w:asciiTheme="minorHAnsi" w:hAnsiTheme="minorHAnsi" w:cstheme="minorHAnsi"/>
          <w:sz w:val="24"/>
          <w:szCs w:val="24"/>
        </w:rPr>
        <w:t xml:space="preserve">an </w:t>
      </w:r>
      <w:r w:rsidR="003D437C">
        <w:rPr>
          <w:rFonts w:asciiTheme="minorHAnsi" w:hAnsiTheme="minorHAnsi" w:cstheme="minorHAnsi"/>
          <w:sz w:val="24"/>
          <w:szCs w:val="24"/>
        </w:rPr>
        <w:t xml:space="preserve">opportunity to change this </w:t>
      </w:r>
      <w:r w:rsidR="00567991">
        <w:rPr>
          <w:rFonts w:asciiTheme="minorHAnsi" w:hAnsiTheme="minorHAnsi" w:cstheme="minorHAnsi"/>
          <w:sz w:val="24"/>
          <w:szCs w:val="24"/>
        </w:rPr>
        <w:t xml:space="preserve">in Wales.  </w:t>
      </w:r>
      <w:r w:rsidR="004F562A">
        <w:rPr>
          <w:rFonts w:asciiTheme="minorHAnsi" w:hAnsiTheme="minorHAnsi" w:cstheme="minorHAnsi"/>
          <w:sz w:val="24"/>
          <w:szCs w:val="24"/>
        </w:rPr>
        <w:t xml:space="preserve">Prevention of oral diseases needs to be part of </w:t>
      </w:r>
      <w:r w:rsidR="00F661E4">
        <w:rPr>
          <w:rFonts w:asciiTheme="minorHAnsi" w:hAnsiTheme="minorHAnsi" w:cstheme="minorHAnsi"/>
          <w:sz w:val="24"/>
          <w:szCs w:val="24"/>
        </w:rPr>
        <w:t xml:space="preserve">the </w:t>
      </w:r>
      <w:r w:rsidR="00995AE9">
        <w:rPr>
          <w:rFonts w:asciiTheme="minorHAnsi" w:hAnsiTheme="minorHAnsi" w:cstheme="minorHAnsi"/>
          <w:sz w:val="24"/>
          <w:szCs w:val="24"/>
        </w:rPr>
        <w:t>objectives of</w:t>
      </w:r>
      <w:r w:rsidR="003D437C">
        <w:rPr>
          <w:rFonts w:asciiTheme="minorHAnsi" w:hAnsiTheme="minorHAnsi" w:cstheme="minorHAnsi"/>
          <w:sz w:val="24"/>
          <w:szCs w:val="24"/>
        </w:rPr>
        <w:t xml:space="preserve"> wider population level prevention</w:t>
      </w:r>
      <w:r w:rsidR="004F562A">
        <w:rPr>
          <w:rFonts w:asciiTheme="minorHAnsi" w:hAnsiTheme="minorHAnsi" w:cstheme="minorHAnsi"/>
          <w:sz w:val="24"/>
          <w:szCs w:val="24"/>
        </w:rPr>
        <w:t xml:space="preserve"> strategies and </w:t>
      </w:r>
      <w:r w:rsidR="00567991">
        <w:rPr>
          <w:rFonts w:asciiTheme="minorHAnsi" w:hAnsiTheme="minorHAnsi" w:cstheme="minorHAnsi"/>
          <w:sz w:val="24"/>
          <w:szCs w:val="24"/>
        </w:rPr>
        <w:t>programmes</w:t>
      </w:r>
      <w:r w:rsidR="004F562A">
        <w:rPr>
          <w:rFonts w:asciiTheme="minorHAnsi" w:hAnsiTheme="minorHAnsi" w:cstheme="minorHAnsi"/>
          <w:sz w:val="24"/>
          <w:szCs w:val="24"/>
        </w:rPr>
        <w:t xml:space="preserve"> at national and local level. Barriers and enablers for dental services to be part of </w:t>
      </w:r>
      <w:r w:rsidR="003D437C">
        <w:rPr>
          <w:rFonts w:asciiTheme="minorHAnsi" w:hAnsiTheme="minorHAnsi" w:cstheme="minorHAnsi"/>
          <w:sz w:val="24"/>
          <w:szCs w:val="24"/>
        </w:rPr>
        <w:t xml:space="preserve">co-ordinated </w:t>
      </w:r>
      <w:r w:rsidR="004F562A">
        <w:rPr>
          <w:rFonts w:asciiTheme="minorHAnsi" w:hAnsiTheme="minorHAnsi" w:cstheme="minorHAnsi"/>
          <w:sz w:val="24"/>
          <w:szCs w:val="24"/>
        </w:rPr>
        <w:t xml:space="preserve">primary and social care service </w:t>
      </w:r>
      <w:r w:rsidR="003D437C">
        <w:rPr>
          <w:rFonts w:asciiTheme="minorHAnsi" w:hAnsiTheme="minorHAnsi" w:cstheme="minorHAnsi"/>
          <w:sz w:val="24"/>
          <w:szCs w:val="24"/>
        </w:rPr>
        <w:t>planning at c</w:t>
      </w:r>
      <w:r w:rsidR="00567991">
        <w:rPr>
          <w:rFonts w:asciiTheme="minorHAnsi" w:hAnsiTheme="minorHAnsi" w:cstheme="minorHAnsi"/>
          <w:sz w:val="24"/>
          <w:szCs w:val="24"/>
        </w:rPr>
        <w:t>l</w:t>
      </w:r>
      <w:r w:rsidR="004F562A">
        <w:rPr>
          <w:rFonts w:asciiTheme="minorHAnsi" w:hAnsiTheme="minorHAnsi" w:cstheme="minorHAnsi"/>
          <w:sz w:val="24"/>
          <w:szCs w:val="24"/>
        </w:rPr>
        <w:t xml:space="preserve">uster, </w:t>
      </w:r>
      <w:r w:rsidR="00567991">
        <w:rPr>
          <w:rFonts w:asciiTheme="minorHAnsi" w:hAnsiTheme="minorHAnsi" w:cstheme="minorHAnsi"/>
          <w:sz w:val="24"/>
          <w:szCs w:val="24"/>
        </w:rPr>
        <w:t>pan cluster</w:t>
      </w:r>
      <w:r w:rsidR="004F562A">
        <w:rPr>
          <w:rFonts w:asciiTheme="minorHAnsi" w:hAnsiTheme="minorHAnsi" w:cstheme="minorHAnsi"/>
          <w:sz w:val="24"/>
          <w:szCs w:val="24"/>
        </w:rPr>
        <w:t xml:space="preserve"> or wider</w:t>
      </w:r>
      <w:r w:rsidR="00567991">
        <w:rPr>
          <w:rFonts w:asciiTheme="minorHAnsi" w:hAnsiTheme="minorHAnsi" w:cstheme="minorHAnsi"/>
          <w:sz w:val="24"/>
          <w:szCs w:val="24"/>
        </w:rPr>
        <w:t xml:space="preserve"> footprint </w:t>
      </w:r>
      <w:r w:rsidR="004F562A">
        <w:rPr>
          <w:rFonts w:asciiTheme="minorHAnsi" w:hAnsiTheme="minorHAnsi" w:cstheme="minorHAnsi"/>
          <w:sz w:val="24"/>
          <w:szCs w:val="24"/>
        </w:rPr>
        <w:t>needs to be explored</w:t>
      </w:r>
      <w:r w:rsidR="008417F0">
        <w:rPr>
          <w:rFonts w:asciiTheme="minorHAnsi" w:hAnsiTheme="minorHAnsi" w:cstheme="minorHAnsi"/>
          <w:sz w:val="24"/>
          <w:szCs w:val="24"/>
        </w:rPr>
        <w:t xml:space="preserve"> and barriers removed</w:t>
      </w:r>
      <w:r w:rsidR="004F562A">
        <w:rPr>
          <w:rFonts w:asciiTheme="minorHAnsi" w:hAnsiTheme="minorHAnsi" w:cstheme="minorHAnsi"/>
          <w:sz w:val="24"/>
          <w:szCs w:val="24"/>
        </w:rPr>
        <w:t>. P</w:t>
      </w:r>
      <w:r w:rsidR="00567991">
        <w:rPr>
          <w:rFonts w:asciiTheme="minorHAnsi" w:hAnsiTheme="minorHAnsi" w:cstheme="minorHAnsi"/>
          <w:sz w:val="24"/>
          <w:szCs w:val="24"/>
        </w:rPr>
        <w:t xml:space="preserve">roactive prevention for better oral health </w:t>
      </w:r>
      <w:r w:rsidR="004F562A">
        <w:rPr>
          <w:rFonts w:asciiTheme="minorHAnsi" w:hAnsiTheme="minorHAnsi" w:cstheme="minorHAnsi"/>
          <w:sz w:val="24"/>
          <w:szCs w:val="24"/>
        </w:rPr>
        <w:t>should not be</w:t>
      </w:r>
      <w:r w:rsidR="00567991">
        <w:rPr>
          <w:rFonts w:asciiTheme="minorHAnsi" w:hAnsiTheme="minorHAnsi" w:cstheme="minorHAnsi"/>
          <w:sz w:val="24"/>
          <w:szCs w:val="24"/>
        </w:rPr>
        <w:t xml:space="preserve"> seen as </w:t>
      </w:r>
      <w:r w:rsidR="004F562A">
        <w:rPr>
          <w:rFonts w:asciiTheme="minorHAnsi" w:hAnsiTheme="minorHAnsi" w:cstheme="minorHAnsi"/>
          <w:sz w:val="24"/>
          <w:szCs w:val="24"/>
        </w:rPr>
        <w:t xml:space="preserve">just </w:t>
      </w:r>
      <w:r w:rsidR="00567991">
        <w:rPr>
          <w:rFonts w:asciiTheme="minorHAnsi" w:hAnsiTheme="minorHAnsi" w:cstheme="minorHAnsi"/>
          <w:sz w:val="24"/>
          <w:szCs w:val="24"/>
        </w:rPr>
        <w:t>d</w:t>
      </w:r>
      <w:r w:rsidR="009D3F09">
        <w:rPr>
          <w:rFonts w:asciiTheme="minorHAnsi" w:hAnsiTheme="minorHAnsi" w:cstheme="minorHAnsi"/>
          <w:sz w:val="24"/>
          <w:szCs w:val="24"/>
        </w:rPr>
        <w:t>ental services’ responsibility and in fact as argued previously, a significant proportion of prevention for better oral health should happen outside dental clinical settings.</w:t>
      </w:r>
    </w:p>
    <w:p w14:paraId="7EF572D4" w14:textId="77777777" w:rsidR="00043AE3" w:rsidRDefault="00043AE3" w:rsidP="00F8725A">
      <w:pPr>
        <w:spacing w:line="276" w:lineRule="auto"/>
        <w:ind w:left="567"/>
        <w:jc w:val="both"/>
        <w:rPr>
          <w:rFonts w:asciiTheme="minorHAnsi" w:hAnsiTheme="minorHAnsi" w:cstheme="minorHAnsi"/>
          <w:sz w:val="24"/>
          <w:szCs w:val="24"/>
        </w:rPr>
      </w:pPr>
    </w:p>
    <w:p w14:paraId="28901E42" w14:textId="773E88F3" w:rsidR="00D85DBD" w:rsidRPr="00D85DBD" w:rsidRDefault="005870C0" w:rsidP="00F8725A">
      <w:pPr>
        <w:spacing w:after="120" w:line="276" w:lineRule="auto"/>
        <w:ind w:left="567"/>
        <w:jc w:val="both"/>
        <w:rPr>
          <w:rFonts w:asciiTheme="minorHAnsi" w:hAnsiTheme="minorHAnsi" w:cstheme="minorHAnsi"/>
          <w:b/>
          <w:sz w:val="24"/>
          <w:szCs w:val="24"/>
        </w:rPr>
      </w:pPr>
      <w:r>
        <w:rPr>
          <w:rFonts w:asciiTheme="minorHAnsi" w:hAnsiTheme="minorHAnsi" w:cstheme="minorHAnsi"/>
          <w:b/>
          <w:sz w:val="24"/>
          <w:szCs w:val="24"/>
        </w:rPr>
        <w:t>d</w:t>
      </w:r>
      <w:r w:rsidR="00D85DBD" w:rsidRPr="00D85DBD">
        <w:rPr>
          <w:rFonts w:asciiTheme="minorHAnsi" w:hAnsiTheme="minorHAnsi" w:cstheme="minorHAnsi"/>
          <w:b/>
          <w:sz w:val="24"/>
          <w:szCs w:val="24"/>
        </w:rPr>
        <w:t>) Evidence based dental care</w:t>
      </w:r>
    </w:p>
    <w:p w14:paraId="52A55842" w14:textId="15D52013" w:rsidR="00D85DBD" w:rsidRDefault="00861424" w:rsidP="00F8725A">
      <w:pPr>
        <w:spacing w:after="120" w:line="276" w:lineRule="auto"/>
        <w:ind w:left="567"/>
        <w:jc w:val="both"/>
        <w:rPr>
          <w:rFonts w:asciiTheme="minorHAnsi" w:hAnsiTheme="minorHAnsi" w:cstheme="minorHAnsi"/>
          <w:sz w:val="24"/>
          <w:szCs w:val="24"/>
        </w:rPr>
      </w:pPr>
      <w:r>
        <w:rPr>
          <w:rFonts w:asciiTheme="minorHAnsi" w:hAnsiTheme="minorHAnsi" w:cstheme="minorHAnsi"/>
          <w:sz w:val="24"/>
          <w:szCs w:val="24"/>
        </w:rPr>
        <w:t>Dental services transformation should also include improvement in delivery of evidence based dent</w:t>
      </w:r>
      <w:r w:rsidR="00D85DBD">
        <w:rPr>
          <w:rFonts w:asciiTheme="minorHAnsi" w:hAnsiTheme="minorHAnsi" w:cstheme="minorHAnsi"/>
          <w:sz w:val="24"/>
          <w:szCs w:val="24"/>
        </w:rPr>
        <w:t>al</w:t>
      </w:r>
      <w:r w:rsidR="009235EA">
        <w:rPr>
          <w:rFonts w:asciiTheme="minorHAnsi" w:hAnsiTheme="minorHAnsi" w:cstheme="minorHAnsi"/>
          <w:sz w:val="24"/>
          <w:szCs w:val="24"/>
        </w:rPr>
        <w:t xml:space="preserve"> care within dental services. In terms of prevention, this means </w:t>
      </w:r>
      <w:r w:rsidR="009235EA">
        <w:rPr>
          <w:rFonts w:asciiTheme="minorHAnsi" w:hAnsiTheme="minorHAnsi" w:cstheme="minorHAnsi"/>
          <w:sz w:val="24"/>
          <w:szCs w:val="24"/>
        </w:rPr>
        <w:lastRenderedPageBreak/>
        <w:t xml:space="preserve">implementation of </w:t>
      </w:r>
      <w:r w:rsidR="009235EA" w:rsidRPr="009235EA">
        <w:rPr>
          <w:rFonts w:asciiTheme="minorHAnsi" w:hAnsiTheme="minorHAnsi" w:cstheme="minorHAnsi"/>
          <w:i/>
          <w:sz w:val="24"/>
          <w:szCs w:val="24"/>
        </w:rPr>
        <w:t xml:space="preserve">Delivering Better Oral Health: an </w:t>
      </w:r>
      <w:proofErr w:type="gramStart"/>
      <w:r w:rsidR="009235EA" w:rsidRPr="009235EA">
        <w:rPr>
          <w:rFonts w:asciiTheme="minorHAnsi" w:hAnsiTheme="minorHAnsi" w:cstheme="minorHAnsi"/>
          <w:i/>
          <w:sz w:val="24"/>
          <w:szCs w:val="24"/>
        </w:rPr>
        <w:t>evidence based</w:t>
      </w:r>
      <w:proofErr w:type="gramEnd"/>
      <w:r w:rsidR="009235EA" w:rsidRPr="009235EA">
        <w:rPr>
          <w:rFonts w:asciiTheme="minorHAnsi" w:hAnsiTheme="minorHAnsi" w:cstheme="minorHAnsi"/>
          <w:i/>
          <w:sz w:val="24"/>
          <w:szCs w:val="24"/>
        </w:rPr>
        <w:t xml:space="preserve"> toolkit</w:t>
      </w:r>
      <w:r w:rsidR="009235EA">
        <w:rPr>
          <w:rFonts w:asciiTheme="minorHAnsi" w:hAnsiTheme="minorHAnsi" w:cstheme="minorHAnsi"/>
          <w:sz w:val="24"/>
          <w:szCs w:val="24"/>
        </w:rPr>
        <w:t xml:space="preserve"> which has recently been updated. Health Education and Improvement Wales (HEIW) delivers </w:t>
      </w:r>
      <w:proofErr w:type="gramStart"/>
      <w:r w:rsidR="009235EA">
        <w:rPr>
          <w:rFonts w:asciiTheme="minorHAnsi" w:hAnsiTheme="minorHAnsi" w:cstheme="minorHAnsi"/>
          <w:sz w:val="24"/>
          <w:szCs w:val="24"/>
        </w:rPr>
        <w:t>a number of</w:t>
      </w:r>
      <w:proofErr w:type="gramEnd"/>
      <w:r w:rsidR="009235EA">
        <w:rPr>
          <w:rFonts w:asciiTheme="minorHAnsi" w:hAnsiTheme="minorHAnsi" w:cstheme="minorHAnsi"/>
          <w:sz w:val="24"/>
          <w:szCs w:val="24"/>
        </w:rPr>
        <w:t xml:space="preserve"> continuing professional development (CPD) courses and Quality Improvement support </w:t>
      </w:r>
      <w:r w:rsidR="00F661E4">
        <w:rPr>
          <w:rFonts w:asciiTheme="minorHAnsi" w:hAnsiTheme="minorHAnsi" w:cstheme="minorHAnsi"/>
          <w:sz w:val="24"/>
          <w:szCs w:val="24"/>
        </w:rPr>
        <w:t xml:space="preserve">mechanisms </w:t>
      </w:r>
      <w:r w:rsidR="009235EA">
        <w:rPr>
          <w:rFonts w:asciiTheme="minorHAnsi" w:hAnsiTheme="minorHAnsi" w:cstheme="minorHAnsi"/>
          <w:sz w:val="24"/>
          <w:szCs w:val="24"/>
        </w:rPr>
        <w:t xml:space="preserve">to dental teams to support them in implementation of evidence based dental care. There are early signs that fluoride varnish application, an </w:t>
      </w:r>
      <w:proofErr w:type="gramStart"/>
      <w:r w:rsidR="009235EA">
        <w:rPr>
          <w:rFonts w:asciiTheme="minorHAnsi" w:hAnsiTheme="minorHAnsi" w:cstheme="minorHAnsi"/>
          <w:sz w:val="24"/>
          <w:szCs w:val="24"/>
        </w:rPr>
        <w:t>evidence based</w:t>
      </w:r>
      <w:proofErr w:type="gramEnd"/>
      <w:r w:rsidR="009235EA">
        <w:rPr>
          <w:rFonts w:asciiTheme="minorHAnsi" w:hAnsiTheme="minorHAnsi" w:cstheme="minorHAnsi"/>
          <w:sz w:val="24"/>
          <w:szCs w:val="24"/>
        </w:rPr>
        <w:t xml:space="preserve"> intervention to protect teeth from tooth decay, </w:t>
      </w:r>
      <w:r w:rsidR="004A13A6">
        <w:rPr>
          <w:rFonts w:asciiTheme="minorHAnsi" w:hAnsiTheme="minorHAnsi" w:cstheme="minorHAnsi"/>
          <w:sz w:val="24"/>
          <w:szCs w:val="24"/>
        </w:rPr>
        <w:t xml:space="preserve">is </w:t>
      </w:r>
      <w:r w:rsidR="00771075">
        <w:rPr>
          <w:rFonts w:asciiTheme="minorHAnsi" w:hAnsiTheme="minorHAnsi" w:cstheme="minorHAnsi"/>
          <w:sz w:val="24"/>
          <w:szCs w:val="24"/>
        </w:rPr>
        <w:t xml:space="preserve">now </w:t>
      </w:r>
      <w:r w:rsidR="009235EA">
        <w:rPr>
          <w:rFonts w:asciiTheme="minorHAnsi" w:hAnsiTheme="minorHAnsi" w:cstheme="minorHAnsi"/>
          <w:sz w:val="24"/>
          <w:szCs w:val="24"/>
        </w:rPr>
        <w:t xml:space="preserve">delivered for most patients attending the GDS </w:t>
      </w:r>
      <w:r w:rsidR="004A13A6">
        <w:rPr>
          <w:rFonts w:asciiTheme="minorHAnsi" w:hAnsiTheme="minorHAnsi" w:cstheme="minorHAnsi"/>
          <w:sz w:val="24"/>
          <w:szCs w:val="24"/>
        </w:rPr>
        <w:t xml:space="preserve">across all Health Boards </w:t>
      </w:r>
      <w:r w:rsidR="009235EA">
        <w:rPr>
          <w:rFonts w:asciiTheme="minorHAnsi" w:hAnsiTheme="minorHAnsi" w:cstheme="minorHAnsi"/>
          <w:sz w:val="24"/>
          <w:szCs w:val="24"/>
        </w:rPr>
        <w:t>in Wales.</w:t>
      </w:r>
    </w:p>
    <w:p w14:paraId="710A5BCD" w14:textId="77777777" w:rsidR="00D85DBD" w:rsidRDefault="00D85DBD" w:rsidP="00F8725A">
      <w:pPr>
        <w:spacing w:line="276" w:lineRule="auto"/>
        <w:ind w:left="567"/>
        <w:jc w:val="both"/>
        <w:rPr>
          <w:rFonts w:asciiTheme="minorHAnsi" w:hAnsiTheme="minorHAnsi" w:cstheme="minorHAnsi"/>
          <w:sz w:val="24"/>
          <w:szCs w:val="24"/>
        </w:rPr>
      </w:pPr>
    </w:p>
    <w:p w14:paraId="3F3CFF69" w14:textId="73A210DD" w:rsidR="00861424" w:rsidRDefault="008417F0" w:rsidP="00F8725A">
      <w:pPr>
        <w:spacing w:line="276" w:lineRule="auto"/>
        <w:ind w:left="567"/>
        <w:jc w:val="both"/>
        <w:rPr>
          <w:rFonts w:asciiTheme="minorHAnsi" w:hAnsiTheme="minorHAnsi" w:cstheme="minorHAnsi"/>
          <w:sz w:val="24"/>
          <w:szCs w:val="24"/>
        </w:rPr>
      </w:pPr>
      <w:r w:rsidRPr="008417F0">
        <w:rPr>
          <w:rFonts w:asciiTheme="minorHAnsi" w:hAnsiTheme="minorHAnsi" w:cstheme="minorHAnsi"/>
          <w:sz w:val="24"/>
          <w:szCs w:val="24"/>
        </w:rPr>
        <w:t>This is also a time to stop delivering unnecessary and ineffective treatments</w:t>
      </w:r>
      <w:r>
        <w:rPr>
          <w:rFonts w:asciiTheme="minorHAnsi" w:hAnsiTheme="minorHAnsi" w:cstheme="minorHAnsi"/>
          <w:sz w:val="24"/>
          <w:szCs w:val="24"/>
        </w:rPr>
        <w:t>/practice</w:t>
      </w:r>
      <w:r w:rsidRPr="008417F0">
        <w:rPr>
          <w:rFonts w:asciiTheme="minorHAnsi" w:hAnsiTheme="minorHAnsi" w:cstheme="minorHAnsi"/>
          <w:sz w:val="24"/>
          <w:szCs w:val="24"/>
        </w:rPr>
        <w:t xml:space="preserve">. </w:t>
      </w:r>
      <w:r w:rsidR="00F661E4">
        <w:rPr>
          <w:rFonts w:asciiTheme="minorHAnsi" w:hAnsiTheme="minorHAnsi" w:cstheme="minorHAnsi"/>
          <w:sz w:val="24"/>
          <w:szCs w:val="24"/>
        </w:rPr>
        <w:t>The f</w:t>
      </w:r>
      <w:r w:rsidR="00861424">
        <w:rPr>
          <w:rFonts w:asciiTheme="minorHAnsi" w:hAnsiTheme="minorHAnsi" w:cstheme="minorHAnsi"/>
          <w:sz w:val="24"/>
          <w:szCs w:val="24"/>
        </w:rPr>
        <w:t xml:space="preserve">ollowing are </w:t>
      </w:r>
      <w:r w:rsidR="00756870">
        <w:rPr>
          <w:rFonts w:asciiTheme="minorHAnsi" w:hAnsiTheme="minorHAnsi" w:cstheme="minorHAnsi"/>
          <w:sz w:val="24"/>
          <w:szCs w:val="24"/>
        </w:rPr>
        <w:t>three</w:t>
      </w:r>
      <w:r w:rsidR="00861424">
        <w:rPr>
          <w:rFonts w:asciiTheme="minorHAnsi" w:hAnsiTheme="minorHAnsi" w:cstheme="minorHAnsi"/>
          <w:sz w:val="24"/>
          <w:szCs w:val="24"/>
        </w:rPr>
        <w:t xml:space="preserve"> examples:</w:t>
      </w:r>
    </w:p>
    <w:p w14:paraId="4C4C1FEE" w14:textId="77777777" w:rsidR="004A13A6" w:rsidRDefault="004A13A6" w:rsidP="00F8725A">
      <w:pPr>
        <w:spacing w:line="276" w:lineRule="auto"/>
        <w:ind w:left="567"/>
        <w:jc w:val="both"/>
        <w:rPr>
          <w:rFonts w:asciiTheme="minorHAnsi" w:hAnsiTheme="minorHAnsi" w:cstheme="minorHAnsi"/>
          <w:sz w:val="24"/>
          <w:szCs w:val="24"/>
        </w:rPr>
      </w:pPr>
    </w:p>
    <w:p w14:paraId="7BE22BBE" w14:textId="4D6CC586" w:rsidR="00756870" w:rsidRPr="00756870" w:rsidRDefault="0016307C"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 xml:space="preserve">1. </w:t>
      </w:r>
      <w:r w:rsidR="00861424">
        <w:rPr>
          <w:rFonts w:asciiTheme="minorHAnsi" w:hAnsiTheme="minorHAnsi" w:cstheme="minorHAnsi"/>
          <w:sz w:val="24"/>
          <w:szCs w:val="24"/>
        </w:rPr>
        <w:t xml:space="preserve">Practice of standardised </w:t>
      </w:r>
      <w:proofErr w:type="gramStart"/>
      <w:r w:rsidR="00861424">
        <w:rPr>
          <w:rFonts w:asciiTheme="minorHAnsi" w:hAnsiTheme="minorHAnsi" w:cstheme="minorHAnsi"/>
          <w:sz w:val="24"/>
          <w:szCs w:val="24"/>
        </w:rPr>
        <w:t>s</w:t>
      </w:r>
      <w:r w:rsidR="007429FD" w:rsidRPr="007429FD">
        <w:rPr>
          <w:rFonts w:asciiTheme="minorHAnsi" w:hAnsiTheme="minorHAnsi" w:cstheme="minorHAnsi"/>
          <w:sz w:val="24"/>
          <w:szCs w:val="24"/>
        </w:rPr>
        <w:t>ix monthly</w:t>
      </w:r>
      <w:proofErr w:type="gramEnd"/>
      <w:r w:rsidR="007429FD" w:rsidRPr="007429FD">
        <w:rPr>
          <w:rFonts w:asciiTheme="minorHAnsi" w:hAnsiTheme="minorHAnsi" w:cstheme="minorHAnsi"/>
          <w:sz w:val="24"/>
          <w:szCs w:val="24"/>
        </w:rPr>
        <w:t xml:space="preserve"> check-up </w:t>
      </w:r>
      <w:r w:rsidR="00861424">
        <w:rPr>
          <w:rFonts w:asciiTheme="minorHAnsi" w:hAnsiTheme="minorHAnsi" w:cstheme="minorHAnsi"/>
          <w:sz w:val="24"/>
          <w:szCs w:val="24"/>
        </w:rPr>
        <w:t xml:space="preserve">for </w:t>
      </w:r>
      <w:r w:rsidR="007429FD" w:rsidRPr="007429FD">
        <w:rPr>
          <w:rFonts w:asciiTheme="minorHAnsi" w:hAnsiTheme="minorHAnsi" w:cstheme="minorHAnsi"/>
          <w:sz w:val="24"/>
          <w:szCs w:val="24"/>
        </w:rPr>
        <w:t>everyone has been challenged by NICE guidance</w:t>
      </w:r>
      <w:r w:rsidR="00861424">
        <w:rPr>
          <w:rFonts w:asciiTheme="minorHAnsi" w:hAnsiTheme="minorHAnsi" w:cstheme="minorHAnsi"/>
          <w:sz w:val="24"/>
          <w:szCs w:val="24"/>
        </w:rPr>
        <w:t xml:space="preserve"> for many years</w:t>
      </w:r>
      <w:r w:rsidR="007429FD" w:rsidRPr="007429FD">
        <w:rPr>
          <w:rFonts w:asciiTheme="minorHAnsi" w:hAnsiTheme="minorHAnsi" w:cstheme="minorHAnsi"/>
          <w:sz w:val="24"/>
          <w:szCs w:val="24"/>
        </w:rPr>
        <w:t xml:space="preserve"> in favour of risk and needs based tailored approach for each patient</w:t>
      </w:r>
      <w:r w:rsidR="000D4594">
        <w:rPr>
          <w:rStyle w:val="EndnoteReference"/>
          <w:rFonts w:asciiTheme="minorHAnsi" w:hAnsiTheme="minorHAnsi" w:cstheme="minorHAnsi"/>
          <w:sz w:val="24"/>
          <w:szCs w:val="24"/>
        </w:rPr>
        <w:endnoteReference w:id="33"/>
      </w:r>
      <w:r w:rsidR="007429FD" w:rsidRPr="007429FD">
        <w:rPr>
          <w:rFonts w:asciiTheme="minorHAnsi" w:hAnsiTheme="minorHAnsi" w:cstheme="minorHAnsi"/>
          <w:sz w:val="24"/>
          <w:szCs w:val="24"/>
        </w:rPr>
        <w:t xml:space="preserve"> </w:t>
      </w:r>
      <w:r w:rsidR="00756870">
        <w:rPr>
          <w:rFonts w:asciiTheme="minorHAnsi" w:hAnsiTheme="minorHAnsi" w:cstheme="minorHAnsi"/>
          <w:sz w:val="24"/>
          <w:szCs w:val="24"/>
        </w:rPr>
        <w:t xml:space="preserve">but yet </w:t>
      </w:r>
      <w:r w:rsidR="00F661E4">
        <w:rPr>
          <w:rFonts w:asciiTheme="minorHAnsi" w:hAnsiTheme="minorHAnsi" w:cstheme="minorHAnsi"/>
          <w:sz w:val="24"/>
          <w:szCs w:val="24"/>
        </w:rPr>
        <w:t xml:space="preserve">an </w:t>
      </w:r>
      <w:r w:rsidR="00756870">
        <w:rPr>
          <w:rFonts w:asciiTheme="minorHAnsi" w:hAnsiTheme="minorHAnsi" w:cstheme="minorHAnsi"/>
          <w:sz w:val="24"/>
          <w:szCs w:val="24"/>
        </w:rPr>
        <w:t>argument for 6 monthly ‘check-up’ for all persist</w:t>
      </w:r>
      <w:r w:rsidR="00771075">
        <w:rPr>
          <w:rFonts w:asciiTheme="minorHAnsi" w:hAnsiTheme="minorHAnsi" w:cstheme="minorHAnsi"/>
          <w:sz w:val="24"/>
          <w:szCs w:val="24"/>
        </w:rPr>
        <w:t>s</w:t>
      </w:r>
      <w:r w:rsidR="00756870">
        <w:rPr>
          <w:rFonts w:asciiTheme="minorHAnsi" w:hAnsiTheme="minorHAnsi" w:cstheme="minorHAnsi"/>
          <w:sz w:val="24"/>
          <w:szCs w:val="24"/>
        </w:rPr>
        <w:t>. A public survey</w:t>
      </w:r>
      <w:r w:rsidR="00756870">
        <w:rPr>
          <w:rStyle w:val="EndnoteReference"/>
          <w:rFonts w:asciiTheme="minorHAnsi" w:hAnsiTheme="minorHAnsi" w:cstheme="minorHAnsi"/>
          <w:sz w:val="24"/>
          <w:szCs w:val="24"/>
        </w:rPr>
        <w:endnoteReference w:id="34"/>
      </w:r>
      <w:r w:rsidR="00756870">
        <w:rPr>
          <w:rFonts w:asciiTheme="minorHAnsi" w:hAnsiTheme="minorHAnsi" w:cstheme="minorHAnsi"/>
          <w:sz w:val="24"/>
          <w:szCs w:val="24"/>
        </w:rPr>
        <w:t xml:space="preserve"> showed that </w:t>
      </w:r>
      <w:r w:rsidR="00756870" w:rsidRPr="00756870">
        <w:rPr>
          <w:rFonts w:asciiTheme="minorHAnsi" w:hAnsiTheme="minorHAnsi" w:cstheme="minorHAnsi"/>
          <w:sz w:val="24"/>
          <w:szCs w:val="24"/>
        </w:rPr>
        <w:t>66.9% of NHS (and mixed) dental service users reported that they would be happy to be seen less frequently (</w:t>
      </w:r>
      <w:proofErr w:type="gramStart"/>
      <w:r w:rsidR="00756870" w:rsidRPr="00756870">
        <w:rPr>
          <w:rFonts w:asciiTheme="minorHAnsi" w:hAnsiTheme="minorHAnsi" w:cstheme="minorHAnsi"/>
          <w:sz w:val="24"/>
          <w:szCs w:val="24"/>
        </w:rPr>
        <w:t>e.g.</w:t>
      </w:r>
      <w:proofErr w:type="gramEnd"/>
      <w:r w:rsidR="00756870" w:rsidRPr="00756870">
        <w:rPr>
          <w:rFonts w:asciiTheme="minorHAnsi" w:hAnsiTheme="minorHAnsi" w:cstheme="minorHAnsi"/>
          <w:sz w:val="24"/>
          <w:szCs w:val="24"/>
        </w:rPr>
        <w:t xml:space="preserve"> every 12 months) if a detailed assessment deemed them to be at low risk of developing dental disease. </w:t>
      </w:r>
    </w:p>
    <w:p w14:paraId="64EEB18B" w14:textId="251042DF" w:rsidR="00ED7477" w:rsidRDefault="00ED7477" w:rsidP="00F8725A">
      <w:pPr>
        <w:spacing w:line="276" w:lineRule="auto"/>
        <w:ind w:left="567"/>
        <w:jc w:val="both"/>
        <w:rPr>
          <w:rFonts w:asciiTheme="minorHAnsi" w:hAnsiTheme="minorHAnsi" w:cstheme="minorHAnsi"/>
          <w:sz w:val="24"/>
          <w:szCs w:val="24"/>
        </w:rPr>
      </w:pPr>
    </w:p>
    <w:p w14:paraId="514B9AD1" w14:textId="4BAA48F4" w:rsidR="009359B1" w:rsidRDefault="00ED7477"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 xml:space="preserve">2. A </w:t>
      </w:r>
      <w:r w:rsidR="007429FD" w:rsidRPr="007429FD">
        <w:rPr>
          <w:rFonts w:asciiTheme="minorHAnsi" w:hAnsiTheme="minorHAnsi" w:cstheme="minorHAnsi"/>
          <w:sz w:val="24"/>
          <w:szCs w:val="24"/>
        </w:rPr>
        <w:t xml:space="preserve">UK trial showed </w:t>
      </w:r>
      <w:r w:rsidR="000D4594">
        <w:rPr>
          <w:rFonts w:asciiTheme="minorHAnsi" w:hAnsiTheme="minorHAnsi" w:cstheme="minorHAnsi"/>
          <w:sz w:val="24"/>
          <w:szCs w:val="24"/>
        </w:rPr>
        <w:t xml:space="preserve">overall </w:t>
      </w:r>
      <w:r w:rsidR="007429FD" w:rsidRPr="007429FD">
        <w:rPr>
          <w:rFonts w:asciiTheme="minorHAnsi" w:hAnsiTheme="minorHAnsi" w:cstheme="minorHAnsi"/>
          <w:sz w:val="24"/>
          <w:szCs w:val="24"/>
        </w:rPr>
        <w:t>no clinical benefit of regular 6 monthly or 12 monthl</w:t>
      </w:r>
      <w:r w:rsidR="00A12977">
        <w:rPr>
          <w:rFonts w:asciiTheme="minorHAnsi" w:hAnsiTheme="minorHAnsi" w:cstheme="minorHAnsi"/>
          <w:sz w:val="24"/>
          <w:szCs w:val="24"/>
        </w:rPr>
        <w:t>y scale and polish (teeth cleaning)</w:t>
      </w:r>
      <w:r w:rsidR="00AB6152">
        <w:rPr>
          <w:rFonts w:asciiTheme="minorHAnsi" w:hAnsiTheme="minorHAnsi" w:cstheme="minorHAnsi"/>
          <w:sz w:val="24"/>
          <w:szCs w:val="24"/>
        </w:rPr>
        <w:t>.</w:t>
      </w:r>
      <w:r w:rsidR="000D4594">
        <w:rPr>
          <w:rFonts w:asciiTheme="minorHAnsi" w:hAnsiTheme="minorHAnsi" w:cstheme="minorHAnsi"/>
          <w:sz w:val="24"/>
          <w:szCs w:val="24"/>
        </w:rPr>
        <w:t xml:space="preserve"> </w:t>
      </w:r>
      <w:r w:rsidR="000D4594">
        <w:rPr>
          <w:rStyle w:val="EndnoteReference"/>
          <w:rFonts w:asciiTheme="minorHAnsi" w:hAnsiTheme="minorHAnsi" w:cstheme="minorHAnsi"/>
          <w:sz w:val="24"/>
          <w:szCs w:val="24"/>
        </w:rPr>
        <w:endnoteReference w:id="35"/>
      </w:r>
      <w:r w:rsidR="000D4594">
        <w:rPr>
          <w:rFonts w:asciiTheme="minorHAnsi" w:hAnsiTheme="minorHAnsi" w:cstheme="minorHAnsi"/>
          <w:sz w:val="24"/>
          <w:szCs w:val="24"/>
        </w:rPr>
        <w:t xml:space="preserve"> </w:t>
      </w:r>
    </w:p>
    <w:p w14:paraId="4A7BABD9" w14:textId="77777777" w:rsidR="004A13A6" w:rsidRDefault="004A13A6" w:rsidP="00F8725A">
      <w:pPr>
        <w:spacing w:line="276" w:lineRule="auto"/>
        <w:ind w:left="567"/>
        <w:jc w:val="both"/>
        <w:rPr>
          <w:rFonts w:asciiTheme="minorHAnsi" w:hAnsiTheme="minorHAnsi" w:cstheme="minorHAnsi"/>
          <w:sz w:val="24"/>
          <w:szCs w:val="24"/>
        </w:rPr>
      </w:pPr>
    </w:p>
    <w:p w14:paraId="3F76EB82" w14:textId="28295B55" w:rsidR="007429FD" w:rsidRDefault="009359B1"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 xml:space="preserve">3. </w:t>
      </w:r>
      <w:r w:rsidR="00161723">
        <w:rPr>
          <w:rFonts w:asciiTheme="minorHAnsi" w:hAnsiTheme="minorHAnsi" w:cstheme="minorHAnsi"/>
          <w:sz w:val="24"/>
          <w:szCs w:val="24"/>
        </w:rPr>
        <w:t xml:space="preserve"> The UK National Screening Committee </w:t>
      </w:r>
      <w:r w:rsidR="00FB44C4">
        <w:rPr>
          <w:rFonts w:asciiTheme="minorHAnsi" w:hAnsiTheme="minorHAnsi" w:cstheme="minorHAnsi"/>
          <w:sz w:val="24"/>
          <w:szCs w:val="24"/>
        </w:rPr>
        <w:t>has reviewed screening for oral cancer and oral cancer screening of UK population</w:t>
      </w:r>
      <w:r w:rsidR="004A13A6">
        <w:rPr>
          <w:rFonts w:asciiTheme="minorHAnsi" w:hAnsiTheme="minorHAnsi" w:cstheme="minorHAnsi"/>
          <w:sz w:val="24"/>
          <w:szCs w:val="24"/>
        </w:rPr>
        <w:t xml:space="preserve"> </w:t>
      </w:r>
      <w:r w:rsidR="00FB44C4">
        <w:rPr>
          <w:rFonts w:asciiTheme="minorHAnsi" w:hAnsiTheme="minorHAnsi" w:cstheme="minorHAnsi"/>
          <w:sz w:val="24"/>
          <w:szCs w:val="24"/>
        </w:rPr>
        <w:t>is not recommended.</w:t>
      </w:r>
      <w:r w:rsidR="00B31955">
        <w:rPr>
          <w:rStyle w:val="EndnoteReference"/>
          <w:rFonts w:asciiTheme="minorHAnsi" w:hAnsiTheme="minorHAnsi" w:cstheme="minorHAnsi"/>
          <w:sz w:val="24"/>
          <w:szCs w:val="24"/>
        </w:rPr>
        <w:endnoteReference w:id="36"/>
      </w:r>
      <w:r w:rsidR="00AB6152">
        <w:rPr>
          <w:rFonts w:asciiTheme="minorHAnsi" w:hAnsiTheme="minorHAnsi" w:cstheme="minorHAnsi"/>
          <w:sz w:val="24"/>
          <w:szCs w:val="24"/>
          <w:vertAlign w:val="superscript"/>
        </w:rPr>
        <w:t>,</w:t>
      </w:r>
      <w:r w:rsidR="00FB44C4">
        <w:rPr>
          <w:rFonts w:asciiTheme="minorHAnsi" w:hAnsiTheme="minorHAnsi" w:cstheme="minorHAnsi"/>
          <w:sz w:val="24"/>
          <w:szCs w:val="24"/>
        </w:rPr>
        <w:t xml:space="preserve"> </w:t>
      </w:r>
      <w:r w:rsidR="00B31955">
        <w:rPr>
          <w:rStyle w:val="EndnoteReference"/>
          <w:rFonts w:asciiTheme="minorHAnsi" w:hAnsiTheme="minorHAnsi" w:cstheme="minorHAnsi"/>
          <w:sz w:val="24"/>
          <w:szCs w:val="24"/>
        </w:rPr>
        <w:endnoteReference w:id="37"/>
      </w:r>
      <w:r w:rsidR="00AB6152">
        <w:rPr>
          <w:rFonts w:asciiTheme="minorHAnsi" w:hAnsiTheme="minorHAnsi" w:cstheme="minorHAnsi"/>
          <w:sz w:val="24"/>
          <w:szCs w:val="24"/>
          <w:vertAlign w:val="superscript"/>
        </w:rPr>
        <w:t>,</w:t>
      </w:r>
      <w:r w:rsidR="003C32D1">
        <w:rPr>
          <w:rFonts w:asciiTheme="minorHAnsi" w:hAnsiTheme="minorHAnsi" w:cstheme="minorHAnsi"/>
          <w:sz w:val="24"/>
          <w:szCs w:val="24"/>
        </w:rPr>
        <w:t xml:space="preserve"> </w:t>
      </w:r>
      <w:r w:rsidR="003C32D1">
        <w:rPr>
          <w:rStyle w:val="EndnoteReference"/>
          <w:rFonts w:asciiTheme="minorHAnsi" w:hAnsiTheme="minorHAnsi" w:cstheme="minorHAnsi"/>
          <w:sz w:val="24"/>
          <w:szCs w:val="24"/>
        </w:rPr>
        <w:endnoteReference w:id="38"/>
      </w:r>
      <w:r w:rsidR="00AB6152">
        <w:rPr>
          <w:rFonts w:asciiTheme="minorHAnsi" w:hAnsiTheme="minorHAnsi" w:cstheme="minorHAnsi"/>
          <w:sz w:val="24"/>
          <w:szCs w:val="24"/>
        </w:rPr>
        <w:t xml:space="preserve"> </w:t>
      </w:r>
      <w:r w:rsidR="00B31955">
        <w:rPr>
          <w:rFonts w:asciiTheme="minorHAnsi" w:hAnsiTheme="minorHAnsi" w:cstheme="minorHAnsi"/>
          <w:sz w:val="24"/>
          <w:szCs w:val="24"/>
        </w:rPr>
        <w:t xml:space="preserve">Hence, oral cancer screening should not be used as a reason for continuation of 6 monthly check-up of all dental patients. </w:t>
      </w:r>
      <w:r w:rsidR="003C32D1">
        <w:rPr>
          <w:rFonts w:asciiTheme="minorHAnsi" w:hAnsiTheme="minorHAnsi" w:cstheme="minorHAnsi"/>
          <w:sz w:val="24"/>
          <w:szCs w:val="24"/>
        </w:rPr>
        <w:t xml:space="preserve">The focus should be on </w:t>
      </w:r>
      <w:r w:rsidR="00BC170B">
        <w:rPr>
          <w:rFonts w:asciiTheme="minorHAnsi" w:hAnsiTheme="minorHAnsi" w:cstheme="minorHAnsi"/>
          <w:sz w:val="24"/>
          <w:szCs w:val="24"/>
        </w:rPr>
        <w:t>re-orientating dental servic</w:t>
      </w:r>
      <w:r w:rsidR="00F661E4">
        <w:rPr>
          <w:rFonts w:asciiTheme="minorHAnsi" w:hAnsiTheme="minorHAnsi" w:cstheme="minorHAnsi"/>
          <w:sz w:val="24"/>
          <w:szCs w:val="24"/>
        </w:rPr>
        <w:t>es so that the sub-population with risk</w:t>
      </w:r>
      <w:r w:rsidR="00BC170B">
        <w:rPr>
          <w:rFonts w:asciiTheme="minorHAnsi" w:hAnsiTheme="minorHAnsi" w:cstheme="minorHAnsi"/>
          <w:sz w:val="24"/>
          <w:szCs w:val="24"/>
        </w:rPr>
        <w:t xml:space="preserve"> factors have easy access to dental and medical assessment for early diagnosis and treatment </w:t>
      </w:r>
      <w:proofErr w:type="gramStart"/>
      <w:r w:rsidR="00BC170B">
        <w:rPr>
          <w:rFonts w:asciiTheme="minorHAnsi" w:hAnsiTheme="minorHAnsi" w:cstheme="minorHAnsi"/>
          <w:sz w:val="24"/>
          <w:szCs w:val="24"/>
        </w:rPr>
        <w:t>and also</w:t>
      </w:r>
      <w:proofErr w:type="gramEnd"/>
      <w:r w:rsidR="00BC170B">
        <w:rPr>
          <w:rFonts w:asciiTheme="minorHAnsi" w:hAnsiTheme="minorHAnsi" w:cstheme="minorHAnsi"/>
          <w:sz w:val="24"/>
          <w:szCs w:val="24"/>
        </w:rPr>
        <w:t xml:space="preserve"> delivery of prevention through clinical settings and referral to available support services like Help Me Quit to address risk factors. </w:t>
      </w:r>
    </w:p>
    <w:p w14:paraId="4998E9D4" w14:textId="350BD012" w:rsidR="00A12977" w:rsidRDefault="00A12977" w:rsidP="00F8725A">
      <w:pPr>
        <w:spacing w:line="276" w:lineRule="auto"/>
        <w:ind w:left="567"/>
        <w:jc w:val="both"/>
        <w:rPr>
          <w:rFonts w:asciiTheme="minorHAnsi" w:hAnsiTheme="minorHAnsi" w:cstheme="minorHAnsi"/>
          <w:sz w:val="24"/>
          <w:szCs w:val="24"/>
        </w:rPr>
      </w:pPr>
    </w:p>
    <w:p w14:paraId="213A1D48" w14:textId="570BBE43" w:rsidR="00A12977" w:rsidRDefault="00A12977"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It should be noted that some patients do value long established above practices even when th</w:t>
      </w:r>
      <w:r w:rsidR="008417F0">
        <w:rPr>
          <w:rFonts w:asciiTheme="minorHAnsi" w:hAnsiTheme="minorHAnsi" w:cstheme="minorHAnsi"/>
          <w:sz w:val="24"/>
          <w:szCs w:val="24"/>
        </w:rPr>
        <w:t xml:space="preserve">ey do not need them. Hence, </w:t>
      </w:r>
      <w:r w:rsidR="000D4594">
        <w:rPr>
          <w:rFonts w:asciiTheme="minorHAnsi" w:hAnsiTheme="minorHAnsi" w:cstheme="minorHAnsi"/>
          <w:sz w:val="24"/>
          <w:szCs w:val="24"/>
        </w:rPr>
        <w:t>changes in policy and clinical practices</w:t>
      </w:r>
      <w:r w:rsidR="008417F0">
        <w:rPr>
          <w:rFonts w:asciiTheme="minorHAnsi" w:hAnsiTheme="minorHAnsi" w:cstheme="minorHAnsi"/>
          <w:sz w:val="24"/>
          <w:szCs w:val="24"/>
        </w:rPr>
        <w:t xml:space="preserve"> will require ongoing</w:t>
      </w:r>
      <w:r w:rsidR="000D4594">
        <w:rPr>
          <w:rFonts w:asciiTheme="minorHAnsi" w:hAnsiTheme="minorHAnsi" w:cstheme="minorHAnsi"/>
          <w:sz w:val="24"/>
          <w:szCs w:val="24"/>
        </w:rPr>
        <w:t xml:space="preserve"> engagement and</w:t>
      </w:r>
      <w:r w:rsidR="008417F0">
        <w:rPr>
          <w:rFonts w:asciiTheme="minorHAnsi" w:hAnsiTheme="minorHAnsi" w:cstheme="minorHAnsi"/>
          <w:sz w:val="24"/>
          <w:szCs w:val="24"/>
        </w:rPr>
        <w:t xml:space="preserve"> </w:t>
      </w:r>
      <w:r w:rsidR="000D4594">
        <w:rPr>
          <w:rFonts w:asciiTheme="minorHAnsi" w:hAnsiTheme="minorHAnsi" w:cstheme="minorHAnsi"/>
          <w:sz w:val="24"/>
          <w:szCs w:val="24"/>
        </w:rPr>
        <w:t>input from the</w:t>
      </w:r>
      <w:r w:rsidR="008417F0">
        <w:rPr>
          <w:rFonts w:asciiTheme="minorHAnsi" w:hAnsiTheme="minorHAnsi" w:cstheme="minorHAnsi"/>
          <w:sz w:val="24"/>
          <w:szCs w:val="24"/>
        </w:rPr>
        <w:t xml:space="preserve"> public and dental patients</w:t>
      </w:r>
      <w:r w:rsidR="00DB6C15">
        <w:rPr>
          <w:rFonts w:asciiTheme="minorHAnsi" w:hAnsiTheme="minorHAnsi" w:cstheme="minorHAnsi"/>
          <w:sz w:val="24"/>
          <w:szCs w:val="24"/>
        </w:rPr>
        <w:t>,</w:t>
      </w:r>
      <w:r w:rsidR="000D4594">
        <w:rPr>
          <w:rFonts w:asciiTheme="minorHAnsi" w:hAnsiTheme="minorHAnsi" w:cstheme="minorHAnsi"/>
          <w:sz w:val="24"/>
          <w:szCs w:val="24"/>
        </w:rPr>
        <w:t xml:space="preserve"> and </w:t>
      </w:r>
      <w:r w:rsidR="00DB6C15">
        <w:rPr>
          <w:rFonts w:asciiTheme="minorHAnsi" w:hAnsiTheme="minorHAnsi" w:cstheme="minorHAnsi"/>
          <w:sz w:val="24"/>
          <w:szCs w:val="24"/>
        </w:rPr>
        <w:t xml:space="preserve">effective </w:t>
      </w:r>
      <w:r w:rsidR="000D4594">
        <w:rPr>
          <w:rFonts w:asciiTheme="minorHAnsi" w:hAnsiTheme="minorHAnsi" w:cstheme="minorHAnsi"/>
          <w:sz w:val="24"/>
          <w:szCs w:val="24"/>
        </w:rPr>
        <w:t>communication with the public.</w:t>
      </w:r>
    </w:p>
    <w:p w14:paraId="57F0A383" w14:textId="4E39CA40" w:rsidR="005870C0" w:rsidRDefault="005870C0" w:rsidP="00F8725A">
      <w:pPr>
        <w:spacing w:line="276" w:lineRule="auto"/>
        <w:jc w:val="both"/>
        <w:rPr>
          <w:rFonts w:asciiTheme="minorHAnsi" w:hAnsiTheme="minorHAnsi" w:cstheme="minorHAnsi"/>
          <w:sz w:val="24"/>
          <w:szCs w:val="24"/>
        </w:rPr>
      </w:pPr>
    </w:p>
    <w:p w14:paraId="5D4D1F7C" w14:textId="2686AAFB" w:rsidR="00FA7F85" w:rsidRDefault="00FA7F85" w:rsidP="00F8725A">
      <w:pPr>
        <w:spacing w:after="240" w:line="276" w:lineRule="auto"/>
        <w:ind w:left="567"/>
        <w:jc w:val="both"/>
        <w:rPr>
          <w:rFonts w:asciiTheme="minorHAnsi" w:hAnsiTheme="minorHAnsi" w:cstheme="minorHAnsi"/>
          <w:b/>
          <w:sz w:val="24"/>
          <w:szCs w:val="24"/>
        </w:rPr>
      </w:pPr>
      <w:r w:rsidRPr="00FA7F85">
        <w:rPr>
          <w:rFonts w:asciiTheme="minorHAnsi" w:hAnsiTheme="minorHAnsi" w:cstheme="minorHAnsi"/>
          <w:b/>
          <w:sz w:val="24"/>
          <w:szCs w:val="24"/>
        </w:rPr>
        <w:t xml:space="preserve">5. Relentless focus on </w:t>
      </w:r>
      <w:r w:rsidR="008D5667">
        <w:rPr>
          <w:rFonts w:asciiTheme="minorHAnsi" w:hAnsiTheme="minorHAnsi" w:cstheme="minorHAnsi"/>
          <w:b/>
          <w:sz w:val="24"/>
          <w:szCs w:val="24"/>
        </w:rPr>
        <w:t>reducing</w:t>
      </w:r>
      <w:r w:rsidR="00BD3EF5">
        <w:rPr>
          <w:rFonts w:asciiTheme="minorHAnsi" w:hAnsiTheme="minorHAnsi" w:cstheme="minorHAnsi"/>
          <w:b/>
          <w:sz w:val="24"/>
          <w:szCs w:val="24"/>
        </w:rPr>
        <w:t xml:space="preserve"> in </w:t>
      </w:r>
      <w:r w:rsidRPr="00FA7F85">
        <w:rPr>
          <w:rFonts w:asciiTheme="minorHAnsi" w:hAnsiTheme="minorHAnsi" w:cstheme="minorHAnsi"/>
          <w:b/>
          <w:sz w:val="24"/>
          <w:szCs w:val="24"/>
        </w:rPr>
        <w:t>oral health inequalities is needed</w:t>
      </w:r>
    </w:p>
    <w:p w14:paraId="6FB6E62B" w14:textId="7BD8939D" w:rsidR="00FA7F85" w:rsidRDefault="00FA7F85" w:rsidP="00B27E08">
      <w:pPr>
        <w:spacing w:line="276" w:lineRule="auto"/>
        <w:ind w:left="567"/>
        <w:jc w:val="both"/>
        <w:rPr>
          <w:rFonts w:asciiTheme="minorHAnsi" w:hAnsiTheme="minorHAnsi" w:cstheme="minorHAnsi"/>
          <w:sz w:val="24"/>
          <w:szCs w:val="24"/>
        </w:rPr>
      </w:pPr>
      <w:r w:rsidRPr="00FA7F85">
        <w:rPr>
          <w:rFonts w:asciiTheme="minorHAnsi" w:hAnsiTheme="minorHAnsi" w:cstheme="minorHAnsi"/>
          <w:sz w:val="24"/>
          <w:szCs w:val="24"/>
        </w:rPr>
        <w:t>The Socioeconomic Duty, and the Well-being of Future Ge</w:t>
      </w:r>
      <w:r w:rsidR="00771075">
        <w:rPr>
          <w:rFonts w:asciiTheme="minorHAnsi" w:hAnsiTheme="minorHAnsi" w:cstheme="minorHAnsi"/>
          <w:sz w:val="24"/>
          <w:szCs w:val="24"/>
        </w:rPr>
        <w:t>nerations (Wales) Act 2015</w:t>
      </w:r>
      <w:r w:rsidRPr="00FA7F85">
        <w:rPr>
          <w:rFonts w:asciiTheme="minorHAnsi" w:hAnsiTheme="minorHAnsi" w:cstheme="minorHAnsi"/>
          <w:sz w:val="24"/>
          <w:szCs w:val="24"/>
        </w:rPr>
        <w:t>, both place a requirement on public bodies to take action to enable those facing socio-economic disadvantage to fulfil their potential. Oral health</w:t>
      </w:r>
      <w:r w:rsidR="00D64CEE">
        <w:rPr>
          <w:rFonts w:asciiTheme="minorHAnsi" w:hAnsiTheme="minorHAnsi" w:cstheme="minorHAnsi"/>
          <w:sz w:val="24"/>
          <w:szCs w:val="24"/>
        </w:rPr>
        <w:t xml:space="preserve"> and oral health inequalities</w:t>
      </w:r>
      <w:r w:rsidRPr="00FA7F85">
        <w:rPr>
          <w:rFonts w:asciiTheme="minorHAnsi" w:hAnsiTheme="minorHAnsi" w:cstheme="minorHAnsi"/>
          <w:sz w:val="24"/>
          <w:szCs w:val="24"/>
        </w:rPr>
        <w:t xml:space="preserve"> should be included in all </w:t>
      </w:r>
      <w:r w:rsidR="00D64CEE">
        <w:rPr>
          <w:rFonts w:asciiTheme="minorHAnsi" w:hAnsiTheme="minorHAnsi" w:cstheme="minorHAnsi"/>
          <w:sz w:val="24"/>
          <w:szCs w:val="24"/>
        </w:rPr>
        <w:t xml:space="preserve">relevant </w:t>
      </w:r>
      <w:r w:rsidRPr="00FA7F85">
        <w:rPr>
          <w:rFonts w:asciiTheme="minorHAnsi" w:hAnsiTheme="minorHAnsi" w:cstheme="minorHAnsi"/>
          <w:sz w:val="24"/>
          <w:szCs w:val="24"/>
        </w:rPr>
        <w:t xml:space="preserve">health and social care policies and programmes at </w:t>
      </w:r>
      <w:r w:rsidRPr="00FA7F85">
        <w:rPr>
          <w:rFonts w:asciiTheme="minorHAnsi" w:hAnsiTheme="minorHAnsi" w:cstheme="minorHAnsi"/>
          <w:sz w:val="24"/>
          <w:szCs w:val="24"/>
        </w:rPr>
        <w:lastRenderedPageBreak/>
        <w:t>national level and further at local level during development of impl</w:t>
      </w:r>
      <w:r w:rsidR="00B27E08">
        <w:rPr>
          <w:rFonts w:asciiTheme="minorHAnsi" w:hAnsiTheme="minorHAnsi" w:cstheme="minorHAnsi"/>
          <w:sz w:val="24"/>
          <w:szCs w:val="24"/>
        </w:rPr>
        <w:t xml:space="preserve">ementation plans and delivery. </w:t>
      </w:r>
    </w:p>
    <w:p w14:paraId="25777026" w14:textId="77777777" w:rsidR="00B27E08" w:rsidRPr="00B27E08" w:rsidRDefault="00B27E08" w:rsidP="00B27E08">
      <w:pPr>
        <w:spacing w:line="276" w:lineRule="auto"/>
        <w:ind w:left="567"/>
        <w:jc w:val="both"/>
        <w:rPr>
          <w:rFonts w:asciiTheme="minorHAnsi" w:hAnsiTheme="minorHAnsi" w:cstheme="minorHAnsi"/>
          <w:sz w:val="24"/>
          <w:szCs w:val="24"/>
        </w:rPr>
      </w:pPr>
    </w:p>
    <w:p w14:paraId="3B163956" w14:textId="5A5068EE" w:rsidR="00C169E1" w:rsidRDefault="00073696" w:rsidP="00B27E08">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As mentioned previously there is irrefutable e</w:t>
      </w:r>
      <w:r w:rsidRPr="00073696">
        <w:rPr>
          <w:rFonts w:asciiTheme="minorHAnsi" w:hAnsiTheme="minorHAnsi" w:cstheme="minorHAnsi"/>
          <w:sz w:val="24"/>
          <w:szCs w:val="24"/>
        </w:rPr>
        <w:t xml:space="preserve">vidence from the </w:t>
      </w:r>
      <w:r>
        <w:rPr>
          <w:rFonts w:asciiTheme="minorHAnsi" w:hAnsiTheme="minorHAnsi" w:cstheme="minorHAnsi"/>
          <w:sz w:val="24"/>
          <w:szCs w:val="24"/>
        </w:rPr>
        <w:t xml:space="preserve">dental </w:t>
      </w:r>
      <w:r w:rsidRPr="00073696">
        <w:rPr>
          <w:rFonts w:asciiTheme="minorHAnsi" w:hAnsiTheme="minorHAnsi" w:cstheme="minorHAnsi"/>
          <w:sz w:val="24"/>
          <w:szCs w:val="24"/>
        </w:rPr>
        <w:t>literature as well as</w:t>
      </w:r>
      <w:r w:rsidR="00DB6C15">
        <w:rPr>
          <w:rFonts w:asciiTheme="minorHAnsi" w:hAnsiTheme="minorHAnsi" w:cstheme="minorHAnsi"/>
          <w:sz w:val="24"/>
          <w:szCs w:val="24"/>
        </w:rPr>
        <w:t xml:space="preserve"> the</w:t>
      </w:r>
      <w:r w:rsidRPr="00073696">
        <w:rPr>
          <w:rFonts w:asciiTheme="minorHAnsi" w:hAnsiTheme="minorHAnsi" w:cstheme="minorHAnsi"/>
          <w:sz w:val="24"/>
          <w:szCs w:val="24"/>
        </w:rPr>
        <w:t xml:space="preserve"> Dental Epidemiology programme for Wales that oral health inequalities exist </w:t>
      </w:r>
      <w:r>
        <w:rPr>
          <w:rFonts w:asciiTheme="minorHAnsi" w:hAnsiTheme="minorHAnsi" w:cstheme="minorHAnsi"/>
          <w:sz w:val="24"/>
          <w:szCs w:val="24"/>
        </w:rPr>
        <w:t>with people</w:t>
      </w:r>
      <w:r w:rsidRPr="00073696">
        <w:rPr>
          <w:rFonts w:asciiTheme="minorHAnsi" w:hAnsiTheme="minorHAnsi" w:cstheme="minorHAnsi"/>
          <w:sz w:val="24"/>
          <w:szCs w:val="24"/>
        </w:rPr>
        <w:t xml:space="preserve"> living in the most deprived areas </w:t>
      </w:r>
      <w:r>
        <w:rPr>
          <w:rFonts w:asciiTheme="minorHAnsi" w:hAnsiTheme="minorHAnsi" w:cstheme="minorHAnsi"/>
          <w:sz w:val="24"/>
          <w:szCs w:val="24"/>
        </w:rPr>
        <w:t>bear</w:t>
      </w:r>
      <w:r w:rsidR="00BD3EF5">
        <w:rPr>
          <w:rFonts w:asciiTheme="minorHAnsi" w:hAnsiTheme="minorHAnsi" w:cstheme="minorHAnsi"/>
          <w:sz w:val="24"/>
          <w:szCs w:val="24"/>
        </w:rPr>
        <w:t>ing</w:t>
      </w:r>
      <w:r w:rsidRPr="00073696">
        <w:rPr>
          <w:rFonts w:asciiTheme="minorHAnsi" w:hAnsiTheme="minorHAnsi" w:cstheme="minorHAnsi"/>
          <w:sz w:val="24"/>
          <w:szCs w:val="24"/>
        </w:rPr>
        <w:t xml:space="preserve"> the largest burden of dental disease</w:t>
      </w:r>
      <w:r w:rsidR="006E65AE">
        <w:rPr>
          <w:rFonts w:asciiTheme="minorHAnsi" w:hAnsiTheme="minorHAnsi" w:cstheme="minorHAnsi"/>
          <w:sz w:val="24"/>
          <w:szCs w:val="24"/>
        </w:rPr>
        <w:t>.</w:t>
      </w:r>
      <w:r w:rsidRPr="00073696">
        <w:rPr>
          <w:rFonts w:asciiTheme="minorHAnsi" w:hAnsiTheme="minorHAnsi" w:cstheme="minorHAnsi"/>
          <w:sz w:val="24"/>
          <w:szCs w:val="24"/>
          <w:vertAlign w:val="superscript"/>
        </w:rPr>
        <w:t>22,</w:t>
      </w:r>
      <w:r w:rsidR="006E65AE">
        <w:rPr>
          <w:rFonts w:asciiTheme="minorHAnsi" w:hAnsiTheme="minorHAnsi" w:cstheme="minorHAnsi"/>
          <w:sz w:val="24"/>
          <w:szCs w:val="24"/>
          <w:vertAlign w:val="superscript"/>
        </w:rPr>
        <w:t xml:space="preserve"> </w:t>
      </w:r>
      <w:r w:rsidRPr="00073696">
        <w:rPr>
          <w:rFonts w:asciiTheme="minorHAnsi" w:hAnsiTheme="minorHAnsi" w:cstheme="minorHAnsi"/>
          <w:sz w:val="24"/>
          <w:szCs w:val="24"/>
          <w:vertAlign w:val="superscript"/>
        </w:rPr>
        <w:t>23</w:t>
      </w:r>
      <w:r w:rsidR="000C3428">
        <w:rPr>
          <w:rFonts w:asciiTheme="minorHAnsi" w:hAnsiTheme="minorHAnsi" w:cstheme="minorHAnsi"/>
          <w:sz w:val="24"/>
          <w:szCs w:val="24"/>
          <w:vertAlign w:val="superscript"/>
        </w:rPr>
        <w:t xml:space="preserve"> </w:t>
      </w:r>
      <w:r w:rsidR="00C169E1">
        <w:rPr>
          <w:rFonts w:asciiTheme="minorHAnsi" w:hAnsiTheme="minorHAnsi" w:cstheme="minorHAnsi"/>
          <w:sz w:val="24"/>
          <w:szCs w:val="24"/>
        </w:rPr>
        <w:t>Although dental charges in Wales are much lower than in England, t</w:t>
      </w:r>
      <w:r w:rsidR="00C169E1" w:rsidRPr="00C169E1">
        <w:rPr>
          <w:rFonts w:asciiTheme="minorHAnsi" w:hAnsiTheme="minorHAnsi" w:cstheme="minorHAnsi"/>
          <w:sz w:val="24"/>
          <w:szCs w:val="24"/>
        </w:rPr>
        <w:t>he cost of</w:t>
      </w:r>
      <w:r w:rsidR="00C169E1">
        <w:rPr>
          <w:rFonts w:asciiTheme="minorHAnsi" w:hAnsiTheme="minorHAnsi" w:cstheme="minorHAnsi"/>
          <w:sz w:val="24"/>
          <w:szCs w:val="24"/>
        </w:rPr>
        <w:t xml:space="preserve"> living crisis is likely to impact on those who just</w:t>
      </w:r>
      <w:r w:rsidR="00DB6C15">
        <w:rPr>
          <w:rFonts w:asciiTheme="minorHAnsi" w:hAnsiTheme="minorHAnsi" w:cstheme="minorHAnsi"/>
          <w:sz w:val="24"/>
          <w:szCs w:val="24"/>
        </w:rPr>
        <w:t xml:space="preserve"> miss out on exemption from </w:t>
      </w:r>
      <w:r w:rsidR="00C169E1">
        <w:rPr>
          <w:rFonts w:asciiTheme="minorHAnsi" w:hAnsiTheme="minorHAnsi" w:cstheme="minorHAnsi"/>
          <w:sz w:val="24"/>
          <w:szCs w:val="24"/>
        </w:rPr>
        <w:t>NHS dent</w:t>
      </w:r>
      <w:r w:rsidR="00DB6C15">
        <w:rPr>
          <w:rFonts w:asciiTheme="minorHAnsi" w:hAnsiTheme="minorHAnsi" w:cstheme="minorHAnsi"/>
          <w:sz w:val="24"/>
          <w:szCs w:val="24"/>
        </w:rPr>
        <w:t>al charges and it may worsen oral health inequalities.</w:t>
      </w:r>
      <w:r w:rsidR="00C169E1">
        <w:rPr>
          <w:rFonts w:asciiTheme="minorHAnsi" w:hAnsiTheme="minorHAnsi" w:cstheme="minorHAnsi"/>
          <w:sz w:val="24"/>
          <w:szCs w:val="24"/>
        </w:rPr>
        <w:t xml:space="preserve"> It is unknown what proportion of patients who usually use private dental care</w:t>
      </w:r>
      <w:r w:rsidR="00C169E1" w:rsidRPr="00C169E1">
        <w:rPr>
          <w:rFonts w:asciiTheme="minorHAnsi" w:hAnsiTheme="minorHAnsi" w:cstheme="minorHAnsi"/>
          <w:sz w:val="24"/>
          <w:szCs w:val="24"/>
        </w:rPr>
        <w:t xml:space="preserve"> </w:t>
      </w:r>
      <w:r w:rsidR="00C169E1">
        <w:rPr>
          <w:rFonts w:asciiTheme="minorHAnsi" w:hAnsiTheme="minorHAnsi" w:cstheme="minorHAnsi"/>
          <w:sz w:val="24"/>
          <w:szCs w:val="24"/>
        </w:rPr>
        <w:t xml:space="preserve">are now seeking NHS dental care. </w:t>
      </w:r>
    </w:p>
    <w:p w14:paraId="72BA5585" w14:textId="77777777" w:rsidR="00C169E1" w:rsidRDefault="00C169E1" w:rsidP="00F8725A">
      <w:pPr>
        <w:spacing w:line="276" w:lineRule="auto"/>
        <w:ind w:left="567"/>
        <w:jc w:val="both"/>
        <w:rPr>
          <w:rFonts w:asciiTheme="minorHAnsi" w:hAnsiTheme="minorHAnsi" w:cstheme="minorHAnsi"/>
          <w:sz w:val="24"/>
          <w:szCs w:val="24"/>
        </w:rPr>
      </w:pPr>
    </w:p>
    <w:p w14:paraId="409E3D63" w14:textId="33C1CAFA" w:rsidR="00FA7F85" w:rsidRDefault="000C3428"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An example of</w:t>
      </w:r>
      <w:r w:rsidR="00DB6C15">
        <w:rPr>
          <w:rFonts w:asciiTheme="minorHAnsi" w:hAnsiTheme="minorHAnsi" w:cstheme="minorHAnsi"/>
          <w:sz w:val="24"/>
          <w:szCs w:val="24"/>
        </w:rPr>
        <w:t xml:space="preserve"> the improvements in</w:t>
      </w:r>
      <w:r>
        <w:rPr>
          <w:rFonts w:asciiTheme="minorHAnsi" w:hAnsiTheme="minorHAnsi" w:cstheme="minorHAnsi"/>
          <w:sz w:val="24"/>
          <w:szCs w:val="24"/>
        </w:rPr>
        <w:t xml:space="preserve"> dental health</w:t>
      </w:r>
      <w:r w:rsidR="008733F4">
        <w:rPr>
          <w:rFonts w:asciiTheme="minorHAnsi" w:hAnsiTheme="minorHAnsi" w:cstheme="minorHAnsi"/>
          <w:sz w:val="24"/>
          <w:szCs w:val="24"/>
        </w:rPr>
        <w:t xml:space="preserve"> in children</w:t>
      </w:r>
      <w:r w:rsidR="002C12E8">
        <w:rPr>
          <w:rFonts w:asciiTheme="minorHAnsi" w:hAnsiTheme="minorHAnsi" w:cstheme="minorHAnsi"/>
          <w:sz w:val="24"/>
          <w:szCs w:val="24"/>
        </w:rPr>
        <w:t xml:space="preserve"> </w:t>
      </w:r>
      <w:r>
        <w:rPr>
          <w:rFonts w:asciiTheme="minorHAnsi" w:hAnsiTheme="minorHAnsi" w:cstheme="minorHAnsi"/>
          <w:sz w:val="24"/>
          <w:szCs w:val="24"/>
        </w:rPr>
        <w:t>but</w:t>
      </w:r>
      <w:r w:rsidR="00DB6C15">
        <w:rPr>
          <w:rFonts w:asciiTheme="minorHAnsi" w:hAnsiTheme="minorHAnsi" w:cstheme="minorHAnsi"/>
          <w:sz w:val="24"/>
          <w:szCs w:val="24"/>
        </w:rPr>
        <w:t xml:space="preserve"> ongoing</w:t>
      </w:r>
      <w:r>
        <w:rPr>
          <w:rFonts w:asciiTheme="minorHAnsi" w:hAnsiTheme="minorHAnsi" w:cstheme="minorHAnsi"/>
          <w:sz w:val="24"/>
          <w:szCs w:val="24"/>
        </w:rPr>
        <w:t xml:space="preserve"> </w:t>
      </w:r>
      <w:r w:rsidR="008733F4">
        <w:rPr>
          <w:rFonts w:asciiTheme="minorHAnsi" w:hAnsiTheme="minorHAnsi" w:cstheme="minorHAnsi"/>
          <w:sz w:val="24"/>
          <w:szCs w:val="24"/>
        </w:rPr>
        <w:t>high burden of disease across deprivation quintile</w:t>
      </w:r>
      <w:r w:rsidR="00771075">
        <w:rPr>
          <w:rFonts w:asciiTheme="minorHAnsi" w:hAnsiTheme="minorHAnsi" w:cstheme="minorHAnsi"/>
          <w:sz w:val="24"/>
          <w:szCs w:val="24"/>
        </w:rPr>
        <w:t xml:space="preserve">s and the </w:t>
      </w:r>
      <w:r w:rsidR="008733F4">
        <w:rPr>
          <w:rFonts w:asciiTheme="minorHAnsi" w:hAnsiTheme="minorHAnsi" w:cstheme="minorHAnsi"/>
          <w:sz w:val="24"/>
          <w:szCs w:val="24"/>
        </w:rPr>
        <w:t>inequal</w:t>
      </w:r>
      <w:r w:rsidR="00DB6C15">
        <w:rPr>
          <w:rFonts w:asciiTheme="minorHAnsi" w:hAnsiTheme="minorHAnsi" w:cstheme="minorHAnsi"/>
          <w:sz w:val="24"/>
          <w:szCs w:val="24"/>
        </w:rPr>
        <w:t>ities present has been demonstrated</w:t>
      </w:r>
      <w:r w:rsidR="008733F4">
        <w:rPr>
          <w:rFonts w:asciiTheme="minorHAnsi" w:hAnsiTheme="minorHAnsi" w:cstheme="minorHAnsi"/>
          <w:sz w:val="24"/>
          <w:szCs w:val="24"/>
        </w:rPr>
        <w:t xml:space="preserve"> in Figure 3 below.</w:t>
      </w:r>
      <w:r w:rsidR="002C12E8">
        <w:rPr>
          <w:rFonts w:asciiTheme="minorHAnsi" w:hAnsiTheme="minorHAnsi" w:cstheme="minorHAnsi"/>
          <w:sz w:val="24"/>
          <w:szCs w:val="24"/>
          <w:vertAlign w:val="superscript"/>
        </w:rPr>
        <w:t>3</w:t>
      </w:r>
    </w:p>
    <w:p w14:paraId="3CE02A80" w14:textId="1A73990C" w:rsidR="008733F4" w:rsidRPr="000C3428" w:rsidRDefault="008733F4" w:rsidP="00DB6C15">
      <w:pPr>
        <w:spacing w:line="276" w:lineRule="auto"/>
        <w:jc w:val="both"/>
        <w:rPr>
          <w:rFonts w:asciiTheme="minorHAnsi" w:hAnsiTheme="minorHAnsi" w:cstheme="minorHAnsi"/>
          <w:sz w:val="24"/>
          <w:szCs w:val="24"/>
        </w:rPr>
      </w:pPr>
    </w:p>
    <w:p w14:paraId="4380D3CD" w14:textId="21E958CD" w:rsidR="000C3428" w:rsidRDefault="000C3428" w:rsidP="00F8725A">
      <w:pPr>
        <w:spacing w:line="276" w:lineRule="auto"/>
        <w:ind w:left="567"/>
        <w:jc w:val="both"/>
        <w:rPr>
          <w:rFonts w:asciiTheme="minorHAnsi" w:hAnsiTheme="minorHAnsi" w:cstheme="minorHAnsi"/>
          <w:b/>
          <w:sz w:val="24"/>
          <w:szCs w:val="24"/>
        </w:rPr>
      </w:pPr>
      <w:r>
        <w:rPr>
          <w:rFonts w:asciiTheme="minorHAnsi" w:hAnsiTheme="minorHAnsi" w:cstheme="minorHAnsi"/>
          <w:b/>
          <w:sz w:val="24"/>
          <w:szCs w:val="24"/>
        </w:rPr>
        <w:t xml:space="preserve">Figure 3: Percentage of </w:t>
      </w:r>
      <w:proofErr w:type="gramStart"/>
      <w:r>
        <w:rPr>
          <w:rFonts w:asciiTheme="minorHAnsi" w:hAnsiTheme="minorHAnsi" w:cstheme="minorHAnsi"/>
          <w:b/>
          <w:sz w:val="24"/>
          <w:szCs w:val="24"/>
        </w:rPr>
        <w:t>12 year old</w:t>
      </w:r>
      <w:proofErr w:type="gramEnd"/>
      <w:r>
        <w:rPr>
          <w:rFonts w:asciiTheme="minorHAnsi" w:hAnsiTheme="minorHAnsi" w:cstheme="minorHAnsi"/>
          <w:b/>
          <w:sz w:val="24"/>
          <w:szCs w:val="24"/>
        </w:rPr>
        <w:t xml:space="preserve"> children </w:t>
      </w:r>
      <w:r w:rsidR="00771075">
        <w:rPr>
          <w:rFonts w:asciiTheme="minorHAnsi" w:hAnsiTheme="minorHAnsi" w:cstheme="minorHAnsi"/>
          <w:b/>
          <w:sz w:val="24"/>
          <w:szCs w:val="24"/>
        </w:rPr>
        <w:t xml:space="preserve">with </w:t>
      </w:r>
      <w:r>
        <w:rPr>
          <w:rFonts w:asciiTheme="minorHAnsi" w:hAnsiTheme="minorHAnsi" w:cstheme="minorHAnsi"/>
          <w:b/>
          <w:sz w:val="24"/>
          <w:szCs w:val="24"/>
        </w:rPr>
        <w:t>decay experience</w:t>
      </w:r>
      <w:r w:rsidRPr="000C3428">
        <w:rPr>
          <w:rFonts w:asciiTheme="minorHAnsi" w:hAnsiTheme="minorHAnsi" w:cstheme="minorHAnsi"/>
          <w:b/>
          <w:sz w:val="24"/>
          <w:szCs w:val="24"/>
        </w:rPr>
        <w:t xml:space="preserve"> by quintile of deprivation (WIMD) from 2004-2017</w:t>
      </w:r>
    </w:p>
    <w:p w14:paraId="374A223A" w14:textId="7ECB4ED5" w:rsidR="000C3428" w:rsidRDefault="000C3428" w:rsidP="00F8725A">
      <w:pPr>
        <w:spacing w:line="276" w:lineRule="auto"/>
        <w:ind w:left="567"/>
        <w:jc w:val="both"/>
        <w:rPr>
          <w:rFonts w:asciiTheme="minorHAnsi" w:hAnsiTheme="minorHAnsi" w:cstheme="minorHAnsi"/>
          <w:sz w:val="24"/>
          <w:szCs w:val="24"/>
        </w:rPr>
      </w:pPr>
      <w:r w:rsidRPr="000C3428">
        <w:rPr>
          <w:rFonts w:asciiTheme="minorHAnsi" w:hAnsiTheme="minorHAnsi" w:cstheme="minorHAnsi"/>
          <w:noProof/>
          <w:sz w:val="24"/>
          <w:szCs w:val="24"/>
          <w:lang w:eastAsia="en-GB"/>
        </w:rPr>
        <w:drawing>
          <wp:inline distT="0" distB="0" distL="0" distR="0" wp14:anchorId="6108DF39" wp14:editId="03B7ABC2">
            <wp:extent cx="5378450" cy="2266950"/>
            <wp:effectExtent l="0" t="0" r="0" b="0"/>
            <wp:docPr id="3" name="Picture 3" descr="C:\Users\An123069\OneDrive - NHS Wales\Desktop\12 year olds_OH_Depri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123069\OneDrive - NHS Wales\Desktop\12 year olds_OH_Deprivat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8450" cy="2266950"/>
                    </a:xfrm>
                    <a:prstGeom prst="rect">
                      <a:avLst/>
                    </a:prstGeom>
                    <a:noFill/>
                    <a:ln>
                      <a:noFill/>
                    </a:ln>
                  </pic:spPr>
                </pic:pic>
              </a:graphicData>
            </a:graphic>
          </wp:inline>
        </w:drawing>
      </w:r>
    </w:p>
    <w:p w14:paraId="589C3584" w14:textId="016A1759" w:rsidR="008733F4" w:rsidRPr="008733F4" w:rsidRDefault="008733F4" w:rsidP="00F8725A">
      <w:pPr>
        <w:spacing w:line="276" w:lineRule="auto"/>
        <w:ind w:left="567"/>
        <w:jc w:val="both"/>
        <w:rPr>
          <w:rFonts w:asciiTheme="minorHAnsi" w:hAnsiTheme="minorHAnsi" w:cstheme="minorHAnsi"/>
          <w:sz w:val="20"/>
          <w:szCs w:val="20"/>
        </w:rPr>
      </w:pPr>
      <w:r w:rsidRPr="008733F4">
        <w:rPr>
          <w:rFonts w:asciiTheme="minorHAnsi" w:hAnsiTheme="minorHAnsi" w:cstheme="minorHAnsi"/>
          <w:sz w:val="20"/>
          <w:szCs w:val="20"/>
        </w:rPr>
        <w:t>Source: Welsh Oral Health Information Unit, Cardiff University</w:t>
      </w:r>
    </w:p>
    <w:p w14:paraId="2588BEEF" w14:textId="77777777" w:rsidR="000C3428" w:rsidRDefault="000C3428" w:rsidP="00F8725A">
      <w:pPr>
        <w:spacing w:line="276" w:lineRule="auto"/>
        <w:ind w:left="567"/>
        <w:jc w:val="both"/>
        <w:rPr>
          <w:rFonts w:asciiTheme="minorHAnsi" w:hAnsiTheme="minorHAnsi" w:cstheme="minorHAnsi"/>
          <w:sz w:val="24"/>
          <w:szCs w:val="24"/>
        </w:rPr>
      </w:pPr>
    </w:p>
    <w:p w14:paraId="33B99507" w14:textId="5F20A535" w:rsidR="00BD3EF5" w:rsidRPr="00BD3EF5" w:rsidRDefault="00DB6C15"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A p</w:t>
      </w:r>
      <w:r w:rsidR="00BD3EF5" w:rsidRPr="00BD3EF5">
        <w:rPr>
          <w:rFonts w:asciiTheme="minorHAnsi" w:hAnsiTheme="minorHAnsi" w:cstheme="minorHAnsi"/>
          <w:sz w:val="24"/>
          <w:szCs w:val="24"/>
        </w:rPr>
        <w:t>ublic survey pr</w:t>
      </w:r>
      <w:r>
        <w:rPr>
          <w:rFonts w:asciiTheme="minorHAnsi" w:hAnsiTheme="minorHAnsi" w:cstheme="minorHAnsi"/>
          <w:sz w:val="24"/>
          <w:szCs w:val="24"/>
        </w:rPr>
        <w:t>ior to the COVID19 pandemic</w:t>
      </w:r>
      <w:r w:rsidR="00BD3EF5" w:rsidRPr="00BD3EF5">
        <w:rPr>
          <w:rFonts w:asciiTheme="minorHAnsi" w:hAnsiTheme="minorHAnsi" w:cstheme="minorHAnsi"/>
          <w:sz w:val="24"/>
          <w:szCs w:val="24"/>
        </w:rPr>
        <w:t xml:space="preserve"> shows that self-reported oral health is poorer in deprived areas (Fig</w:t>
      </w:r>
      <w:r w:rsidR="008733F4">
        <w:rPr>
          <w:rFonts w:asciiTheme="minorHAnsi" w:hAnsiTheme="minorHAnsi" w:cstheme="minorHAnsi"/>
          <w:sz w:val="24"/>
          <w:szCs w:val="24"/>
        </w:rPr>
        <w:t xml:space="preserve"> 4</w:t>
      </w:r>
      <w:r w:rsidR="00BD3EF5" w:rsidRPr="00BD3EF5">
        <w:rPr>
          <w:rFonts w:asciiTheme="minorHAnsi" w:hAnsiTheme="minorHAnsi" w:cstheme="minorHAnsi"/>
          <w:sz w:val="24"/>
          <w:szCs w:val="24"/>
        </w:rPr>
        <w:t xml:space="preserve">) where reported sugary </w:t>
      </w:r>
      <w:r w:rsidR="008733F4">
        <w:rPr>
          <w:rFonts w:asciiTheme="minorHAnsi" w:hAnsiTheme="minorHAnsi" w:cstheme="minorHAnsi"/>
          <w:sz w:val="24"/>
          <w:szCs w:val="24"/>
        </w:rPr>
        <w:t>and drink consumption</w:t>
      </w:r>
      <w:r w:rsidR="00D85DBD">
        <w:rPr>
          <w:rFonts w:asciiTheme="minorHAnsi" w:hAnsiTheme="minorHAnsi" w:cstheme="minorHAnsi"/>
          <w:sz w:val="24"/>
          <w:szCs w:val="24"/>
        </w:rPr>
        <w:t xml:space="preserve"> (F</w:t>
      </w:r>
      <w:r w:rsidR="008733F4">
        <w:rPr>
          <w:rFonts w:asciiTheme="minorHAnsi" w:hAnsiTheme="minorHAnsi" w:cstheme="minorHAnsi"/>
          <w:sz w:val="24"/>
          <w:szCs w:val="24"/>
        </w:rPr>
        <w:t>igure 5</w:t>
      </w:r>
      <w:r w:rsidR="00D85DBD">
        <w:rPr>
          <w:rFonts w:asciiTheme="minorHAnsi" w:hAnsiTheme="minorHAnsi" w:cstheme="minorHAnsi"/>
          <w:sz w:val="24"/>
          <w:szCs w:val="24"/>
        </w:rPr>
        <w:t xml:space="preserve">), </w:t>
      </w:r>
      <w:r w:rsidR="008733F4">
        <w:rPr>
          <w:rFonts w:asciiTheme="minorHAnsi" w:hAnsiTheme="minorHAnsi" w:cstheme="minorHAnsi"/>
          <w:sz w:val="24"/>
          <w:szCs w:val="24"/>
        </w:rPr>
        <w:t xml:space="preserve">and </w:t>
      </w:r>
      <w:r w:rsidR="00D85DBD">
        <w:rPr>
          <w:rFonts w:asciiTheme="minorHAnsi" w:hAnsiTheme="minorHAnsi" w:cstheme="minorHAnsi"/>
          <w:sz w:val="24"/>
          <w:szCs w:val="24"/>
        </w:rPr>
        <w:t>smoking prevalence is higher</w:t>
      </w:r>
      <w:r w:rsidR="000D134A">
        <w:rPr>
          <w:rStyle w:val="EndnoteReference"/>
          <w:rFonts w:asciiTheme="minorHAnsi" w:hAnsiTheme="minorHAnsi" w:cstheme="minorHAnsi"/>
          <w:sz w:val="24"/>
          <w:szCs w:val="24"/>
        </w:rPr>
        <w:endnoteReference w:id="39"/>
      </w:r>
      <w:r w:rsidR="00BD3EF5">
        <w:rPr>
          <w:rFonts w:asciiTheme="minorHAnsi" w:hAnsiTheme="minorHAnsi" w:cstheme="minorHAnsi"/>
          <w:sz w:val="24"/>
          <w:szCs w:val="24"/>
        </w:rPr>
        <w:t xml:space="preserve"> </w:t>
      </w:r>
      <w:r w:rsidR="00D85DBD">
        <w:rPr>
          <w:rFonts w:asciiTheme="minorHAnsi" w:hAnsiTheme="minorHAnsi" w:cstheme="minorHAnsi"/>
          <w:sz w:val="24"/>
          <w:szCs w:val="24"/>
        </w:rPr>
        <w:t xml:space="preserve">while </w:t>
      </w:r>
      <w:r w:rsidR="00BD3EF5">
        <w:rPr>
          <w:rFonts w:asciiTheme="minorHAnsi" w:hAnsiTheme="minorHAnsi" w:cstheme="minorHAnsi"/>
          <w:sz w:val="24"/>
          <w:szCs w:val="24"/>
        </w:rPr>
        <w:t xml:space="preserve">use of </w:t>
      </w:r>
      <w:r w:rsidR="008733F4">
        <w:rPr>
          <w:rFonts w:asciiTheme="minorHAnsi" w:hAnsiTheme="minorHAnsi" w:cstheme="minorHAnsi"/>
          <w:sz w:val="24"/>
          <w:szCs w:val="24"/>
        </w:rPr>
        <w:t xml:space="preserve">regular dental care </w:t>
      </w:r>
      <w:r w:rsidR="002C12E8">
        <w:rPr>
          <w:rFonts w:asciiTheme="minorHAnsi" w:hAnsiTheme="minorHAnsi" w:cstheme="minorHAnsi"/>
          <w:sz w:val="24"/>
          <w:szCs w:val="24"/>
        </w:rPr>
        <w:t>is</w:t>
      </w:r>
      <w:r w:rsidR="008733F4">
        <w:rPr>
          <w:rFonts w:asciiTheme="minorHAnsi" w:hAnsiTheme="minorHAnsi" w:cstheme="minorHAnsi"/>
          <w:sz w:val="24"/>
          <w:szCs w:val="24"/>
        </w:rPr>
        <w:t xml:space="preserve"> lower </w:t>
      </w:r>
      <w:r w:rsidR="00771075">
        <w:rPr>
          <w:rFonts w:asciiTheme="minorHAnsi" w:hAnsiTheme="minorHAnsi" w:cstheme="minorHAnsi"/>
          <w:sz w:val="24"/>
          <w:szCs w:val="24"/>
        </w:rPr>
        <w:t>(Figure 6</w:t>
      </w:r>
      <w:r w:rsidR="00D85DBD">
        <w:rPr>
          <w:rFonts w:asciiTheme="minorHAnsi" w:hAnsiTheme="minorHAnsi" w:cstheme="minorHAnsi"/>
          <w:sz w:val="24"/>
          <w:szCs w:val="24"/>
        </w:rPr>
        <w:t xml:space="preserve">). </w:t>
      </w:r>
      <w:r w:rsidR="00D85DBD" w:rsidRPr="00D85DBD">
        <w:rPr>
          <w:rFonts w:asciiTheme="minorHAnsi" w:hAnsiTheme="minorHAnsi" w:cstheme="minorHAnsi"/>
          <w:sz w:val="24"/>
          <w:szCs w:val="24"/>
        </w:rPr>
        <w:t xml:space="preserve">25.9% and 30.9% of </w:t>
      </w:r>
      <w:r w:rsidR="00D85DBD">
        <w:rPr>
          <w:rFonts w:asciiTheme="minorHAnsi" w:hAnsiTheme="minorHAnsi" w:cstheme="minorHAnsi"/>
          <w:sz w:val="24"/>
          <w:szCs w:val="24"/>
        </w:rPr>
        <w:t>adults</w:t>
      </w:r>
      <w:r w:rsidR="00D85DBD" w:rsidRPr="00D85DBD">
        <w:rPr>
          <w:rFonts w:asciiTheme="minorHAnsi" w:hAnsiTheme="minorHAnsi" w:cstheme="minorHAnsi"/>
          <w:sz w:val="24"/>
          <w:szCs w:val="24"/>
        </w:rPr>
        <w:t xml:space="preserve"> living in the most deprived and next deprived quintile areas respectively reported that they have not had a dental ‘check-up’ for more than three years</w:t>
      </w:r>
      <w:r w:rsidR="008733F4">
        <w:rPr>
          <w:rFonts w:asciiTheme="minorHAnsi" w:hAnsiTheme="minorHAnsi" w:cstheme="minorHAnsi"/>
          <w:sz w:val="24"/>
          <w:szCs w:val="24"/>
        </w:rPr>
        <w:t xml:space="preserve"> (Figure 6</w:t>
      </w:r>
      <w:r w:rsidR="00D85DBD">
        <w:rPr>
          <w:rFonts w:asciiTheme="minorHAnsi" w:hAnsiTheme="minorHAnsi" w:cstheme="minorHAnsi"/>
          <w:sz w:val="24"/>
          <w:szCs w:val="24"/>
        </w:rPr>
        <w:t>)</w:t>
      </w:r>
      <w:r w:rsidR="00D85DBD" w:rsidRPr="00D85DBD">
        <w:rPr>
          <w:rFonts w:asciiTheme="minorHAnsi" w:hAnsiTheme="minorHAnsi" w:cstheme="minorHAnsi"/>
          <w:sz w:val="24"/>
          <w:szCs w:val="24"/>
        </w:rPr>
        <w:t>.</w:t>
      </w:r>
    </w:p>
    <w:p w14:paraId="448E3BDF" w14:textId="04BF970F" w:rsidR="005870C0" w:rsidRDefault="005870C0" w:rsidP="00F8725A">
      <w:pPr>
        <w:spacing w:line="276" w:lineRule="auto"/>
        <w:ind w:left="567"/>
        <w:jc w:val="both"/>
        <w:rPr>
          <w:rFonts w:asciiTheme="minorHAnsi" w:hAnsiTheme="minorHAnsi" w:cstheme="minorHAnsi"/>
          <w:b/>
          <w:sz w:val="24"/>
          <w:szCs w:val="24"/>
        </w:rPr>
      </w:pPr>
    </w:p>
    <w:p w14:paraId="02124E8D" w14:textId="77777777" w:rsidR="00AB6152" w:rsidRDefault="00AB6152" w:rsidP="00F8725A">
      <w:pPr>
        <w:spacing w:line="276" w:lineRule="auto"/>
        <w:ind w:left="567"/>
        <w:jc w:val="both"/>
        <w:rPr>
          <w:rFonts w:asciiTheme="minorHAnsi" w:hAnsiTheme="minorHAnsi" w:cstheme="minorHAnsi"/>
          <w:b/>
          <w:sz w:val="24"/>
          <w:szCs w:val="24"/>
        </w:rPr>
      </w:pPr>
    </w:p>
    <w:p w14:paraId="2C1FDAF2" w14:textId="77777777" w:rsidR="00AB6152" w:rsidRDefault="00AB6152" w:rsidP="00F8725A">
      <w:pPr>
        <w:spacing w:line="276" w:lineRule="auto"/>
        <w:ind w:left="567"/>
        <w:jc w:val="both"/>
        <w:rPr>
          <w:rFonts w:asciiTheme="minorHAnsi" w:hAnsiTheme="minorHAnsi" w:cstheme="minorHAnsi"/>
          <w:b/>
          <w:sz w:val="24"/>
          <w:szCs w:val="24"/>
        </w:rPr>
      </w:pPr>
    </w:p>
    <w:p w14:paraId="23FE9179" w14:textId="77777777" w:rsidR="00AB6152" w:rsidRDefault="00AB6152" w:rsidP="00F8725A">
      <w:pPr>
        <w:spacing w:line="276" w:lineRule="auto"/>
        <w:ind w:left="567"/>
        <w:jc w:val="both"/>
        <w:rPr>
          <w:rFonts w:asciiTheme="minorHAnsi" w:hAnsiTheme="minorHAnsi" w:cstheme="minorHAnsi"/>
          <w:b/>
          <w:sz w:val="24"/>
          <w:szCs w:val="24"/>
        </w:rPr>
      </w:pPr>
    </w:p>
    <w:p w14:paraId="49D3425F" w14:textId="77777777" w:rsidR="00AB6152" w:rsidRDefault="00AB6152" w:rsidP="00F8725A">
      <w:pPr>
        <w:spacing w:line="276" w:lineRule="auto"/>
        <w:ind w:left="567"/>
        <w:jc w:val="both"/>
        <w:rPr>
          <w:rFonts w:asciiTheme="minorHAnsi" w:hAnsiTheme="minorHAnsi" w:cstheme="minorHAnsi"/>
          <w:b/>
          <w:sz w:val="24"/>
          <w:szCs w:val="24"/>
        </w:rPr>
      </w:pPr>
    </w:p>
    <w:p w14:paraId="19C2C5BB" w14:textId="592A60DF" w:rsidR="00FA7F85" w:rsidRPr="00FA7F85" w:rsidRDefault="00FA7F85" w:rsidP="00F8725A">
      <w:pPr>
        <w:spacing w:line="276" w:lineRule="auto"/>
        <w:ind w:left="567"/>
        <w:jc w:val="both"/>
        <w:rPr>
          <w:rFonts w:asciiTheme="minorHAnsi" w:hAnsiTheme="minorHAnsi" w:cstheme="minorHAnsi"/>
          <w:b/>
          <w:sz w:val="24"/>
          <w:szCs w:val="24"/>
        </w:rPr>
      </w:pPr>
      <w:r>
        <w:rPr>
          <w:rFonts w:asciiTheme="minorHAnsi" w:hAnsiTheme="minorHAnsi" w:cstheme="minorHAnsi"/>
          <w:b/>
          <w:sz w:val="24"/>
          <w:szCs w:val="24"/>
        </w:rPr>
        <w:lastRenderedPageBreak/>
        <w:t>Figur</w:t>
      </w:r>
      <w:r w:rsidR="008733F4">
        <w:rPr>
          <w:rFonts w:asciiTheme="minorHAnsi" w:hAnsiTheme="minorHAnsi" w:cstheme="minorHAnsi"/>
          <w:b/>
          <w:sz w:val="24"/>
          <w:szCs w:val="24"/>
        </w:rPr>
        <w:t>e 4</w:t>
      </w:r>
      <w:r>
        <w:rPr>
          <w:rFonts w:asciiTheme="minorHAnsi" w:hAnsiTheme="minorHAnsi" w:cstheme="minorHAnsi"/>
          <w:b/>
          <w:sz w:val="24"/>
          <w:szCs w:val="24"/>
        </w:rPr>
        <w:t xml:space="preserve">: </w:t>
      </w:r>
      <w:r w:rsidRPr="00FA7F85">
        <w:rPr>
          <w:rFonts w:asciiTheme="minorHAnsi" w:hAnsiTheme="minorHAnsi" w:cstheme="minorHAnsi"/>
          <w:b/>
          <w:sz w:val="24"/>
          <w:szCs w:val="24"/>
        </w:rPr>
        <w:t>Self-reported oral health by deprivation</w:t>
      </w:r>
    </w:p>
    <w:p w14:paraId="3D15DA1F" w14:textId="59C472CA" w:rsidR="00FA7F85" w:rsidRDefault="00FA7F85" w:rsidP="00F8725A">
      <w:pPr>
        <w:spacing w:line="276" w:lineRule="auto"/>
        <w:ind w:left="567"/>
        <w:jc w:val="both"/>
        <w:rPr>
          <w:rFonts w:asciiTheme="minorHAnsi" w:hAnsiTheme="minorHAnsi" w:cstheme="minorHAnsi"/>
          <w:sz w:val="24"/>
          <w:szCs w:val="24"/>
        </w:rPr>
      </w:pPr>
    </w:p>
    <w:p w14:paraId="6421DE93" w14:textId="06AA89E0" w:rsidR="00FA7F85" w:rsidRDefault="00FA7F85" w:rsidP="00F8725A">
      <w:pPr>
        <w:spacing w:line="276" w:lineRule="auto"/>
        <w:ind w:left="567"/>
        <w:jc w:val="both"/>
        <w:rPr>
          <w:rFonts w:asciiTheme="minorHAnsi" w:hAnsiTheme="minorHAnsi" w:cstheme="minorHAnsi"/>
          <w:sz w:val="24"/>
          <w:szCs w:val="24"/>
        </w:rPr>
      </w:pPr>
      <w:r>
        <w:rPr>
          <w:noProof/>
          <w:lang w:eastAsia="en-GB"/>
        </w:rPr>
        <w:drawing>
          <wp:inline distT="0" distB="0" distL="0" distR="0" wp14:anchorId="5778190F" wp14:editId="2F15D795">
            <wp:extent cx="5731510" cy="1685290"/>
            <wp:effectExtent l="0" t="0" r="2540" b="0"/>
            <wp:docPr id="54" name="Chart 5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C3EC38" w14:textId="2879A03D" w:rsidR="00FA7F85" w:rsidRDefault="00FA7F85" w:rsidP="00F8725A">
      <w:pPr>
        <w:spacing w:line="276" w:lineRule="auto"/>
        <w:ind w:left="567"/>
        <w:jc w:val="both"/>
        <w:rPr>
          <w:rFonts w:asciiTheme="minorHAnsi" w:hAnsiTheme="minorHAnsi" w:cstheme="minorHAnsi"/>
          <w:sz w:val="24"/>
          <w:szCs w:val="24"/>
        </w:rPr>
      </w:pPr>
    </w:p>
    <w:p w14:paraId="5D050605" w14:textId="7C3FD48E" w:rsidR="00D64CEE" w:rsidRPr="00756870" w:rsidRDefault="00D64CEE" w:rsidP="00F8725A">
      <w:pPr>
        <w:spacing w:line="276" w:lineRule="auto"/>
        <w:ind w:left="567"/>
        <w:jc w:val="both"/>
        <w:rPr>
          <w:rFonts w:asciiTheme="minorHAnsi" w:hAnsiTheme="minorHAnsi" w:cstheme="minorHAnsi"/>
          <w:b/>
          <w:sz w:val="24"/>
          <w:szCs w:val="24"/>
        </w:rPr>
      </w:pPr>
      <w:r w:rsidRPr="00756870">
        <w:rPr>
          <w:rFonts w:asciiTheme="minorHAnsi" w:hAnsiTheme="minorHAnsi" w:cstheme="minorHAnsi"/>
          <w:b/>
          <w:sz w:val="24"/>
          <w:szCs w:val="24"/>
        </w:rPr>
        <w:t xml:space="preserve">Figure </w:t>
      </w:r>
      <w:r w:rsidR="008733F4">
        <w:rPr>
          <w:rFonts w:asciiTheme="minorHAnsi" w:hAnsiTheme="minorHAnsi" w:cstheme="minorHAnsi"/>
          <w:b/>
          <w:sz w:val="24"/>
          <w:szCs w:val="24"/>
        </w:rPr>
        <w:t>5</w:t>
      </w:r>
      <w:r w:rsidRPr="00756870">
        <w:rPr>
          <w:rFonts w:asciiTheme="minorHAnsi" w:hAnsiTheme="minorHAnsi" w:cstheme="minorHAnsi"/>
          <w:b/>
          <w:sz w:val="24"/>
          <w:szCs w:val="24"/>
        </w:rPr>
        <w:t>: Consumption of sugary foods and drink by deprivation</w:t>
      </w:r>
    </w:p>
    <w:p w14:paraId="2FFABDDD" w14:textId="77777777" w:rsidR="00D64CEE" w:rsidRDefault="00D64CEE" w:rsidP="00F8725A">
      <w:pPr>
        <w:spacing w:line="276" w:lineRule="auto"/>
        <w:ind w:left="567"/>
        <w:jc w:val="both"/>
        <w:rPr>
          <w:rFonts w:asciiTheme="minorHAnsi" w:hAnsiTheme="minorHAnsi" w:cstheme="minorHAnsi"/>
          <w:sz w:val="24"/>
          <w:szCs w:val="24"/>
        </w:rPr>
      </w:pPr>
    </w:p>
    <w:p w14:paraId="2BD54347" w14:textId="2412453B" w:rsidR="00FA7F85" w:rsidRDefault="00D64CEE" w:rsidP="00F8725A">
      <w:pPr>
        <w:spacing w:line="276" w:lineRule="auto"/>
        <w:ind w:left="567"/>
        <w:jc w:val="both"/>
        <w:rPr>
          <w:rFonts w:asciiTheme="minorHAnsi" w:hAnsiTheme="minorHAnsi" w:cstheme="minorHAnsi"/>
          <w:sz w:val="24"/>
          <w:szCs w:val="24"/>
        </w:rPr>
      </w:pPr>
      <w:r w:rsidRPr="007010D6">
        <w:rPr>
          <w:rFonts w:ascii="Arial" w:hAnsi="Arial" w:cs="Arial"/>
          <w:noProof/>
          <w:lang w:eastAsia="en-GB"/>
        </w:rPr>
        <w:drawing>
          <wp:inline distT="0" distB="0" distL="0" distR="0" wp14:anchorId="6BF6A0B4" wp14:editId="702076C7">
            <wp:extent cx="5731510" cy="1695009"/>
            <wp:effectExtent l="0" t="0" r="2540" b="63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479D6F" w14:textId="1044EC93" w:rsidR="00D64CEE" w:rsidRDefault="00D64CEE" w:rsidP="00F8725A">
      <w:pPr>
        <w:spacing w:line="276" w:lineRule="auto"/>
        <w:ind w:left="567"/>
        <w:jc w:val="both"/>
        <w:rPr>
          <w:rFonts w:asciiTheme="minorHAnsi" w:hAnsiTheme="minorHAnsi" w:cstheme="minorHAnsi"/>
          <w:sz w:val="24"/>
          <w:szCs w:val="24"/>
        </w:rPr>
      </w:pPr>
    </w:p>
    <w:p w14:paraId="25E1731B" w14:textId="2BFDF1ED" w:rsidR="00D64CEE" w:rsidRDefault="00D64CEE" w:rsidP="00771075">
      <w:pPr>
        <w:spacing w:line="276" w:lineRule="auto"/>
        <w:jc w:val="both"/>
        <w:rPr>
          <w:rFonts w:asciiTheme="minorHAnsi" w:hAnsiTheme="minorHAnsi" w:cstheme="minorHAnsi"/>
          <w:sz w:val="24"/>
          <w:szCs w:val="24"/>
        </w:rPr>
      </w:pPr>
    </w:p>
    <w:p w14:paraId="7B0A17D0" w14:textId="51B2C382" w:rsidR="00012CAC" w:rsidRPr="00756870" w:rsidRDefault="00012CAC" w:rsidP="00F8725A">
      <w:pPr>
        <w:spacing w:line="276" w:lineRule="auto"/>
        <w:ind w:left="567"/>
        <w:jc w:val="both"/>
        <w:rPr>
          <w:rFonts w:asciiTheme="minorHAnsi" w:hAnsiTheme="minorHAnsi" w:cstheme="minorHAnsi"/>
          <w:b/>
          <w:sz w:val="24"/>
          <w:szCs w:val="24"/>
        </w:rPr>
      </w:pPr>
      <w:r w:rsidRPr="00756870">
        <w:rPr>
          <w:rFonts w:asciiTheme="minorHAnsi" w:hAnsiTheme="minorHAnsi" w:cstheme="minorHAnsi"/>
          <w:b/>
          <w:sz w:val="24"/>
          <w:szCs w:val="24"/>
        </w:rPr>
        <w:t>Figure</w:t>
      </w:r>
      <w:r w:rsidR="008733F4">
        <w:rPr>
          <w:rFonts w:asciiTheme="minorHAnsi" w:hAnsiTheme="minorHAnsi" w:cstheme="minorHAnsi"/>
          <w:b/>
          <w:sz w:val="24"/>
          <w:szCs w:val="24"/>
        </w:rPr>
        <w:t xml:space="preserve"> 6</w:t>
      </w:r>
      <w:r w:rsidRPr="00756870">
        <w:rPr>
          <w:rFonts w:asciiTheme="minorHAnsi" w:hAnsiTheme="minorHAnsi" w:cstheme="minorHAnsi"/>
          <w:b/>
          <w:sz w:val="24"/>
          <w:szCs w:val="24"/>
        </w:rPr>
        <w:t>: Frequency of routine dental check-ups by deprivation</w:t>
      </w:r>
    </w:p>
    <w:p w14:paraId="48CA33D2" w14:textId="13335473" w:rsidR="00FA7F85" w:rsidRDefault="00012CAC" w:rsidP="00F8725A">
      <w:pPr>
        <w:spacing w:line="276" w:lineRule="auto"/>
        <w:ind w:left="567"/>
        <w:jc w:val="both"/>
        <w:rPr>
          <w:rFonts w:asciiTheme="minorHAnsi" w:hAnsiTheme="minorHAnsi" w:cstheme="minorHAnsi"/>
          <w:sz w:val="24"/>
          <w:szCs w:val="24"/>
        </w:rPr>
      </w:pPr>
      <w:r w:rsidRPr="0012709E">
        <w:rPr>
          <w:rFonts w:ascii="Arial" w:hAnsi="Arial" w:cs="Arial"/>
          <w:noProof/>
          <w:sz w:val="24"/>
          <w:szCs w:val="24"/>
          <w:lang w:eastAsia="en-GB"/>
        </w:rPr>
        <w:drawing>
          <wp:inline distT="0" distB="0" distL="0" distR="0" wp14:anchorId="4F14E4F5" wp14:editId="52B481A4">
            <wp:extent cx="5731510" cy="1943611"/>
            <wp:effectExtent l="0" t="0" r="25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052F37" w14:textId="77777777" w:rsidR="00DB6C15" w:rsidRDefault="00DB6C15" w:rsidP="00F8725A">
      <w:pPr>
        <w:spacing w:after="240" w:line="276" w:lineRule="auto"/>
        <w:ind w:left="567"/>
        <w:jc w:val="both"/>
        <w:rPr>
          <w:rFonts w:asciiTheme="minorHAnsi" w:hAnsiTheme="minorHAnsi" w:cstheme="minorHAnsi"/>
          <w:b/>
          <w:sz w:val="24"/>
          <w:szCs w:val="24"/>
        </w:rPr>
      </w:pPr>
    </w:p>
    <w:p w14:paraId="3F97A5C1" w14:textId="7A1E99F4" w:rsidR="00D229BA" w:rsidRPr="00F8725A" w:rsidRDefault="00D85DBD" w:rsidP="00F8725A">
      <w:pPr>
        <w:spacing w:after="240" w:line="276" w:lineRule="auto"/>
        <w:ind w:left="567"/>
        <w:jc w:val="both"/>
        <w:rPr>
          <w:rFonts w:asciiTheme="minorHAnsi" w:hAnsiTheme="minorHAnsi" w:cstheme="minorHAnsi"/>
          <w:b/>
          <w:sz w:val="24"/>
          <w:szCs w:val="24"/>
        </w:rPr>
      </w:pPr>
      <w:r>
        <w:rPr>
          <w:rFonts w:asciiTheme="minorHAnsi" w:hAnsiTheme="minorHAnsi" w:cstheme="minorHAnsi"/>
          <w:b/>
          <w:sz w:val="24"/>
          <w:szCs w:val="24"/>
        </w:rPr>
        <w:t>6</w:t>
      </w:r>
      <w:r w:rsidR="005839E8" w:rsidRPr="00D229BA">
        <w:rPr>
          <w:rFonts w:asciiTheme="minorHAnsi" w:hAnsiTheme="minorHAnsi" w:cstheme="minorHAnsi"/>
          <w:b/>
          <w:sz w:val="24"/>
          <w:szCs w:val="24"/>
        </w:rPr>
        <w:t xml:space="preserve">. </w:t>
      </w:r>
      <w:r w:rsidR="00E62E80" w:rsidRPr="00D85DBD">
        <w:rPr>
          <w:rFonts w:asciiTheme="minorHAnsi" w:hAnsiTheme="minorHAnsi" w:cstheme="minorHAnsi"/>
          <w:b/>
          <w:sz w:val="24"/>
          <w:szCs w:val="24"/>
        </w:rPr>
        <w:t>Workforce challenges must be addressed to ensure sustainability of NHS Dentistry</w:t>
      </w:r>
    </w:p>
    <w:p w14:paraId="5A4AC921" w14:textId="247491EB" w:rsidR="00D229BA" w:rsidRDefault="003F1998" w:rsidP="00F8725A">
      <w:pPr>
        <w:spacing w:line="276" w:lineRule="auto"/>
        <w:ind w:left="567"/>
        <w:jc w:val="both"/>
        <w:rPr>
          <w:rFonts w:asciiTheme="minorHAnsi" w:hAnsiTheme="minorHAnsi" w:cstheme="minorHAnsi"/>
          <w:sz w:val="24"/>
          <w:szCs w:val="24"/>
        </w:rPr>
      </w:pPr>
      <w:r w:rsidRPr="003F1998">
        <w:rPr>
          <w:rFonts w:asciiTheme="minorHAnsi" w:hAnsiTheme="minorHAnsi" w:cstheme="minorHAnsi"/>
          <w:sz w:val="24"/>
          <w:szCs w:val="24"/>
        </w:rPr>
        <w:t>Ma</w:t>
      </w:r>
      <w:r w:rsidR="00771075">
        <w:rPr>
          <w:rFonts w:asciiTheme="minorHAnsi" w:hAnsiTheme="minorHAnsi" w:cstheme="minorHAnsi"/>
          <w:sz w:val="24"/>
          <w:szCs w:val="24"/>
        </w:rPr>
        <w:t>tching and forecasting the need</w:t>
      </w:r>
      <w:r w:rsidRPr="003F1998">
        <w:rPr>
          <w:rFonts w:asciiTheme="minorHAnsi" w:hAnsiTheme="minorHAnsi" w:cstheme="minorHAnsi"/>
          <w:sz w:val="24"/>
          <w:szCs w:val="24"/>
        </w:rPr>
        <w:t xml:space="preserve">, demand and supply of </w:t>
      </w:r>
      <w:r w:rsidR="009D54AD">
        <w:rPr>
          <w:rFonts w:asciiTheme="minorHAnsi" w:hAnsiTheme="minorHAnsi" w:cstheme="minorHAnsi"/>
          <w:sz w:val="24"/>
          <w:szCs w:val="24"/>
        </w:rPr>
        <w:t>healthcare</w:t>
      </w:r>
      <w:r w:rsidRPr="003F1998">
        <w:rPr>
          <w:rFonts w:asciiTheme="minorHAnsi" w:hAnsiTheme="minorHAnsi" w:cstheme="minorHAnsi"/>
          <w:sz w:val="24"/>
          <w:szCs w:val="24"/>
        </w:rPr>
        <w:t xml:space="preserve"> workers are complex</w:t>
      </w:r>
      <w:r w:rsidR="00DB6C15">
        <w:rPr>
          <w:rFonts w:asciiTheme="minorHAnsi" w:hAnsiTheme="minorHAnsi" w:cstheme="minorHAnsi"/>
          <w:sz w:val="24"/>
          <w:szCs w:val="24"/>
        </w:rPr>
        <w:t xml:space="preserve"> activities</w:t>
      </w:r>
      <w:r w:rsidRPr="003F1998">
        <w:rPr>
          <w:rFonts w:asciiTheme="minorHAnsi" w:hAnsiTheme="minorHAnsi" w:cstheme="minorHAnsi"/>
          <w:sz w:val="24"/>
          <w:szCs w:val="24"/>
        </w:rPr>
        <w:t xml:space="preserve"> in any context.</w:t>
      </w:r>
      <w:r>
        <w:rPr>
          <w:rFonts w:asciiTheme="minorHAnsi" w:hAnsiTheme="minorHAnsi" w:cstheme="minorHAnsi"/>
          <w:sz w:val="24"/>
          <w:szCs w:val="24"/>
        </w:rPr>
        <w:t xml:space="preserve"> </w:t>
      </w:r>
      <w:r w:rsidR="00D82380">
        <w:rPr>
          <w:rFonts w:asciiTheme="minorHAnsi" w:hAnsiTheme="minorHAnsi" w:cstheme="minorHAnsi"/>
          <w:sz w:val="24"/>
          <w:szCs w:val="24"/>
        </w:rPr>
        <w:t xml:space="preserve">It is even more complex following Brexit, </w:t>
      </w:r>
      <w:r w:rsidR="00DB6C15">
        <w:rPr>
          <w:rFonts w:asciiTheme="minorHAnsi" w:hAnsiTheme="minorHAnsi" w:cstheme="minorHAnsi"/>
          <w:sz w:val="24"/>
          <w:szCs w:val="24"/>
        </w:rPr>
        <w:t xml:space="preserve">the </w:t>
      </w:r>
      <w:r w:rsidR="00D82380">
        <w:rPr>
          <w:rFonts w:asciiTheme="minorHAnsi" w:hAnsiTheme="minorHAnsi" w:cstheme="minorHAnsi"/>
          <w:sz w:val="24"/>
          <w:szCs w:val="24"/>
        </w:rPr>
        <w:t>impact of COVID19</w:t>
      </w:r>
      <w:r w:rsidR="009D54AD">
        <w:rPr>
          <w:rFonts w:asciiTheme="minorHAnsi" w:hAnsiTheme="minorHAnsi" w:cstheme="minorHAnsi"/>
          <w:sz w:val="24"/>
          <w:szCs w:val="24"/>
        </w:rPr>
        <w:t xml:space="preserve"> pandemic on </w:t>
      </w:r>
      <w:r w:rsidR="00DB6C15">
        <w:rPr>
          <w:rFonts w:asciiTheme="minorHAnsi" w:hAnsiTheme="minorHAnsi" w:cstheme="minorHAnsi"/>
          <w:sz w:val="24"/>
          <w:szCs w:val="24"/>
        </w:rPr>
        <w:t xml:space="preserve">the </w:t>
      </w:r>
      <w:r w:rsidR="009D54AD">
        <w:rPr>
          <w:rFonts w:asciiTheme="minorHAnsi" w:hAnsiTheme="minorHAnsi" w:cstheme="minorHAnsi"/>
          <w:sz w:val="24"/>
          <w:szCs w:val="24"/>
        </w:rPr>
        <w:t>dental workforce</w:t>
      </w:r>
      <w:r w:rsidR="00DB6C15">
        <w:rPr>
          <w:rFonts w:asciiTheme="minorHAnsi" w:hAnsiTheme="minorHAnsi" w:cstheme="minorHAnsi"/>
          <w:sz w:val="24"/>
          <w:szCs w:val="24"/>
        </w:rPr>
        <w:t>,</w:t>
      </w:r>
      <w:r w:rsidR="00D82380">
        <w:rPr>
          <w:rFonts w:asciiTheme="minorHAnsi" w:hAnsiTheme="minorHAnsi" w:cstheme="minorHAnsi"/>
          <w:sz w:val="24"/>
          <w:szCs w:val="24"/>
        </w:rPr>
        <w:t xml:space="preserve"> and </w:t>
      </w:r>
      <w:r w:rsidR="00DB6C15">
        <w:rPr>
          <w:rFonts w:asciiTheme="minorHAnsi" w:hAnsiTheme="minorHAnsi" w:cstheme="minorHAnsi"/>
          <w:sz w:val="24"/>
          <w:szCs w:val="24"/>
        </w:rPr>
        <w:t xml:space="preserve">the </w:t>
      </w:r>
      <w:r w:rsidR="00D82380">
        <w:rPr>
          <w:rFonts w:asciiTheme="minorHAnsi" w:hAnsiTheme="minorHAnsi" w:cstheme="minorHAnsi"/>
          <w:sz w:val="24"/>
          <w:szCs w:val="24"/>
        </w:rPr>
        <w:t xml:space="preserve">complexities </w:t>
      </w:r>
      <w:r w:rsidR="009D54AD">
        <w:rPr>
          <w:rFonts w:asciiTheme="minorHAnsi" w:hAnsiTheme="minorHAnsi" w:cstheme="minorHAnsi"/>
          <w:sz w:val="24"/>
          <w:szCs w:val="24"/>
        </w:rPr>
        <w:t xml:space="preserve">of </w:t>
      </w:r>
      <w:r w:rsidR="00D82380">
        <w:rPr>
          <w:rFonts w:asciiTheme="minorHAnsi" w:hAnsiTheme="minorHAnsi" w:cstheme="minorHAnsi"/>
          <w:sz w:val="24"/>
          <w:szCs w:val="24"/>
        </w:rPr>
        <w:t>dental and wider primary care transformation in Wales. However, dental w</w:t>
      </w:r>
      <w:r w:rsidR="000222EE">
        <w:rPr>
          <w:rFonts w:asciiTheme="minorHAnsi" w:hAnsiTheme="minorHAnsi" w:cstheme="minorHAnsi"/>
          <w:sz w:val="24"/>
          <w:szCs w:val="24"/>
        </w:rPr>
        <w:t xml:space="preserve">orkforce </w:t>
      </w:r>
      <w:r w:rsidR="00DB6C15">
        <w:rPr>
          <w:rFonts w:asciiTheme="minorHAnsi" w:hAnsiTheme="minorHAnsi" w:cstheme="minorHAnsi"/>
          <w:sz w:val="24"/>
          <w:szCs w:val="24"/>
        </w:rPr>
        <w:t xml:space="preserve">situational </w:t>
      </w:r>
      <w:r w:rsidR="00DB6C15">
        <w:rPr>
          <w:rFonts w:asciiTheme="minorHAnsi" w:hAnsiTheme="minorHAnsi" w:cstheme="minorHAnsi"/>
          <w:sz w:val="24"/>
          <w:szCs w:val="24"/>
        </w:rPr>
        <w:lastRenderedPageBreak/>
        <w:t xml:space="preserve">analysis is needed </w:t>
      </w:r>
      <w:r w:rsidR="000222EE">
        <w:rPr>
          <w:rFonts w:asciiTheme="minorHAnsi" w:hAnsiTheme="minorHAnsi" w:cstheme="minorHAnsi"/>
          <w:sz w:val="24"/>
          <w:szCs w:val="24"/>
        </w:rPr>
        <w:t xml:space="preserve">to </w:t>
      </w:r>
      <w:r w:rsidRPr="003F1998">
        <w:rPr>
          <w:rFonts w:asciiTheme="minorHAnsi" w:hAnsiTheme="minorHAnsi" w:cstheme="minorHAnsi"/>
          <w:sz w:val="24"/>
          <w:szCs w:val="24"/>
        </w:rPr>
        <w:t xml:space="preserve">address the issues of </w:t>
      </w:r>
      <w:r w:rsidR="00285B01">
        <w:rPr>
          <w:rFonts w:asciiTheme="minorHAnsi" w:hAnsiTheme="minorHAnsi" w:cstheme="minorHAnsi"/>
          <w:sz w:val="24"/>
          <w:szCs w:val="24"/>
        </w:rPr>
        <w:t xml:space="preserve">educating, training, </w:t>
      </w:r>
      <w:r w:rsidRPr="003F1998">
        <w:rPr>
          <w:rFonts w:asciiTheme="minorHAnsi" w:hAnsiTheme="minorHAnsi" w:cstheme="minorHAnsi"/>
          <w:sz w:val="24"/>
          <w:szCs w:val="24"/>
        </w:rPr>
        <w:t xml:space="preserve">recruiting, distributing, retaining, </w:t>
      </w:r>
      <w:proofErr w:type="gramStart"/>
      <w:r w:rsidRPr="003F1998">
        <w:rPr>
          <w:rFonts w:asciiTheme="minorHAnsi" w:hAnsiTheme="minorHAnsi" w:cstheme="minorHAnsi"/>
          <w:sz w:val="24"/>
          <w:szCs w:val="24"/>
        </w:rPr>
        <w:t>motivating</w:t>
      </w:r>
      <w:proofErr w:type="gramEnd"/>
      <w:r w:rsidRPr="003F1998">
        <w:rPr>
          <w:rFonts w:asciiTheme="minorHAnsi" w:hAnsiTheme="minorHAnsi" w:cstheme="minorHAnsi"/>
          <w:sz w:val="24"/>
          <w:szCs w:val="24"/>
        </w:rPr>
        <w:t xml:space="preserve"> and managing the </w:t>
      </w:r>
      <w:r>
        <w:rPr>
          <w:rFonts w:asciiTheme="minorHAnsi" w:hAnsiTheme="minorHAnsi" w:cstheme="minorHAnsi"/>
          <w:sz w:val="24"/>
          <w:szCs w:val="24"/>
        </w:rPr>
        <w:t xml:space="preserve">overall oral health and dental care workforce in Wales. This </w:t>
      </w:r>
      <w:r w:rsidR="00285B01">
        <w:rPr>
          <w:rFonts w:asciiTheme="minorHAnsi" w:hAnsiTheme="minorHAnsi" w:cstheme="minorHAnsi"/>
          <w:sz w:val="24"/>
          <w:szCs w:val="24"/>
        </w:rPr>
        <w:t xml:space="preserve">also </w:t>
      </w:r>
      <w:r>
        <w:rPr>
          <w:rFonts w:asciiTheme="minorHAnsi" w:hAnsiTheme="minorHAnsi" w:cstheme="minorHAnsi"/>
          <w:sz w:val="24"/>
          <w:szCs w:val="24"/>
        </w:rPr>
        <w:t xml:space="preserve">includes </w:t>
      </w:r>
      <w:r w:rsidRPr="003F1998">
        <w:rPr>
          <w:rFonts w:asciiTheme="minorHAnsi" w:hAnsiTheme="minorHAnsi" w:cstheme="minorHAnsi"/>
          <w:sz w:val="24"/>
          <w:szCs w:val="24"/>
        </w:rPr>
        <w:t>improving the knowledge about</w:t>
      </w:r>
      <w:r w:rsidR="00DB6C15">
        <w:rPr>
          <w:rFonts w:asciiTheme="minorHAnsi" w:hAnsiTheme="minorHAnsi" w:cstheme="minorHAnsi"/>
          <w:sz w:val="24"/>
          <w:szCs w:val="24"/>
        </w:rPr>
        <w:t xml:space="preserve"> the</w:t>
      </w:r>
      <w:r w:rsidRPr="003F1998">
        <w:rPr>
          <w:rFonts w:asciiTheme="minorHAnsi" w:hAnsiTheme="minorHAnsi" w:cstheme="minorHAnsi"/>
          <w:sz w:val="24"/>
          <w:szCs w:val="24"/>
        </w:rPr>
        <w:t xml:space="preserve"> </w:t>
      </w:r>
      <w:r w:rsidR="000222EE">
        <w:rPr>
          <w:rFonts w:asciiTheme="minorHAnsi" w:hAnsiTheme="minorHAnsi" w:cstheme="minorHAnsi"/>
          <w:sz w:val="24"/>
          <w:szCs w:val="24"/>
        </w:rPr>
        <w:t>impact</w:t>
      </w:r>
      <w:r w:rsidR="00DB6C15">
        <w:rPr>
          <w:rFonts w:asciiTheme="minorHAnsi" w:hAnsiTheme="minorHAnsi" w:cstheme="minorHAnsi"/>
          <w:sz w:val="24"/>
          <w:szCs w:val="24"/>
        </w:rPr>
        <w:t>s</w:t>
      </w:r>
      <w:r w:rsidR="000222EE">
        <w:rPr>
          <w:rFonts w:asciiTheme="minorHAnsi" w:hAnsiTheme="minorHAnsi" w:cstheme="minorHAnsi"/>
          <w:sz w:val="24"/>
          <w:szCs w:val="24"/>
        </w:rPr>
        <w:t xml:space="preserve"> of </w:t>
      </w:r>
      <w:r w:rsidR="00D82380">
        <w:rPr>
          <w:rFonts w:asciiTheme="minorHAnsi" w:hAnsiTheme="minorHAnsi" w:cstheme="minorHAnsi"/>
          <w:sz w:val="24"/>
          <w:szCs w:val="24"/>
        </w:rPr>
        <w:t xml:space="preserve">Brexit, </w:t>
      </w:r>
      <w:r w:rsidR="00DB6C15">
        <w:rPr>
          <w:rFonts w:asciiTheme="minorHAnsi" w:hAnsiTheme="minorHAnsi" w:cstheme="minorHAnsi"/>
          <w:sz w:val="24"/>
          <w:szCs w:val="24"/>
        </w:rPr>
        <w:t xml:space="preserve">the </w:t>
      </w:r>
      <w:r w:rsidR="00285B01">
        <w:rPr>
          <w:rFonts w:asciiTheme="minorHAnsi" w:hAnsiTheme="minorHAnsi" w:cstheme="minorHAnsi"/>
          <w:sz w:val="24"/>
          <w:szCs w:val="24"/>
        </w:rPr>
        <w:t xml:space="preserve">pandemic, </w:t>
      </w:r>
      <w:r w:rsidR="00DB6C15">
        <w:rPr>
          <w:rFonts w:asciiTheme="minorHAnsi" w:hAnsiTheme="minorHAnsi" w:cstheme="minorHAnsi"/>
          <w:sz w:val="24"/>
          <w:szCs w:val="24"/>
        </w:rPr>
        <w:t xml:space="preserve">ongoing changes in </w:t>
      </w:r>
      <w:r w:rsidR="00D82380">
        <w:rPr>
          <w:rFonts w:asciiTheme="minorHAnsi" w:hAnsiTheme="minorHAnsi" w:cstheme="minorHAnsi"/>
          <w:sz w:val="24"/>
          <w:szCs w:val="24"/>
        </w:rPr>
        <w:t>NHS dentistry</w:t>
      </w:r>
      <w:r w:rsidR="00285B01">
        <w:rPr>
          <w:rFonts w:asciiTheme="minorHAnsi" w:hAnsiTheme="minorHAnsi" w:cstheme="minorHAnsi"/>
          <w:sz w:val="24"/>
          <w:szCs w:val="24"/>
        </w:rPr>
        <w:t xml:space="preserve"> and career aspirations of current and future workforce. </w:t>
      </w:r>
      <w:r w:rsidR="00D82380">
        <w:rPr>
          <w:rFonts w:asciiTheme="minorHAnsi" w:hAnsiTheme="minorHAnsi" w:cstheme="minorHAnsi"/>
          <w:sz w:val="24"/>
          <w:szCs w:val="24"/>
        </w:rPr>
        <w:t xml:space="preserve"> </w:t>
      </w:r>
    </w:p>
    <w:p w14:paraId="39685349" w14:textId="77777777" w:rsidR="00F8725A" w:rsidRDefault="00F8725A" w:rsidP="00F8725A">
      <w:pPr>
        <w:spacing w:line="276" w:lineRule="auto"/>
        <w:ind w:left="567"/>
        <w:jc w:val="both"/>
        <w:rPr>
          <w:rFonts w:asciiTheme="minorHAnsi" w:hAnsiTheme="minorHAnsi" w:cstheme="minorHAnsi"/>
          <w:sz w:val="24"/>
          <w:szCs w:val="24"/>
        </w:rPr>
      </w:pPr>
    </w:p>
    <w:p w14:paraId="7CCCA7AB" w14:textId="09F8F739" w:rsidR="000222EE" w:rsidRDefault="00D229BA" w:rsidP="00F8725A">
      <w:pPr>
        <w:spacing w:line="276" w:lineRule="auto"/>
        <w:ind w:left="567"/>
        <w:jc w:val="both"/>
        <w:rPr>
          <w:rFonts w:asciiTheme="minorHAnsi" w:hAnsiTheme="minorHAnsi" w:cstheme="minorHAnsi"/>
          <w:sz w:val="24"/>
          <w:szCs w:val="24"/>
        </w:rPr>
      </w:pPr>
      <w:r w:rsidRPr="00D229BA">
        <w:rPr>
          <w:rFonts w:asciiTheme="minorHAnsi" w:hAnsiTheme="minorHAnsi" w:cstheme="minorHAnsi"/>
          <w:sz w:val="24"/>
          <w:szCs w:val="24"/>
        </w:rPr>
        <w:t xml:space="preserve">Implementing </w:t>
      </w:r>
      <w:r>
        <w:rPr>
          <w:rFonts w:asciiTheme="minorHAnsi" w:hAnsiTheme="minorHAnsi" w:cstheme="minorHAnsi"/>
          <w:sz w:val="24"/>
          <w:szCs w:val="24"/>
        </w:rPr>
        <w:t xml:space="preserve">workforce </w:t>
      </w:r>
      <w:r w:rsidRPr="00D229BA">
        <w:rPr>
          <w:rFonts w:asciiTheme="minorHAnsi" w:hAnsiTheme="minorHAnsi" w:cstheme="minorHAnsi"/>
          <w:sz w:val="24"/>
          <w:szCs w:val="24"/>
        </w:rPr>
        <w:t>strategies in a flexible manner, based on careful monitoring, is key to responding to changing needs</w:t>
      </w:r>
      <w:r>
        <w:rPr>
          <w:rFonts w:asciiTheme="minorHAnsi" w:hAnsiTheme="minorHAnsi" w:cstheme="minorHAnsi"/>
          <w:sz w:val="24"/>
          <w:szCs w:val="24"/>
        </w:rPr>
        <w:t xml:space="preserve"> and dynamic context</w:t>
      </w:r>
      <w:r w:rsidRPr="00D229BA">
        <w:rPr>
          <w:rFonts w:asciiTheme="minorHAnsi" w:hAnsiTheme="minorHAnsi" w:cstheme="minorHAnsi"/>
          <w:sz w:val="24"/>
          <w:szCs w:val="24"/>
        </w:rPr>
        <w:t>. A</w:t>
      </w:r>
      <w:r w:rsidR="00D82380">
        <w:rPr>
          <w:rFonts w:asciiTheme="minorHAnsi" w:hAnsiTheme="minorHAnsi" w:cstheme="minorHAnsi"/>
          <w:sz w:val="24"/>
          <w:szCs w:val="24"/>
        </w:rPr>
        <w:t>ny dental</w:t>
      </w:r>
      <w:r w:rsidRPr="00D229BA">
        <w:rPr>
          <w:rFonts w:asciiTheme="minorHAnsi" w:hAnsiTheme="minorHAnsi" w:cstheme="minorHAnsi"/>
          <w:sz w:val="24"/>
          <w:szCs w:val="24"/>
        </w:rPr>
        <w:t xml:space="preserve"> workforce plan</w:t>
      </w:r>
      <w:r w:rsidR="00DB6C15">
        <w:rPr>
          <w:rFonts w:asciiTheme="minorHAnsi" w:hAnsiTheme="minorHAnsi" w:cstheme="minorHAnsi"/>
          <w:sz w:val="24"/>
          <w:szCs w:val="24"/>
        </w:rPr>
        <w:t xml:space="preserve"> that is linked to </w:t>
      </w:r>
      <w:r w:rsidR="00D82380">
        <w:rPr>
          <w:rFonts w:asciiTheme="minorHAnsi" w:hAnsiTheme="minorHAnsi" w:cstheme="minorHAnsi"/>
          <w:sz w:val="24"/>
          <w:szCs w:val="24"/>
        </w:rPr>
        <w:t>oral health and dental service improvement</w:t>
      </w:r>
      <w:r w:rsidRPr="00D229BA">
        <w:rPr>
          <w:rFonts w:asciiTheme="minorHAnsi" w:hAnsiTheme="minorHAnsi" w:cstheme="minorHAnsi"/>
          <w:sz w:val="24"/>
          <w:szCs w:val="24"/>
        </w:rPr>
        <w:t xml:space="preserve"> should not be regarded as a “one-off” creation that is not open to adaption and change; rather, it must be tested and revised as and when necessary. </w:t>
      </w:r>
      <w:r>
        <w:rPr>
          <w:rFonts w:asciiTheme="minorHAnsi" w:hAnsiTheme="minorHAnsi" w:cstheme="minorHAnsi"/>
          <w:sz w:val="24"/>
          <w:szCs w:val="24"/>
        </w:rPr>
        <w:t>Ongoing m</w:t>
      </w:r>
      <w:r w:rsidRPr="00D229BA">
        <w:rPr>
          <w:rFonts w:asciiTheme="minorHAnsi" w:hAnsiTheme="minorHAnsi" w:cstheme="minorHAnsi"/>
          <w:sz w:val="24"/>
          <w:szCs w:val="24"/>
        </w:rPr>
        <w:t>onitoring</w:t>
      </w:r>
      <w:r>
        <w:rPr>
          <w:rFonts w:asciiTheme="minorHAnsi" w:hAnsiTheme="minorHAnsi" w:cstheme="minorHAnsi"/>
          <w:sz w:val="24"/>
          <w:szCs w:val="24"/>
        </w:rPr>
        <w:t xml:space="preserve"> of workforce situation</w:t>
      </w:r>
      <w:r w:rsidRPr="00D229BA">
        <w:rPr>
          <w:rFonts w:asciiTheme="minorHAnsi" w:hAnsiTheme="minorHAnsi" w:cstheme="minorHAnsi"/>
          <w:sz w:val="24"/>
          <w:szCs w:val="24"/>
        </w:rPr>
        <w:t xml:space="preserve"> is essenti</w:t>
      </w:r>
      <w:r w:rsidR="00DB6C15">
        <w:rPr>
          <w:rFonts w:asciiTheme="minorHAnsi" w:hAnsiTheme="minorHAnsi" w:cstheme="minorHAnsi"/>
          <w:sz w:val="24"/>
          <w:szCs w:val="24"/>
        </w:rPr>
        <w:t xml:space="preserve">al to adjust interventions to </w:t>
      </w:r>
      <w:r w:rsidRPr="00D229BA">
        <w:rPr>
          <w:rFonts w:asciiTheme="minorHAnsi" w:hAnsiTheme="minorHAnsi" w:cstheme="minorHAnsi"/>
          <w:sz w:val="24"/>
          <w:szCs w:val="24"/>
        </w:rPr>
        <w:t xml:space="preserve">changing </w:t>
      </w:r>
      <w:r w:rsidR="00285B01">
        <w:rPr>
          <w:rFonts w:asciiTheme="minorHAnsi" w:hAnsiTheme="minorHAnsi" w:cstheme="minorHAnsi"/>
          <w:sz w:val="24"/>
          <w:szCs w:val="24"/>
        </w:rPr>
        <w:t>contextual factors</w:t>
      </w:r>
      <w:r>
        <w:rPr>
          <w:rFonts w:asciiTheme="minorHAnsi" w:hAnsiTheme="minorHAnsi" w:cstheme="minorHAnsi"/>
          <w:sz w:val="24"/>
          <w:szCs w:val="24"/>
        </w:rPr>
        <w:t xml:space="preserve">. </w:t>
      </w:r>
    </w:p>
    <w:p w14:paraId="0107D181" w14:textId="4433353B" w:rsidR="005839E8" w:rsidRPr="005839E8" w:rsidRDefault="005839E8" w:rsidP="00F8725A">
      <w:pPr>
        <w:spacing w:line="276" w:lineRule="auto"/>
        <w:ind w:left="567"/>
        <w:jc w:val="both"/>
        <w:rPr>
          <w:rFonts w:ascii="Calibri" w:eastAsia="Calibri" w:hAnsi="Calibri" w:cs="Times New Roman"/>
        </w:rPr>
      </w:pPr>
    </w:p>
    <w:p w14:paraId="5A286225" w14:textId="43D5E27E" w:rsidR="006D469B" w:rsidRPr="007422E0" w:rsidRDefault="00DB6C15" w:rsidP="00F8725A">
      <w:pPr>
        <w:spacing w:line="276" w:lineRule="auto"/>
        <w:ind w:left="567"/>
        <w:jc w:val="both"/>
        <w:rPr>
          <w:rFonts w:asciiTheme="minorHAnsi" w:hAnsiTheme="minorHAnsi" w:cstheme="minorHAnsi"/>
          <w:sz w:val="24"/>
          <w:szCs w:val="24"/>
        </w:rPr>
      </w:pPr>
      <w:r>
        <w:rPr>
          <w:rFonts w:asciiTheme="minorHAnsi" w:hAnsiTheme="minorHAnsi" w:cstheme="minorHAnsi"/>
          <w:sz w:val="24"/>
          <w:szCs w:val="24"/>
        </w:rPr>
        <w:t>Oral</w:t>
      </w:r>
      <w:r w:rsidR="00D229BA" w:rsidRPr="007422E0">
        <w:rPr>
          <w:rFonts w:asciiTheme="minorHAnsi" w:hAnsiTheme="minorHAnsi" w:cstheme="minorHAnsi"/>
          <w:sz w:val="24"/>
          <w:szCs w:val="24"/>
        </w:rPr>
        <w:t xml:space="preserve"> health of the popula</w:t>
      </w:r>
      <w:r>
        <w:rPr>
          <w:rFonts w:asciiTheme="minorHAnsi" w:hAnsiTheme="minorHAnsi" w:cstheme="minorHAnsi"/>
          <w:sz w:val="24"/>
          <w:szCs w:val="24"/>
        </w:rPr>
        <w:t>tion has been improving over</w:t>
      </w:r>
      <w:r w:rsidR="00D229BA" w:rsidRPr="007422E0">
        <w:rPr>
          <w:rFonts w:asciiTheme="minorHAnsi" w:hAnsiTheme="minorHAnsi" w:cstheme="minorHAnsi"/>
          <w:sz w:val="24"/>
          <w:szCs w:val="24"/>
        </w:rPr>
        <w:t xml:space="preserve"> many decades. </w:t>
      </w:r>
      <w:r w:rsidR="00D82380" w:rsidRPr="007422E0">
        <w:rPr>
          <w:rFonts w:asciiTheme="minorHAnsi" w:hAnsiTheme="minorHAnsi" w:cstheme="minorHAnsi"/>
          <w:sz w:val="24"/>
          <w:szCs w:val="24"/>
        </w:rPr>
        <w:t xml:space="preserve">Despite this, there </w:t>
      </w:r>
      <w:r w:rsidR="005839E8" w:rsidRPr="007422E0">
        <w:rPr>
          <w:rFonts w:asciiTheme="minorHAnsi" w:hAnsiTheme="minorHAnsi" w:cstheme="minorHAnsi"/>
          <w:sz w:val="24"/>
          <w:szCs w:val="24"/>
        </w:rPr>
        <w:t>remain</w:t>
      </w:r>
      <w:r w:rsidR="00D82380" w:rsidRPr="007422E0">
        <w:rPr>
          <w:rFonts w:asciiTheme="minorHAnsi" w:hAnsiTheme="minorHAnsi" w:cstheme="minorHAnsi"/>
          <w:sz w:val="24"/>
          <w:szCs w:val="24"/>
        </w:rPr>
        <w:t xml:space="preserve">s </w:t>
      </w:r>
      <w:r w:rsidR="005839E8" w:rsidRPr="007422E0">
        <w:rPr>
          <w:rFonts w:asciiTheme="minorHAnsi" w:hAnsiTheme="minorHAnsi" w:cstheme="minorHAnsi"/>
          <w:sz w:val="24"/>
          <w:szCs w:val="24"/>
        </w:rPr>
        <w:t xml:space="preserve">substantive areas of </w:t>
      </w:r>
      <w:r w:rsidR="006D469B" w:rsidRPr="007422E0">
        <w:rPr>
          <w:rFonts w:asciiTheme="minorHAnsi" w:hAnsiTheme="minorHAnsi" w:cstheme="minorHAnsi"/>
          <w:sz w:val="24"/>
          <w:szCs w:val="24"/>
        </w:rPr>
        <w:t xml:space="preserve">oral </w:t>
      </w:r>
      <w:r>
        <w:rPr>
          <w:rFonts w:asciiTheme="minorHAnsi" w:hAnsiTheme="minorHAnsi" w:cstheme="minorHAnsi"/>
          <w:sz w:val="24"/>
          <w:szCs w:val="24"/>
        </w:rPr>
        <w:t>health inequality</w:t>
      </w:r>
      <w:r w:rsidR="00285B01" w:rsidRPr="007422E0">
        <w:rPr>
          <w:rFonts w:asciiTheme="minorHAnsi" w:hAnsiTheme="minorHAnsi" w:cstheme="minorHAnsi"/>
          <w:sz w:val="24"/>
          <w:szCs w:val="24"/>
        </w:rPr>
        <w:t xml:space="preserve"> as highlighted in the previous section. </w:t>
      </w:r>
      <w:r w:rsidR="005839E8" w:rsidRPr="007422E0">
        <w:rPr>
          <w:rFonts w:asciiTheme="minorHAnsi" w:hAnsiTheme="minorHAnsi" w:cstheme="minorHAnsi"/>
          <w:sz w:val="24"/>
          <w:szCs w:val="24"/>
        </w:rPr>
        <w:t xml:space="preserve">This suggests that developing a needs-based workforce planning model is essential, particularly if the objectives of the Future Generations Act </w:t>
      </w:r>
      <w:r w:rsidR="007422E0">
        <w:rPr>
          <w:rFonts w:asciiTheme="minorHAnsi" w:hAnsiTheme="minorHAnsi" w:cstheme="minorHAnsi"/>
          <w:sz w:val="24"/>
          <w:szCs w:val="24"/>
        </w:rPr>
        <w:t>were</w:t>
      </w:r>
      <w:r w:rsidR="005839E8" w:rsidRPr="007422E0">
        <w:rPr>
          <w:rFonts w:asciiTheme="minorHAnsi" w:hAnsiTheme="minorHAnsi" w:cstheme="minorHAnsi"/>
          <w:sz w:val="24"/>
          <w:szCs w:val="24"/>
        </w:rPr>
        <w:t xml:space="preserve"> to be </w:t>
      </w:r>
      <w:r w:rsidR="00773F47" w:rsidRPr="007422E0">
        <w:rPr>
          <w:rFonts w:asciiTheme="minorHAnsi" w:hAnsiTheme="minorHAnsi" w:cstheme="minorHAnsi"/>
          <w:sz w:val="24"/>
          <w:szCs w:val="24"/>
        </w:rPr>
        <w:t>delivered.</w:t>
      </w:r>
      <w:r w:rsidR="00B27E08">
        <w:rPr>
          <w:rFonts w:asciiTheme="minorHAnsi" w:hAnsiTheme="minorHAnsi" w:cstheme="minorHAnsi"/>
          <w:sz w:val="24"/>
          <w:szCs w:val="24"/>
        </w:rPr>
        <w:t xml:space="preserve"> Innovative incentives and service models may need to be tested to attract different dental team members to work in different areas in Wales.</w:t>
      </w:r>
    </w:p>
    <w:p w14:paraId="6396E18B" w14:textId="77777777" w:rsidR="006D469B" w:rsidRPr="007422E0" w:rsidRDefault="006D469B" w:rsidP="00F8725A">
      <w:pPr>
        <w:spacing w:line="276" w:lineRule="auto"/>
        <w:ind w:left="567"/>
        <w:jc w:val="both"/>
        <w:rPr>
          <w:rFonts w:asciiTheme="minorHAnsi" w:hAnsiTheme="minorHAnsi" w:cstheme="minorHAnsi"/>
          <w:sz w:val="24"/>
          <w:szCs w:val="24"/>
        </w:rPr>
      </w:pPr>
    </w:p>
    <w:p w14:paraId="23FCF15F" w14:textId="5E1F2AD5" w:rsidR="005839E8" w:rsidRPr="00F8725A" w:rsidRDefault="005839E8" w:rsidP="00F8725A">
      <w:pPr>
        <w:spacing w:line="276" w:lineRule="auto"/>
        <w:ind w:left="567"/>
        <w:jc w:val="both"/>
        <w:rPr>
          <w:rFonts w:asciiTheme="minorHAnsi" w:eastAsia="Calibri" w:hAnsiTheme="minorHAnsi" w:cs="Times New Roman"/>
          <w:sz w:val="24"/>
          <w:szCs w:val="24"/>
        </w:rPr>
      </w:pPr>
      <w:r w:rsidRPr="00F8725A">
        <w:rPr>
          <w:rFonts w:asciiTheme="minorHAnsi" w:eastAsia="Calibri" w:hAnsiTheme="minorHAnsi" w:cs="Times New Roman"/>
          <w:sz w:val="24"/>
          <w:szCs w:val="24"/>
        </w:rPr>
        <w:t xml:space="preserve">A recent study suggests that many patients who attended </w:t>
      </w:r>
      <w:r w:rsidR="00D82380" w:rsidRPr="00F8725A">
        <w:rPr>
          <w:rFonts w:asciiTheme="minorHAnsi" w:eastAsia="Calibri" w:hAnsiTheme="minorHAnsi" w:cs="Times New Roman"/>
          <w:sz w:val="24"/>
          <w:szCs w:val="24"/>
        </w:rPr>
        <w:t>NHS dental practices</w:t>
      </w:r>
      <w:r w:rsidRPr="00F8725A">
        <w:rPr>
          <w:rFonts w:asciiTheme="minorHAnsi" w:eastAsia="Calibri" w:hAnsiTheme="minorHAnsi" w:cs="Times New Roman"/>
          <w:sz w:val="24"/>
          <w:szCs w:val="24"/>
        </w:rPr>
        <w:t xml:space="preserve"> prior to COVID</w:t>
      </w:r>
      <w:r w:rsidR="00773F47" w:rsidRPr="00F8725A">
        <w:rPr>
          <w:rFonts w:asciiTheme="minorHAnsi" w:eastAsia="Calibri" w:hAnsiTheme="minorHAnsi" w:cs="Times New Roman"/>
          <w:sz w:val="24"/>
          <w:szCs w:val="24"/>
        </w:rPr>
        <w:t>19 pandemic</w:t>
      </w:r>
      <w:r w:rsidRPr="00F8725A">
        <w:rPr>
          <w:rFonts w:asciiTheme="minorHAnsi" w:eastAsia="Calibri" w:hAnsiTheme="minorHAnsi" w:cs="Times New Roman"/>
          <w:sz w:val="24"/>
          <w:szCs w:val="24"/>
        </w:rPr>
        <w:t xml:space="preserve"> were assessed as having </w:t>
      </w:r>
      <w:r w:rsidR="00D82380" w:rsidRPr="00F8725A">
        <w:rPr>
          <w:rFonts w:asciiTheme="minorHAnsi" w:eastAsia="Calibri" w:hAnsiTheme="minorHAnsi" w:cs="Times New Roman"/>
          <w:sz w:val="24"/>
          <w:szCs w:val="24"/>
        </w:rPr>
        <w:t>low risk with no need for dental care</w:t>
      </w:r>
      <w:r w:rsidRPr="00F8725A">
        <w:rPr>
          <w:rFonts w:asciiTheme="minorHAnsi" w:eastAsia="Calibri" w:hAnsiTheme="minorHAnsi" w:cs="Times New Roman"/>
          <w:sz w:val="24"/>
          <w:szCs w:val="24"/>
        </w:rPr>
        <w:t>.</w:t>
      </w:r>
      <w:r w:rsidR="00773F47" w:rsidRPr="00F8725A">
        <w:rPr>
          <w:rStyle w:val="EndnoteReference"/>
          <w:rFonts w:asciiTheme="minorHAnsi" w:eastAsia="Calibri" w:hAnsiTheme="minorHAnsi" w:cs="Times New Roman"/>
          <w:sz w:val="24"/>
          <w:szCs w:val="24"/>
        </w:rPr>
        <w:endnoteReference w:id="40"/>
      </w:r>
      <w:r w:rsidRPr="00F8725A">
        <w:rPr>
          <w:rFonts w:asciiTheme="minorHAnsi" w:eastAsia="Calibri" w:hAnsiTheme="minorHAnsi" w:cs="Times New Roman"/>
          <w:sz w:val="24"/>
          <w:szCs w:val="24"/>
        </w:rPr>
        <w:t xml:space="preserve"> Given this and the lag between the start of training and the provision of supply in the dental profession, it is important to take a needs-based approach to workforce planning in order to increase the level of prevention, provide appropriate service provision and reduce future health inequalities.</w:t>
      </w:r>
    </w:p>
    <w:p w14:paraId="39C48322" w14:textId="77777777" w:rsidR="005839E8" w:rsidRPr="00F8725A" w:rsidRDefault="005839E8" w:rsidP="00F8725A">
      <w:pPr>
        <w:spacing w:line="276" w:lineRule="auto"/>
        <w:ind w:left="567"/>
        <w:jc w:val="both"/>
        <w:rPr>
          <w:rFonts w:asciiTheme="minorHAnsi" w:eastAsia="Calibri" w:hAnsiTheme="minorHAnsi" w:cs="Times New Roman"/>
          <w:sz w:val="24"/>
          <w:szCs w:val="24"/>
        </w:rPr>
      </w:pPr>
    </w:p>
    <w:p w14:paraId="1E1E6583" w14:textId="77777777" w:rsidR="00543AD1" w:rsidRPr="00F8725A" w:rsidRDefault="005839E8" w:rsidP="00F8725A">
      <w:pPr>
        <w:spacing w:line="276" w:lineRule="auto"/>
        <w:ind w:left="567"/>
        <w:jc w:val="both"/>
        <w:rPr>
          <w:rFonts w:asciiTheme="minorHAnsi" w:eastAsia="Calibri" w:hAnsiTheme="minorHAnsi" w:cs="Times New Roman"/>
          <w:sz w:val="24"/>
          <w:szCs w:val="24"/>
        </w:rPr>
      </w:pPr>
      <w:r w:rsidRPr="00F8725A">
        <w:rPr>
          <w:rFonts w:asciiTheme="minorHAnsi" w:eastAsia="Calibri" w:hAnsiTheme="minorHAnsi" w:cs="Times New Roman"/>
          <w:sz w:val="24"/>
          <w:szCs w:val="24"/>
        </w:rPr>
        <w:t>Prudent Healthcare argues for the greater use of ‘skill-mix’. In NHS Dentistry, this is limited by the legal confines of the current contract, as Dental Therapists and Dental Hygienists are not allowed to open an NHS treatment plan. This is in contrast to the position taken by their regulator (General Dental Council), who allows them to provide examinations and undertake treatment (</w:t>
      </w:r>
      <w:proofErr w:type="gramStart"/>
      <w:r w:rsidRPr="00F8725A">
        <w:rPr>
          <w:rFonts w:asciiTheme="minorHAnsi" w:eastAsia="Calibri" w:hAnsiTheme="minorHAnsi" w:cs="Times New Roman"/>
          <w:sz w:val="24"/>
          <w:szCs w:val="24"/>
        </w:rPr>
        <w:t>e.g.</w:t>
      </w:r>
      <w:proofErr w:type="gramEnd"/>
      <w:r w:rsidRPr="00F8725A">
        <w:rPr>
          <w:rFonts w:asciiTheme="minorHAnsi" w:eastAsia="Calibri" w:hAnsiTheme="minorHAnsi" w:cs="Times New Roman"/>
          <w:sz w:val="24"/>
          <w:szCs w:val="24"/>
        </w:rPr>
        <w:t xml:space="preserve"> Dental Therapists can provide fillings)</w:t>
      </w:r>
      <w:r w:rsidR="00543AD1" w:rsidRPr="00F8725A">
        <w:rPr>
          <w:rFonts w:asciiTheme="minorHAnsi" w:eastAsia="Calibri" w:hAnsiTheme="minorHAnsi" w:cs="Times New Roman"/>
          <w:sz w:val="24"/>
          <w:szCs w:val="24"/>
        </w:rPr>
        <w:t xml:space="preserve"> within their scope of practice</w:t>
      </w:r>
      <w:r w:rsidRPr="00F8725A">
        <w:rPr>
          <w:rFonts w:asciiTheme="minorHAnsi" w:eastAsia="Calibri" w:hAnsiTheme="minorHAnsi" w:cs="Times New Roman"/>
          <w:sz w:val="24"/>
          <w:szCs w:val="24"/>
        </w:rPr>
        <w:t xml:space="preserve">. Equally, their current supply is limited. </w:t>
      </w:r>
    </w:p>
    <w:p w14:paraId="33A6CE2D" w14:textId="77777777" w:rsidR="00543AD1" w:rsidRPr="00F8725A" w:rsidRDefault="00543AD1" w:rsidP="00F8725A">
      <w:pPr>
        <w:spacing w:line="276" w:lineRule="auto"/>
        <w:ind w:left="567"/>
        <w:jc w:val="both"/>
        <w:rPr>
          <w:rFonts w:asciiTheme="minorHAnsi" w:eastAsia="Calibri" w:hAnsiTheme="minorHAnsi" w:cs="Times New Roman"/>
          <w:sz w:val="24"/>
          <w:szCs w:val="24"/>
        </w:rPr>
      </w:pPr>
    </w:p>
    <w:p w14:paraId="42E7887B" w14:textId="41A8021D" w:rsidR="005839E8" w:rsidRPr="00F8725A" w:rsidRDefault="005839E8" w:rsidP="00F8725A">
      <w:pPr>
        <w:spacing w:line="276" w:lineRule="auto"/>
        <w:ind w:left="567"/>
        <w:jc w:val="both"/>
        <w:rPr>
          <w:rFonts w:asciiTheme="minorHAnsi" w:eastAsia="Calibri" w:hAnsiTheme="minorHAnsi" w:cs="Times New Roman"/>
          <w:sz w:val="24"/>
          <w:szCs w:val="24"/>
        </w:rPr>
      </w:pPr>
      <w:r w:rsidRPr="00F8725A">
        <w:rPr>
          <w:rFonts w:asciiTheme="minorHAnsi" w:eastAsia="Calibri" w:hAnsiTheme="minorHAnsi" w:cs="Times New Roman"/>
          <w:sz w:val="24"/>
          <w:szCs w:val="24"/>
        </w:rPr>
        <w:t>Future workforce planning that places a focus on prevention, increasing access and the reduction of inequality must ac</w:t>
      </w:r>
      <w:r w:rsidR="00DB6C15">
        <w:rPr>
          <w:rFonts w:asciiTheme="minorHAnsi" w:eastAsia="Calibri" w:hAnsiTheme="minorHAnsi" w:cs="Times New Roman"/>
          <w:sz w:val="24"/>
          <w:szCs w:val="24"/>
        </w:rPr>
        <w:t xml:space="preserve">count for the potential for </w:t>
      </w:r>
      <w:r w:rsidRPr="00F8725A">
        <w:rPr>
          <w:rFonts w:asciiTheme="minorHAnsi" w:eastAsia="Calibri" w:hAnsiTheme="minorHAnsi" w:cs="Times New Roman"/>
          <w:sz w:val="24"/>
          <w:szCs w:val="24"/>
        </w:rPr>
        <w:t>expansion of these roles</w:t>
      </w:r>
      <w:r w:rsidR="008902AC" w:rsidRPr="00F8725A">
        <w:rPr>
          <w:rFonts w:asciiTheme="minorHAnsi" w:eastAsia="Calibri" w:hAnsiTheme="minorHAnsi" w:cs="Times New Roman"/>
          <w:sz w:val="24"/>
          <w:szCs w:val="24"/>
        </w:rPr>
        <w:t xml:space="preserve">. </w:t>
      </w:r>
      <w:r w:rsidRPr="00F8725A">
        <w:rPr>
          <w:rFonts w:asciiTheme="minorHAnsi" w:eastAsia="Calibri" w:hAnsiTheme="minorHAnsi" w:cs="Times New Roman"/>
          <w:sz w:val="24"/>
          <w:szCs w:val="24"/>
        </w:rPr>
        <w:t xml:space="preserve"> In 2021, a stud</w:t>
      </w:r>
      <w:r w:rsidR="00F8725A">
        <w:rPr>
          <w:rFonts w:asciiTheme="minorHAnsi" w:eastAsia="Calibri" w:hAnsiTheme="minorHAnsi" w:cs="Times New Roman"/>
          <w:sz w:val="24"/>
          <w:szCs w:val="24"/>
        </w:rPr>
        <w:t>y showed no difference between dental t</w:t>
      </w:r>
      <w:r w:rsidRPr="00F8725A">
        <w:rPr>
          <w:rFonts w:asciiTheme="minorHAnsi" w:eastAsia="Calibri" w:hAnsiTheme="minorHAnsi" w:cs="Times New Roman"/>
          <w:sz w:val="24"/>
          <w:szCs w:val="24"/>
        </w:rPr>
        <w:t>herapists and dentists in the care of patients within an NHS service contex</w:t>
      </w:r>
      <w:r w:rsidR="00771075">
        <w:rPr>
          <w:rFonts w:asciiTheme="minorHAnsi" w:eastAsia="Calibri" w:hAnsiTheme="minorHAnsi" w:cs="Times New Roman"/>
          <w:sz w:val="24"/>
          <w:szCs w:val="24"/>
        </w:rPr>
        <w:t xml:space="preserve">t over a </w:t>
      </w:r>
      <w:proofErr w:type="gramStart"/>
      <w:r w:rsidR="00771075">
        <w:rPr>
          <w:rFonts w:asciiTheme="minorHAnsi" w:eastAsia="Calibri" w:hAnsiTheme="minorHAnsi" w:cs="Times New Roman"/>
          <w:sz w:val="24"/>
          <w:szCs w:val="24"/>
        </w:rPr>
        <w:t>15 month</w:t>
      </w:r>
      <w:proofErr w:type="gramEnd"/>
      <w:r w:rsidR="008902AC" w:rsidRPr="00F8725A">
        <w:rPr>
          <w:rFonts w:asciiTheme="minorHAnsi" w:eastAsia="Calibri" w:hAnsiTheme="minorHAnsi" w:cs="Times New Roman"/>
          <w:sz w:val="24"/>
          <w:szCs w:val="24"/>
        </w:rPr>
        <w:t xml:space="preserve"> </w:t>
      </w:r>
      <w:r w:rsidRPr="00F8725A">
        <w:rPr>
          <w:rFonts w:asciiTheme="minorHAnsi" w:eastAsia="Calibri" w:hAnsiTheme="minorHAnsi" w:cs="Times New Roman"/>
          <w:sz w:val="24"/>
          <w:szCs w:val="24"/>
        </w:rPr>
        <w:t>period.</w:t>
      </w:r>
      <w:r w:rsidR="008D5667" w:rsidRPr="00F8725A">
        <w:rPr>
          <w:rStyle w:val="EndnoteReference"/>
          <w:rFonts w:asciiTheme="minorHAnsi" w:eastAsia="Calibri" w:hAnsiTheme="minorHAnsi" w:cs="Times New Roman"/>
          <w:sz w:val="24"/>
          <w:szCs w:val="24"/>
        </w:rPr>
        <w:endnoteReference w:id="41"/>
      </w:r>
      <w:r w:rsidRPr="00F8725A">
        <w:rPr>
          <w:rFonts w:asciiTheme="minorHAnsi" w:eastAsia="Calibri" w:hAnsiTheme="minorHAnsi" w:cs="Times New Roman"/>
          <w:sz w:val="24"/>
          <w:szCs w:val="24"/>
        </w:rPr>
        <w:t xml:space="preserve"> This adds to the evidence base for their use.</w:t>
      </w:r>
      <w:r w:rsidR="008D5667" w:rsidRPr="00F8725A">
        <w:rPr>
          <w:rStyle w:val="EndnoteReference"/>
          <w:rFonts w:asciiTheme="minorHAnsi" w:eastAsia="Calibri" w:hAnsiTheme="minorHAnsi" w:cs="Times New Roman"/>
          <w:sz w:val="24"/>
          <w:szCs w:val="24"/>
        </w:rPr>
        <w:endnoteReference w:id="42"/>
      </w:r>
      <w:r w:rsidR="006E65AE">
        <w:rPr>
          <w:rFonts w:asciiTheme="minorHAnsi" w:eastAsia="Calibri" w:hAnsiTheme="minorHAnsi" w:cs="Times New Roman"/>
          <w:sz w:val="24"/>
          <w:szCs w:val="24"/>
        </w:rPr>
        <w:t>,</w:t>
      </w:r>
      <w:r w:rsidR="008D5667" w:rsidRPr="00F8725A">
        <w:rPr>
          <w:rFonts w:asciiTheme="minorHAnsi" w:eastAsia="Calibri" w:hAnsiTheme="minorHAnsi" w:cs="Times New Roman"/>
          <w:sz w:val="24"/>
          <w:szCs w:val="24"/>
        </w:rPr>
        <w:t xml:space="preserve"> </w:t>
      </w:r>
      <w:r w:rsidR="008D5667" w:rsidRPr="00F8725A">
        <w:rPr>
          <w:rStyle w:val="EndnoteReference"/>
          <w:rFonts w:asciiTheme="minorHAnsi" w:eastAsia="Calibri" w:hAnsiTheme="minorHAnsi" w:cs="Times New Roman"/>
          <w:sz w:val="24"/>
          <w:szCs w:val="24"/>
        </w:rPr>
        <w:endnoteReference w:id="43"/>
      </w:r>
      <w:r w:rsidR="00F8725A">
        <w:rPr>
          <w:rFonts w:asciiTheme="minorHAnsi" w:eastAsia="Calibri" w:hAnsiTheme="minorHAnsi" w:cs="Times New Roman"/>
          <w:sz w:val="24"/>
          <w:szCs w:val="24"/>
        </w:rPr>
        <w:t xml:space="preserve"> </w:t>
      </w:r>
      <w:r w:rsidRPr="00F8725A">
        <w:rPr>
          <w:rFonts w:asciiTheme="minorHAnsi" w:eastAsia="Calibri" w:hAnsiTheme="minorHAnsi" w:cs="Times New Roman"/>
          <w:sz w:val="24"/>
          <w:szCs w:val="24"/>
        </w:rPr>
        <w:t>Dental Therapists are also now integrated into the Dental Epidemiological Programme for Wales, where they undertake examinations as part of the oral health surveillance funct</w:t>
      </w:r>
      <w:r w:rsidR="00DB6C15">
        <w:rPr>
          <w:rFonts w:asciiTheme="minorHAnsi" w:eastAsia="Calibri" w:hAnsiTheme="minorHAnsi" w:cs="Times New Roman"/>
          <w:sz w:val="24"/>
          <w:szCs w:val="24"/>
        </w:rPr>
        <w:t>ion within Public Health Wales.</w:t>
      </w:r>
      <w:r w:rsidRPr="00F8725A">
        <w:rPr>
          <w:rFonts w:asciiTheme="minorHAnsi" w:eastAsia="Calibri" w:hAnsiTheme="minorHAnsi" w:cs="Times New Roman"/>
          <w:sz w:val="24"/>
          <w:szCs w:val="24"/>
        </w:rPr>
        <w:t xml:space="preserve"> Their training </w:t>
      </w:r>
      <w:r w:rsidRPr="00F8725A">
        <w:rPr>
          <w:rFonts w:asciiTheme="minorHAnsi" w:eastAsia="Calibri" w:hAnsiTheme="minorHAnsi" w:cs="Times New Roman"/>
          <w:sz w:val="24"/>
          <w:szCs w:val="24"/>
        </w:rPr>
        <w:lastRenderedPageBreak/>
        <w:t>time of three</w:t>
      </w:r>
      <w:r w:rsidR="00771075">
        <w:rPr>
          <w:rFonts w:asciiTheme="minorHAnsi" w:eastAsia="Calibri" w:hAnsiTheme="minorHAnsi" w:cs="Times New Roman"/>
          <w:sz w:val="24"/>
          <w:szCs w:val="24"/>
        </w:rPr>
        <w:t xml:space="preserve"> </w:t>
      </w:r>
      <w:r w:rsidRPr="00F8725A">
        <w:rPr>
          <w:rFonts w:asciiTheme="minorHAnsi" w:eastAsia="Calibri" w:hAnsiTheme="minorHAnsi" w:cs="Times New Roman"/>
          <w:sz w:val="24"/>
          <w:szCs w:val="24"/>
        </w:rPr>
        <w:t>years as opposed to five</w:t>
      </w:r>
      <w:r w:rsidR="00771075">
        <w:rPr>
          <w:rFonts w:asciiTheme="minorHAnsi" w:eastAsia="Calibri" w:hAnsiTheme="minorHAnsi" w:cs="Times New Roman"/>
          <w:sz w:val="24"/>
          <w:szCs w:val="24"/>
        </w:rPr>
        <w:t xml:space="preserve"> </w:t>
      </w:r>
      <w:r w:rsidRPr="00F8725A">
        <w:rPr>
          <w:rFonts w:asciiTheme="minorHAnsi" w:eastAsia="Calibri" w:hAnsiTheme="minorHAnsi" w:cs="Times New Roman"/>
          <w:sz w:val="24"/>
          <w:szCs w:val="24"/>
        </w:rPr>
        <w:t xml:space="preserve">years for a dentist, could dramatically increase </w:t>
      </w:r>
      <w:r w:rsidR="00C119F4">
        <w:rPr>
          <w:rFonts w:asciiTheme="minorHAnsi" w:eastAsia="Calibri" w:hAnsiTheme="minorHAnsi" w:cs="Times New Roman"/>
          <w:sz w:val="24"/>
          <w:szCs w:val="24"/>
        </w:rPr>
        <w:t xml:space="preserve">supply of workforce in shorter timeframe, increase </w:t>
      </w:r>
      <w:r w:rsidRPr="00F8725A">
        <w:rPr>
          <w:rFonts w:asciiTheme="minorHAnsi" w:eastAsia="Calibri" w:hAnsiTheme="minorHAnsi" w:cs="Times New Roman"/>
          <w:sz w:val="24"/>
          <w:szCs w:val="24"/>
        </w:rPr>
        <w:t>both the level of prevention and service provision, whilst concomitantly addressing the call from the World Health Organisation.</w:t>
      </w:r>
      <w:r w:rsidR="00C119F4">
        <w:rPr>
          <w:rFonts w:asciiTheme="minorHAnsi" w:eastAsia="Calibri" w:hAnsiTheme="minorHAnsi" w:cs="Times New Roman"/>
          <w:sz w:val="24"/>
          <w:szCs w:val="24"/>
          <w:vertAlign w:val="superscript"/>
        </w:rPr>
        <w:t>30</w:t>
      </w:r>
      <w:r w:rsidR="00C119F4">
        <w:rPr>
          <w:rFonts w:asciiTheme="minorHAnsi" w:eastAsia="Calibri" w:hAnsiTheme="minorHAnsi" w:cs="Times New Roman"/>
          <w:sz w:val="24"/>
          <w:szCs w:val="24"/>
        </w:rPr>
        <w:t xml:space="preserve"> </w:t>
      </w:r>
    </w:p>
    <w:p w14:paraId="04D42F75" w14:textId="77777777" w:rsidR="005839E8" w:rsidRPr="00F8725A" w:rsidRDefault="005839E8" w:rsidP="00F8725A">
      <w:pPr>
        <w:spacing w:line="276" w:lineRule="auto"/>
        <w:ind w:left="567"/>
        <w:jc w:val="both"/>
        <w:rPr>
          <w:rFonts w:asciiTheme="minorHAnsi" w:hAnsiTheme="minorHAnsi" w:cstheme="minorHAnsi"/>
          <w:sz w:val="24"/>
          <w:szCs w:val="24"/>
        </w:rPr>
      </w:pPr>
    </w:p>
    <w:p w14:paraId="4B63AF04" w14:textId="14FD4D52" w:rsidR="00CF7725" w:rsidRDefault="00012CAC" w:rsidP="00F8725A">
      <w:pPr>
        <w:spacing w:line="276" w:lineRule="auto"/>
        <w:ind w:left="567"/>
        <w:jc w:val="both"/>
        <w:rPr>
          <w:rFonts w:asciiTheme="minorHAnsi" w:hAnsiTheme="minorHAnsi" w:cstheme="minorHAnsi"/>
          <w:sz w:val="24"/>
          <w:szCs w:val="24"/>
        </w:rPr>
      </w:pPr>
      <w:proofErr w:type="gramStart"/>
      <w:r w:rsidRPr="00F8725A">
        <w:rPr>
          <w:rFonts w:asciiTheme="minorHAnsi" w:hAnsiTheme="minorHAnsi" w:cstheme="minorHAnsi"/>
          <w:sz w:val="24"/>
          <w:szCs w:val="24"/>
        </w:rPr>
        <w:t>Overall</w:t>
      </w:r>
      <w:proofErr w:type="gramEnd"/>
      <w:r w:rsidRPr="00F8725A">
        <w:rPr>
          <w:rFonts w:asciiTheme="minorHAnsi" w:hAnsiTheme="minorHAnsi" w:cstheme="minorHAnsi"/>
          <w:sz w:val="24"/>
          <w:szCs w:val="24"/>
        </w:rPr>
        <w:t xml:space="preserve"> there is </w:t>
      </w:r>
      <w:r w:rsidR="00C119F4">
        <w:rPr>
          <w:rFonts w:asciiTheme="minorHAnsi" w:hAnsiTheme="minorHAnsi" w:cstheme="minorHAnsi"/>
          <w:sz w:val="24"/>
          <w:szCs w:val="24"/>
        </w:rPr>
        <w:t xml:space="preserve">good </w:t>
      </w:r>
      <w:r w:rsidRPr="00F8725A">
        <w:rPr>
          <w:rFonts w:asciiTheme="minorHAnsi" w:hAnsiTheme="minorHAnsi" w:cstheme="minorHAnsi"/>
          <w:sz w:val="24"/>
          <w:szCs w:val="24"/>
        </w:rPr>
        <w:t>public support for greater use of skill mix in NHS dentistry in Wales.</w:t>
      </w:r>
      <w:r w:rsidR="008902AC" w:rsidRPr="00F8725A">
        <w:rPr>
          <w:rFonts w:asciiTheme="minorHAnsi" w:hAnsiTheme="minorHAnsi" w:cstheme="minorHAnsi"/>
          <w:sz w:val="24"/>
          <w:szCs w:val="24"/>
          <w:vertAlign w:val="superscript"/>
        </w:rPr>
        <w:t>33</w:t>
      </w:r>
      <w:r w:rsidRPr="00F8725A">
        <w:rPr>
          <w:rFonts w:asciiTheme="minorHAnsi" w:hAnsiTheme="minorHAnsi" w:cstheme="minorHAnsi"/>
          <w:sz w:val="24"/>
          <w:szCs w:val="24"/>
        </w:rPr>
        <w:t xml:space="preserve"> However, </w:t>
      </w:r>
      <w:r w:rsidR="00C119F4">
        <w:rPr>
          <w:rFonts w:asciiTheme="minorHAnsi" w:hAnsiTheme="minorHAnsi" w:cstheme="minorHAnsi"/>
          <w:sz w:val="24"/>
          <w:szCs w:val="24"/>
        </w:rPr>
        <w:t xml:space="preserve">further work is needed because </w:t>
      </w:r>
      <w:r w:rsidRPr="00F8725A">
        <w:rPr>
          <w:rFonts w:asciiTheme="minorHAnsi" w:hAnsiTheme="minorHAnsi" w:cstheme="minorHAnsi"/>
          <w:sz w:val="24"/>
          <w:szCs w:val="24"/>
        </w:rPr>
        <w:t xml:space="preserve">there </w:t>
      </w:r>
      <w:r w:rsidR="00111353" w:rsidRPr="00F8725A">
        <w:rPr>
          <w:rFonts w:asciiTheme="minorHAnsi" w:hAnsiTheme="minorHAnsi" w:cstheme="minorHAnsi"/>
          <w:sz w:val="24"/>
          <w:szCs w:val="24"/>
        </w:rPr>
        <w:t xml:space="preserve">seems to be a </w:t>
      </w:r>
      <w:r w:rsidRPr="00F8725A">
        <w:rPr>
          <w:rFonts w:asciiTheme="minorHAnsi" w:hAnsiTheme="minorHAnsi" w:cstheme="minorHAnsi"/>
          <w:sz w:val="24"/>
          <w:szCs w:val="24"/>
        </w:rPr>
        <w:t xml:space="preserve">still significant </w:t>
      </w:r>
      <w:r w:rsidR="008902AC" w:rsidRPr="00F8725A">
        <w:rPr>
          <w:rFonts w:asciiTheme="minorHAnsi" w:hAnsiTheme="minorHAnsi" w:cstheme="minorHAnsi"/>
          <w:sz w:val="24"/>
          <w:szCs w:val="24"/>
        </w:rPr>
        <w:t xml:space="preserve">proportion of public </w:t>
      </w:r>
      <w:r w:rsidR="00111353" w:rsidRPr="00F8725A">
        <w:rPr>
          <w:rFonts w:asciiTheme="minorHAnsi" w:hAnsiTheme="minorHAnsi" w:cstheme="minorHAnsi"/>
          <w:sz w:val="24"/>
          <w:szCs w:val="24"/>
        </w:rPr>
        <w:t>who would want their dental care to be exclusively delivered by a dentist.</w:t>
      </w:r>
      <w:r w:rsidR="00111353">
        <w:rPr>
          <w:rFonts w:asciiTheme="minorHAnsi" w:hAnsiTheme="minorHAnsi" w:cstheme="minorHAnsi"/>
          <w:sz w:val="24"/>
          <w:szCs w:val="24"/>
        </w:rPr>
        <w:t xml:space="preserve"> </w:t>
      </w:r>
    </w:p>
    <w:p w14:paraId="681556A6" w14:textId="45F70021" w:rsidR="00012CAC" w:rsidRDefault="00012CAC" w:rsidP="00F8725A">
      <w:pPr>
        <w:spacing w:line="276" w:lineRule="auto"/>
        <w:ind w:left="567"/>
        <w:jc w:val="both"/>
        <w:rPr>
          <w:rFonts w:asciiTheme="minorHAnsi" w:hAnsiTheme="minorHAnsi" w:cstheme="minorHAnsi"/>
          <w:sz w:val="24"/>
          <w:szCs w:val="24"/>
        </w:rPr>
      </w:pPr>
    </w:p>
    <w:p w14:paraId="2FCCDB57" w14:textId="573A16AF" w:rsidR="00111353" w:rsidRDefault="008902AC" w:rsidP="00F8725A">
      <w:pPr>
        <w:spacing w:line="276" w:lineRule="auto"/>
        <w:ind w:left="567"/>
        <w:jc w:val="both"/>
        <w:rPr>
          <w:rFonts w:asciiTheme="minorHAnsi" w:hAnsiTheme="minorHAnsi" w:cstheme="minorHAnsi"/>
          <w:sz w:val="24"/>
          <w:szCs w:val="24"/>
        </w:rPr>
      </w:pPr>
      <w:r w:rsidRPr="00F8725A">
        <w:rPr>
          <w:rFonts w:asciiTheme="minorHAnsi" w:hAnsiTheme="minorHAnsi" w:cstheme="minorHAnsi"/>
          <w:b/>
          <w:sz w:val="24"/>
          <w:szCs w:val="24"/>
        </w:rPr>
        <w:t>Table2</w:t>
      </w:r>
      <w:r w:rsidR="00111353" w:rsidRPr="00F8725A">
        <w:rPr>
          <w:rFonts w:asciiTheme="minorHAnsi" w:hAnsiTheme="minorHAnsi" w:cstheme="minorHAnsi"/>
          <w:b/>
          <w:sz w:val="24"/>
          <w:szCs w:val="24"/>
        </w:rPr>
        <w:t>:</w:t>
      </w:r>
      <w:r w:rsidR="00111353">
        <w:rPr>
          <w:rFonts w:asciiTheme="minorHAnsi" w:hAnsiTheme="minorHAnsi" w:cstheme="minorHAnsi"/>
          <w:sz w:val="24"/>
          <w:szCs w:val="24"/>
        </w:rPr>
        <w:t xml:space="preserve"> </w:t>
      </w:r>
      <w:r w:rsidR="00111353" w:rsidRPr="00111353">
        <w:rPr>
          <w:rFonts w:asciiTheme="minorHAnsi" w:hAnsiTheme="minorHAnsi" w:cstheme="minorHAnsi"/>
          <w:b/>
          <w:sz w:val="24"/>
          <w:szCs w:val="24"/>
        </w:rPr>
        <w:t>NHS (and mixed) dental service users’ response to being seen and treated by a trained member of the dental team other than a dentist</w:t>
      </w:r>
    </w:p>
    <w:tbl>
      <w:tblPr>
        <w:tblStyle w:val="TableGrid"/>
        <w:tblW w:w="8364" w:type="dxa"/>
        <w:tblInd w:w="562" w:type="dxa"/>
        <w:tblLook w:val="04A0" w:firstRow="1" w:lastRow="0" w:firstColumn="1" w:lastColumn="0" w:noHBand="0" w:noVBand="1"/>
      </w:tblPr>
      <w:tblGrid>
        <w:gridCol w:w="6460"/>
        <w:gridCol w:w="1904"/>
      </w:tblGrid>
      <w:tr w:rsidR="00012CAC" w:rsidRPr="00012CAC" w14:paraId="6EF8840C" w14:textId="77777777" w:rsidTr="00C119F4">
        <w:tc>
          <w:tcPr>
            <w:tcW w:w="6460" w:type="dxa"/>
            <w:shd w:val="clear" w:color="auto" w:fill="E2EFD9" w:themeFill="accent6" w:themeFillTint="33"/>
          </w:tcPr>
          <w:p w14:paraId="3927B353" w14:textId="77777777" w:rsidR="00012CAC" w:rsidRPr="00012CAC" w:rsidRDefault="00012CAC" w:rsidP="00F8725A">
            <w:pPr>
              <w:spacing w:line="276" w:lineRule="auto"/>
              <w:ind w:left="567"/>
              <w:jc w:val="both"/>
              <w:rPr>
                <w:rFonts w:asciiTheme="minorHAnsi" w:hAnsiTheme="minorHAnsi" w:cstheme="minorHAnsi"/>
                <w:b/>
                <w:sz w:val="24"/>
                <w:szCs w:val="24"/>
              </w:rPr>
            </w:pPr>
          </w:p>
        </w:tc>
        <w:tc>
          <w:tcPr>
            <w:tcW w:w="1904" w:type="dxa"/>
            <w:shd w:val="clear" w:color="auto" w:fill="E2EFD9" w:themeFill="accent6" w:themeFillTint="33"/>
          </w:tcPr>
          <w:p w14:paraId="43174680" w14:textId="77777777" w:rsidR="00012CAC" w:rsidRPr="00012CAC" w:rsidRDefault="00012CAC" w:rsidP="00F8725A">
            <w:pPr>
              <w:spacing w:line="276" w:lineRule="auto"/>
              <w:ind w:left="567"/>
              <w:jc w:val="both"/>
              <w:rPr>
                <w:rFonts w:asciiTheme="minorHAnsi" w:hAnsiTheme="minorHAnsi" w:cstheme="minorHAnsi"/>
                <w:b/>
                <w:sz w:val="24"/>
                <w:szCs w:val="24"/>
              </w:rPr>
            </w:pPr>
            <w:r w:rsidRPr="00012CAC">
              <w:rPr>
                <w:rFonts w:asciiTheme="minorHAnsi" w:hAnsiTheme="minorHAnsi" w:cstheme="minorHAnsi"/>
                <w:b/>
                <w:sz w:val="24"/>
                <w:szCs w:val="24"/>
              </w:rPr>
              <w:t>Percentage in agreement</w:t>
            </w:r>
          </w:p>
        </w:tc>
      </w:tr>
      <w:tr w:rsidR="00012CAC" w:rsidRPr="00012CAC" w14:paraId="16C0B847" w14:textId="77777777" w:rsidTr="00C119F4">
        <w:tc>
          <w:tcPr>
            <w:tcW w:w="6460" w:type="dxa"/>
          </w:tcPr>
          <w:p w14:paraId="4EEEC19C" w14:textId="77777777" w:rsidR="00012CAC" w:rsidRPr="00012CAC" w:rsidRDefault="00012CAC" w:rsidP="00F8725A">
            <w:pPr>
              <w:spacing w:line="276" w:lineRule="auto"/>
              <w:ind w:left="567"/>
              <w:jc w:val="both"/>
              <w:rPr>
                <w:rFonts w:asciiTheme="minorHAnsi" w:hAnsiTheme="minorHAnsi" w:cstheme="minorHAnsi"/>
                <w:sz w:val="24"/>
                <w:szCs w:val="24"/>
              </w:rPr>
            </w:pPr>
            <w:r w:rsidRPr="00012CAC">
              <w:rPr>
                <w:rFonts w:asciiTheme="minorHAnsi" w:hAnsiTheme="minorHAnsi" w:cstheme="minorHAnsi"/>
                <w:sz w:val="24"/>
                <w:szCs w:val="24"/>
              </w:rPr>
              <w:t>Yes, happy to be seen and treated by a trained dental team member other than a dentist</w:t>
            </w:r>
          </w:p>
        </w:tc>
        <w:tc>
          <w:tcPr>
            <w:tcW w:w="1904" w:type="dxa"/>
          </w:tcPr>
          <w:p w14:paraId="38866440" w14:textId="77777777" w:rsidR="00012CAC" w:rsidRPr="00012CAC" w:rsidRDefault="00012CAC" w:rsidP="00F8725A">
            <w:pPr>
              <w:spacing w:line="276" w:lineRule="auto"/>
              <w:ind w:left="567"/>
              <w:jc w:val="both"/>
              <w:rPr>
                <w:rFonts w:asciiTheme="minorHAnsi" w:hAnsiTheme="minorHAnsi" w:cstheme="minorHAnsi"/>
                <w:sz w:val="24"/>
                <w:szCs w:val="24"/>
              </w:rPr>
            </w:pPr>
            <w:r w:rsidRPr="00012CAC">
              <w:rPr>
                <w:rFonts w:asciiTheme="minorHAnsi" w:hAnsiTheme="minorHAnsi" w:cstheme="minorHAnsi"/>
                <w:sz w:val="24"/>
                <w:szCs w:val="24"/>
              </w:rPr>
              <w:t>48%</w:t>
            </w:r>
          </w:p>
        </w:tc>
      </w:tr>
      <w:tr w:rsidR="00012CAC" w:rsidRPr="00012CAC" w14:paraId="33E67A87" w14:textId="77777777" w:rsidTr="00C119F4">
        <w:tc>
          <w:tcPr>
            <w:tcW w:w="6460" w:type="dxa"/>
          </w:tcPr>
          <w:p w14:paraId="7A6A4B24" w14:textId="77777777" w:rsidR="00012CAC" w:rsidRPr="00012CAC" w:rsidRDefault="00012CAC" w:rsidP="00F8725A">
            <w:pPr>
              <w:spacing w:line="276" w:lineRule="auto"/>
              <w:ind w:left="567"/>
              <w:jc w:val="both"/>
              <w:rPr>
                <w:rFonts w:asciiTheme="minorHAnsi" w:hAnsiTheme="minorHAnsi" w:cstheme="minorHAnsi"/>
                <w:sz w:val="24"/>
                <w:szCs w:val="24"/>
              </w:rPr>
            </w:pPr>
            <w:r w:rsidRPr="00012CAC">
              <w:rPr>
                <w:rFonts w:asciiTheme="minorHAnsi" w:hAnsiTheme="minorHAnsi" w:cstheme="minorHAnsi"/>
                <w:sz w:val="24"/>
                <w:szCs w:val="24"/>
              </w:rPr>
              <w:t>Yes, happy to be seen and treated by a trained dental team member other than a dentist if they could rebook with a dentist if they were unhappy</w:t>
            </w:r>
          </w:p>
        </w:tc>
        <w:tc>
          <w:tcPr>
            <w:tcW w:w="1904" w:type="dxa"/>
          </w:tcPr>
          <w:p w14:paraId="5AD18BA1" w14:textId="77777777" w:rsidR="00012CAC" w:rsidRPr="00012CAC" w:rsidRDefault="00012CAC" w:rsidP="00F8725A">
            <w:pPr>
              <w:spacing w:line="276" w:lineRule="auto"/>
              <w:ind w:left="567"/>
              <w:jc w:val="both"/>
              <w:rPr>
                <w:rFonts w:asciiTheme="minorHAnsi" w:hAnsiTheme="minorHAnsi" w:cstheme="minorHAnsi"/>
                <w:sz w:val="24"/>
                <w:szCs w:val="24"/>
              </w:rPr>
            </w:pPr>
            <w:r w:rsidRPr="00012CAC">
              <w:rPr>
                <w:rFonts w:asciiTheme="minorHAnsi" w:hAnsiTheme="minorHAnsi" w:cstheme="minorHAnsi"/>
                <w:sz w:val="24"/>
                <w:szCs w:val="24"/>
              </w:rPr>
              <w:t>20%</w:t>
            </w:r>
          </w:p>
        </w:tc>
      </w:tr>
      <w:tr w:rsidR="00012CAC" w:rsidRPr="00012CAC" w14:paraId="0D783D7D" w14:textId="77777777" w:rsidTr="00C119F4">
        <w:tc>
          <w:tcPr>
            <w:tcW w:w="6460" w:type="dxa"/>
          </w:tcPr>
          <w:p w14:paraId="2BF75B1F" w14:textId="77777777" w:rsidR="00012CAC" w:rsidRPr="00012CAC" w:rsidRDefault="00012CAC" w:rsidP="00F8725A">
            <w:pPr>
              <w:spacing w:line="276" w:lineRule="auto"/>
              <w:ind w:left="567"/>
              <w:jc w:val="both"/>
              <w:rPr>
                <w:rFonts w:asciiTheme="minorHAnsi" w:hAnsiTheme="minorHAnsi" w:cstheme="minorHAnsi"/>
                <w:sz w:val="24"/>
                <w:szCs w:val="24"/>
              </w:rPr>
            </w:pPr>
            <w:r w:rsidRPr="00012CAC">
              <w:rPr>
                <w:rFonts w:asciiTheme="minorHAnsi" w:hAnsiTheme="minorHAnsi" w:cstheme="minorHAnsi"/>
                <w:sz w:val="24"/>
                <w:szCs w:val="24"/>
              </w:rPr>
              <w:t xml:space="preserve">No, I would want everything I need to be done by a dentist or </w:t>
            </w:r>
            <w:proofErr w:type="gramStart"/>
            <w:r w:rsidRPr="00012CAC">
              <w:rPr>
                <w:rFonts w:asciiTheme="minorHAnsi" w:hAnsiTheme="minorHAnsi" w:cstheme="minorHAnsi"/>
                <w:sz w:val="24"/>
                <w:szCs w:val="24"/>
              </w:rPr>
              <w:t>Not</w:t>
            </w:r>
            <w:proofErr w:type="gramEnd"/>
            <w:r w:rsidRPr="00012CAC">
              <w:rPr>
                <w:rFonts w:asciiTheme="minorHAnsi" w:hAnsiTheme="minorHAnsi" w:cstheme="minorHAnsi"/>
                <w:sz w:val="24"/>
                <w:szCs w:val="24"/>
              </w:rPr>
              <w:t xml:space="preserve"> sure</w:t>
            </w:r>
          </w:p>
        </w:tc>
        <w:tc>
          <w:tcPr>
            <w:tcW w:w="1904" w:type="dxa"/>
          </w:tcPr>
          <w:p w14:paraId="4B6F7214" w14:textId="77777777" w:rsidR="00012CAC" w:rsidRPr="00012CAC" w:rsidRDefault="00012CAC" w:rsidP="00F8725A">
            <w:pPr>
              <w:spacing w:line="276" w:lineRule="auto"/>
              <w:ind w:left="567"/>
              <w:jc w:val="both"/>
              <w:rPr>
                <w:rFonts w:asciiTheme="minorHAnsi" w:hAnsiTheme="minorHAnsi" w:cstheme="minorHAnsi"/>
                <w:sz w:val="24"/>
                <w:szCs w:val="24"/>
              </w:rPr>
            </w:pPr>
            <w:r w:rsidRPr="00012CAC">
              <w:rPr>
                <w:rFonts w:asciiTheme="minorHAnsi" w:hAnsiTheme="minorHAnsi" w:cstheme="minorHAnsi"/>
                <w:sz w:val="24"/>
                <w:szCs w:val="24"/>
              </w:rPr>
              <w:t>32%</w:t>
            </w:r>
          </w:p>
        </w:tc>
      </w:tr>
    </w:tbl>
    <w:p w14:paraId="6A3FA826" w14:textId="38D6A753" w:rsidR="00C119F4" w:rsidRDefault="00C119F4" w:rsidP="00B27E08">
      <w:pPr>
        <w:spacing w:line="276" w:lineRule="auto"/>
        <w:jc w:val="both"/>
        <w:rPr>
          <w:rFonts w:asciiTheme="minorHAnsi" w:hAnsiTheme="minorHAnsi" w:cstheme="minorHAnsi"/>
          <w:b/>
          <w:sz w:val="24"/>
          <w:szCs w:val="24"/>
        </w:rPr>
      </w:pPr>
    </w:p>
    <w:p w14:paraId="1E2B0554" w14:textId="77777777" w:rsidR="00DB6C15" w:rsidRDefault="00DB6C15" w:rsidP="00F8725A">
      <w:pPr>
        <w:spacing w:line="360" w:lineRule="auto"/>
        <w:jc w:val="both"/>
        <w:rPr>
          <w:rFonts w:asciiTheme="minorHAnsi" w:hAnsiTheme="minorHAnsi" w:cstheme="minorHAnsi"/>
          <w:b/>
          <w:sz w:val="24"/>
          <w:szCs w:val="24"/>
        </w:rPr>
      </w:pPr>
    </w:p>
    <w:p w14:paraId="37AB341A" w14:textId="09F612B1" w:rsidR="00543AD1" w:rsidRPr="00413618" w:rsidRDefault="00413618" w:rsidP="00F8725A">
      <w:pPr>
        <w:spacing w:line="360" w:lineRule="auto"/>
        <w:jc w:val="both"/>
        <w:rPr>
          <w:rFonts w:asciiTheme="minorHAnsi" w:hAnsiTheme="minorHAnsi" w:cstheme="minorHAnsi"/>
          <w:b/>
          <w:sz w:val="24"/>
          <w:szCs w:val="24"/>
        </w:rPr>
      </w:pPr>
      <w:r w:rsidRPr="00413618">
        <w:rPr>
          <w:rFonts w:asciiTheme="minorHAnsi" w:hAnsiTheme="minorHAnsi" w:cstheme="minorHAnsi"/>
          <w:b/>
          <w:sz w:val="24"/>
          <w:szCs w:val="24"/>
        </w:rPr>
        <w:t>References</w:t>
      </w:r>
    </w:p>
    <w:sectPr w:rsidR="00543AD1" w:rsidRPr="00413618">
      <w:footerReference w:type="default" r:id="rId1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155C" w14:textId="77777777" w:rsidR="00830905" w:rsidRDefault="00830905" w:rsidP="00435A99">
      <w:r>
        <w:separator/>
      </w:r>
    </w:p>
  </w:endnote>
  <w:endnote w:type="continuationSeparator" w:id="0">
    <w:p w14:paraId="1B7FDA90" w14:textId="77777777" w:rsidR="00830905" w:rsidRDefault="00830905" w:rsidP="00435A99">
      <w:r>
        <w:continuationSeparator/>
      </w:r>
    </w:p>
  </w:endnote>
  <w:endnote w:id="1">
    <w:p w14:paraId="73A57BA1" w14:textId="029DEA89" w:rsidR="00677873" w:rsidRDefault="00677873" w:rsidP="00F8725A">
      <w:pPr>
        <w:pStyle w:val="EndnoteText"/>
        <w:spacing w:line="276" w:lineRule="auto"/>
      </w:pPr>
      <w:r>
        <w:rPr>
          <w:rStyle w:val="EndnoteReference"/>
        </w:rPr>
        <w:endnoteRef/>
      </w:r>
      <w:r>
        <w:t xml:space="preserve"> </w:t>
      </w:r>
      <w:r w:rsidRPr="00DD37DC">
        <w:rPr>
          <w:bCs/>
        </w:rPr>
        <w:t>RG Watt, B Daly, P Allison et al, Ending the neglect of global oral health: time for radical action Lancet, The, 2019-07-20, Volume 394, Issue 10194, Pages 261-272.</w:t>
      </w:r>
    </w:p>
  </w:endnote>
  <w:endnote w:id="2">
    <w:p w14:paraId="4585145B" w14:textId="570044DF" w:rsidR="00677873" w:rsidRDefault="00677873" w:rsidP="00F8725A">
      <w:pPr>
        <w:pStyle w:val="EndnoteText"/>
        <w:spacing w:line="276" w:lineRule="auto"/>
      </w:pPr>
      <w:r>
        <w:rPr>
          <w:rStyle w:val="EndnoteReference"/>
        </w:rPr>
        <w:endnoteRef/>
      </w:r>
      <w:r>
        <w:t xml:space="preserve"> </w:t>
      </w:r>
      <w:r w:rsidR="00BA403C">
        <w:t>The Information Centre for health and social care. Adult Dental Health Survey 2009 – Wales Key Findings, NHS, March 2011</w:t>
      </w:r>
    </w:p>
    <w:p w14:paraId="36ED3BFD" w14:textId="3DA0AFF9" w:rsidR="00413618" w:rsidRDefault="009524B0" w:rsidP="00F8725A">
      <w:pPr>
        <w:pStyle w:val="EndnoteText"/>
        <w:spacing w:line="276" w:lineRule="auto"/>
      </w:pPr>
      <w:hyperlink r:id="rId1" w:history="1">
        <w:r w:rsidR="00677873" w:rsidRPr="00D305CA">
          <w:rPr>
            <w:rStyle w:val="Hyperlink"/>
          </w:rPr>
          <w:t>https://files.digital.nhs.uk/publicationimport/pub01xxx/pub01086/adul-dent-heal-surv-summ-them-wale-2009-re13.pdf</w:t>
        </w:r>
      </w:hyperlink>
    </w:p>
  </w:endnote>
  <w:endnote w:id="3">
    <w:p w14:paraId="776CEC5D" w14:textId="77777777" w:rsidR="00413618" w:rsidRPr="00413618" w:rsidRDefault="00677873" w:rsidP="00F8725A">
      <w:pPr>
        <w:pStyle w:val="EndnoteText"/>
        <w:spacing w:line="276" w:lineRule="auto"/>
      </w:pPr>
      <w:r>
        <w:rPr>
          <w:rStyle w:val="EndnoteReference"/>
        </w:rPr>
        <w:endnoteRef/>
      </w:r>
      <w:r>
        <w:t xml:space="preserve"> </w:t>
      </w:r>
      <w:r w:rsidR="00413618" w:rsidRPr="00413618">
        <w:t>The Welsh Oral Health Information Unit. Picture of Oral Health 2018, Dental Epidemiological Survey of 12 year olds 2016-17, Cardiff University-Public Health Wales</w:t>
      </w:r>
    </w:p>
    <w:p w14:paraId="19C55E9A" w14:textId="266395EA" w:rsidR="00677873" w:rsidRDefault="00413618" w:rsidP="00F8725A">
      <w:pPr>
        <w:pStyle w:val="EndnoteText"/>
        <w:spacing w:line="276" w:lineRule="auto"/>
      </w:pPr>
      <w:r w:rsidRPr="00413618">
        <w:t xml:space="preserve">Available at: </w:t>
      </w:r>
      <w:hyperlink r:id="rId2" w:history="1">
        <w:r w:rsidRPr="00413618">
          <w:rPr>
            <w:rStyle w:val="Hyperlink"/>
          </w:rPr>
          <w:t>https://www.cardiff.ac.uk/__data/assets/pdf_file/0019/1201465/Full-Report-Oral-Health-2018.pdf</w:t>
        </w:r>
      </w:hyperlink>
    </w:p>
  </w:endnote>
  <w:endnote w:id="4">
    <w:p w14:paraId="33FDD152" w14:textId="7A7FB3AA" w:rsidR="00677873" w:rsidRDefault="00677873" w:rsidP="00F8725A">
      <w:pPr>
        <w:pStyle w:val="EndnoteText"/>
        <w:spacing w:line="276" w:lineRule="auto"/>
      </w:pPr>
      <w:r>
        <w:rPr>
          <w:rStyle w:val="EndnoteReference"/>
        </w:rPr>
        <w:endnoteRef/>
      </w:r>
      <w:r>
        <w:t xml:space="preserve"> </w:t>
      </w:r>
      <w:r w:rsidRPr="001C6BBA">
        <w:rPr>
          <w:bCs/>
        </w:rPr>
        <w:t>WHO Draft Global Strategy on Oral Health, WHO Discussion paper, version dated 9 August 2021</w:t>
      </w:r>
    </w:p>
  </w:endnote>
  <w:endnote w:id="5">
    <w:p w14:paraId="50437AFA" w14:textId="0FCF6EF2" w:rsidR="00677873" w:rsidRDefault="00677873" w:rsidP="00F8725A">
      <w:pPr>
        <w:pStyle w:val="EndnoteText"/>
        <w:spacing w:line="276" w:lineRule="auto"/>
      </w:pPr>
      <w:r>
        <w:rPr>
          <w:rStyle w:val="EndnoteReference"/>
        </w:rPr>
        <w:endnoteRef/>
      </w:r>
      <w:r>
        <w:t xml:space="preserve"> </w:t>
      </w:r>
      <w:r w:rsidRPr="001C6BBA">
        <w:t>Kickbusch I., Allen L., Franz C. The commercial determinants of health. </w:t>
      </w:r>
      <w:r w:rsidRPr="002824CD">
        <w:rPr>
          <w:i/>
          <w:iCs/>
        </w:rPr>
        <w:t>Lancet Glob. Health.</w:t>
      </w:r>
      <w:r w:rsidRPr="001C6BBA">
        <w:rPr>
          <w:iCs/>
        </w:rPr>
        <w:t> </w:t>
      </w:r>
      <w:r w:rsidRPr="001C6BBA">
        <w:t>2016;</w:t>
      </w:r>
      <w:r w:rsidRPr="001C6BBA">
        <w:rPr>
          <w:b/>
          <w:bCs/>
        </w:rPr>
        <w:t>4</w:t>
      </w:r>
      <w:r w:rsidRPr="001C6BBA">
        <w:t>:e895–e896. doi: 10.1016/S2214-109X(16)30217-0.</w:t>
      </w:r>
    </w:p>
  </w:endnote>
  <w:endnote w:id="6">
    <w:p w14:paraId="2DFD3273" w14:textId="5AF2BE41" w:rsidR="00677873" w:rsidRDefault="00677873" w:rsidP="00F8725A">
      <w:pPr>
        <w:pStyle w:val="EndnoteText"/>
        <w:spacing w:line="276" w:lineRule="auto"/>
      </w:pPr>
      <w:r>
        <w:rPr>
          <w:rStyle w:val="EndnoteReference"/>
        </w:rPr>
        <w:endnoteRef/>
      </w:r>
      <w:r>
        <w:t xml:space="preserve"> </w:t>
      </w:r>
      <w:r w:rsidRPr="001C6BBA">
        <w:t>Jevdjevic M., Trescher A.L., Rovers M., Listl S. The caries-related cost and effects of a tax on sugar-sweetened beverages. </w:t>
      </w:r>
      <w:r w:rsidRPr="002824CD">
        <w:rPr>
          <w:i/>
          <w:iCs/>
        </w:rPr>
        <w:t>Public Health</w:t>
      </w:r>
      <w:r w:rsidRPr="001C6BBA">
        <w:rPr>
          <w:iCs/>
        </w:rPr>
        <w:t>. </w:t>
      </w:r>
      <w:r w:rsidRPr="001C6BBA">
        <w:t>2019;</w:t>
      </w:r>
      <w:r w:rsidRPr="001C6BBA">
        <w:rPr>
          <w:b/>
          <w:bCs/>
        </w:rPr>
        <w:t>169</w:t>
      </w:r>
      <w:r w:rsidRPr="001C6BBA">
        <w:t>:125–132. doi: 10.1016/j.puhe.2019.02.010.</w:t>
      </w:r>
    </w:p>
  </w:endnote>
  <w:endnote w:id="7">
    <w:p w14:paraId="21368861" w14:textId="1CF47DE3" w:rsidR="00677873" w:rsidRDefault="00677873" w:rsidP="00F8725A">
      <w:pPr>
        <w:pStyle w:val="EndnoteText"/>
        <w:spacing w:line="276" w:lineRule="auto"/>
      </w:pPr>
      <w:r>
        <w:rPr>
          <w:rStyle w:val="EndnoteReference"/>
        </w:rPr>
        <w:endnoteRef/>
      </w:r>
      <w:r>
        <w:t xml:space="preserve"> </w:t>
      </w:r>
      <w:r w:rsidR="00413618">
        <w:t>WHO: Guideline: S</w:t>
      </w:r>
      <w:r w:rsidRPr="001C6BBA">
        <w:t>ugars intake for adults and children.2015.World Health Organization Geneva.</w:t>
      </w:r>
    </w:p>
  </w:endnote>
  <w:endnote w:id="8">
    <w:p w14:paraId="222AC080" w14:textId="30CA9C68" w:rsidR="00677873" w:rsidRDefault="00677873" w:rsidP="00F8725A">
      <w:pPr>
        <w:pStyle w:val="EndnoteText"/>
        <w:spacing w:line="276" w:lineRule="auto"/>
      </w:pPr>
      <w:r>
        <w:rPr>
          <w:rStyle w:val="EndnoteReference"/>
        </w:rPr>
        <w:endnoteRef/>
      </w:r>
      <w:r>
        <w:t xml:space="preserve"> </w:t>
      </w:r>
      <w:r w:rsidRPr="001C6BBA">
        <w:t>The Scientific Advisory Committee on Nutrition, Carbohydrates and Health, London, 2015</w:t>
      </w:r>
    </w:p>
  </w:endnote>
  <w:endnote w:id="9">
    <w:p w14:paraId="12A00FF8" w14:textId="6BED3FD8" w:rsidR="00677873" w:rsidRDefault="00677873" w:rsidP="00F8725A">
      <w:pPr>
        <w:pStyle w:val="EndnoteText"/>
        <w:spacing w:line="276" w:lineRule="auto"/>
      </w:pPr>
      <w:r>
        <w:rPr>
          <w:rStyle w:val="EndnoteReference"/>
        </w:rPr>
        <w:endnoteRef/>
      </w:r>
      <w:r>
        <w:t xml:space="preserve"> </w:t>
      </w:r>
      <w:r w:rsidRPr="001C6BBA">
        <w:t xml:space="preserve">Moynihan PJ, Kelly SAM: Effect on caries of restricting sugars intake. </w:t>
      </w:r>
      <w:r w:rsidRPr="002824CD">
        <w:rPr>
          <w:i/>
        </w:rPr>
        <w:t>J Dent Res</w:t>
      </w:r>
      <w:r w:rsidRPr="001C6BBA">
        <w:t xml:space="preserve"> 2014; 93: pp. 8-18</w:t>
      </w:r>
      <w:r w:rsidRPr="001C6BBA">
        <w:rPr>
          <w:i/>
        </w:rPr>
        <w:t>.</w:t>
      </w:r>
    </w:p>
  </w:endnote>
  <w:endnote w:id="10">
    <w:p w14:paraId="50F978B8" w14:textId="0899B49C" w:rsidR="00677873" w:rsidRDefault="00677873" w:rsidP="00F8725A">
      <w:pPr>
        <w:pStyle w:val="EndnoteText"/>
        <w:spacing w:line="276" w:lineRule="auto"/>
      </w:pPr>
      <w:r>
        <w:rPr>
          <w:rStyle w:val="EndnoteReference"/>
        </w:rPr>
        <w:endnoteRef/>
      </w:r>
      <w:r>
        <w:t xml:space="preserve"> </w:t>
      </w:r>
      <w:r w:rsidRPr="001C6BBA">
        <w:t>Scientific Advisory Committee on Nutrition, Feeding young children aged 1 to 5 years, draft report for consultation, July 2022</w:t>
      </w:r>
    </w:p>
  </w:endnote>
  <w:endnote w:id="11">
    <w:p w14:paraId="49920321" w14:textId="23E1DDF6" w:rsidR="006F4F7D" w:rsidRDefault="006F4F7D" w:rsidP="00F8725A">
      <w:pPr>
        <w:pStyle w:val="EndnoteText"/>
        <w:spacing w:line="276" w:lineRule="auto"/>
      </w:pPr>
      <w:r>
        <w:rPr>
          <w:rStyle w:val="EndnoteReference"/>
        </w:rPr>
        <w:endnoteRef/>
      </w:r>
      <w:r>
        <w:t xml:space="preserve"> Welsh Government and NHS Wales. A Smoke Free Wales. Our Long Term Tobacco Control Strategy For Wales, </w:t>
      </w:r>
    </w:p>
  </w:endnote>
  <w:endnote w:id="12">
    <w:p w14:paraId="2DCEA025" w14:textId="7F127EAB" w:rsidR="00677873" w:rsidRDefault="00677873" w:rsidP="00F8725A">
      <w:pPr>
        <w:pStyle w:val="EndnoteText"/>
        <w:spacing w:line="276" w:lineRule="auto"/>
      </w:pPr>
      <w:r>
        <w:rPr>
          <w:rStyle w:val="EndnoteReference"/>
        </w:rPr>
        <w:endnoteRef/>
      </w:r>
      <w:r>
        <w:t xml:space="preserve"> Welsh Government. Healthy Weight: Healthy Wales. Moving ahead in 2022-2024. Taking our Next Steps</w:t>
      </w:r>
    </w:p>
    <w:p w14:paraId="3918181E" w14:textId="08A2CCA8" w:rsidR="00677873" w:rsidRDefault="00677873" w:rsidP="00F8725A">
      <w:pPr>
        <w:pStyle w:val="EndnoteText"/>
        <w:spacing w:line="276" w:lineRule="auto"/>
      </w:pPr>
      <w:r>
        <w:t xml:space="preserve">Available at: </w:t>
      </w:r>
      <w:hyperlink r:id="rId3" w:history="1">
        <w:r w:rsidRPr="001C6BBA">
          <w:rPr>
            <w:rStyle w:val="Hyperlink"/>
          </w:rPr>
          <w:t>https://gov.wales/sites/default/files/publications/2022-03/healthy-weight-healthy-wales-2022-to-2024-delivery-plan_0.pdf</w:t>
        </w:r>
      </w:hyperlink>
      <w:r>
        <w:t xml:space="preserve"> </w:t>
      </w:r>
    </w:p>
  </w:endnote>
  <w:endnote w:id="13">
    <w:p w14:paraId="78CDB040" w14:textId="77777777" w:rsidR="00677873" w:rsidRDefault="00677873" w:rsidP="00F8725A">
      <w:pPr>
        <w:pStyle w:val="EndnoteText"/>
        <w:spacing w:line="276" w:lineRule="auto"/>
      </w:pPr>
      <w:r>
        <w:rPr>
          <w:rStyle w:val="EndnoteReference"/>
        </w:rPr>
        <w:endnoteRef/>
      </w:r>
      <w:r>
        <w:t xml:space="preserve"> Filstrup Sl, Briskie D, da Fonseca M, Lawrence L, Wandera A, Inglehart MR (2003). Early childhood caries and quality of life: child and parent perspectives. </w:t>
      </w:r>
      <w:r w:rsidRPr="00547B97">
        <w:rPr>
          <w:i/>
        </w:rPr>
        <w:t>Pediatr Dent</w:t>
      </w:r>
      <w:r>
        <w:t xml:space="preserve"> 25: 431-440.</w:t>
      </w:r>
    </w:p>
  </w:endnote>
  <w:endnote w:id="14">
    <w:p w14:paraId="05EF7FBD" w14:textId="77777777" w:rsidR="00677873" w:rsidRDefault="00677873" w:rsidP="00F8725A">
      <w:pPr>
        <w:pStyle w:val="EndnoteText"/>
        <w:spacing w:line="276" w:lineRule="auto"/>
      </w:pPr>
      <w:r>
        <w:rPr>
          <w:rStyle w:val="EndnoteReference"/>
        </w:rPr>
        <w:endnoteRef/>
      </w:r>
      <w:r>
        <w:t xml:space="preserve"> Cunnion DT, Spiro A, Jones JA, Rich SE, Papageorgiou CP, Tate A, Casamassimo P, Hayes C, Garcia RI (2010). Pediatric oral health-related quality of life improvement after treatment of early childhood caries: a prospective multisite study. </w:t>
      </w:r>
      <w:r w:rsidRPr="00547B97">
        <w:rPr>
          <w:i/>
        </w:rPr>
        <w:t>J Dent Child</w:t>
      </w:r>
      <w:r>
        <w:t xml:space="preserve"> 77: 4-11.</w:t>
      </w:r>
    </w:p>
  </w:endnote>
  <w:endnote w:id="15">
    <w:p w14:paraId="50042C22" w14:textId="77777777" w:rsidR="00677873" w:rsidRDefault="00677873" w:rsidP="00F8725A">
      <w:pPr>
        <w:pStyle w:val="EndnoteText"/>
        <w:spacing w:line="276" w:lineRule="auto"/>
      </w:pPr>
      <w:r>
        <w:rPr>
          <w:rStyle w:val="EndnoteReference"/>
        </w:rPr>
        <w:endnoteRef/>
      </w:r>
      <w:r>
        <w:t xml:space="preserve"> </w:t>
      </w:r>
      <w:r w:rsidRPr="00435A99">
        <w:t xml:space="preserve">Peterson PE (2003). The World Oral Health Report 2003: continuous improvement of oral health in the 21st century- the approach of the WHO Global Oral Health Programme. </w:t>
      </w:r>
      <w:r w:rsidRPr="00547B97">
        <w:rPr>
          <w:i/>
        </w:rPr>
        <w:t>Comm Dent Oral Epidemiol</w:t>
      </w:r>
      <w:r w:rsidRPr="00435A99">
        <w:t xml:space="preserve"> 31(Suppl 1): 3–23.</w:t>
      </w:r>
    </w:p>
  </w:endnote>
  <w:endnote w:id="16">
    <w:p w14:paraId="4B1DF037" w14:textId="77777777" w:rsidR="00677873" w:rsidRDefault="00677873" w:rsidP="00F8725A">
      <w:pPr>
        <w:pStyle w:val="EndnoteText"/>
        <w:spacing w:line="276" w:lineRule="auto"/>
      </w:pPr>
      <w:r>
        <w:rPr>
          <w:rStyle w:val="EndnoteReference"/>
        </w:rPr>
        <w:endnoteRef/>
      </w:r>
      <w:r>
        <w:t xml:space="preserve"> </w:t>
      </w:r>
      <w:r w:rsidRPr="00435A99">
        <w:t xml:space="preserve">Jackson SL, Vann Jr WF, Kotch JB, Pahel BT, Lee JY (2011). Impact of Poor Oral Health on Children's School Attendance and Performance. </w:t>
      </w:r>
      <w:r w:rsidRPr="00547B97">
        <w:rPr>
          <w:i/>
        </w:rPr>
        <w:t>Am J Public Health</w:t>
      </w:r>
      <w:r w:rsidRPr="00435A99">
        <w:t xml:space="preserve"> 101:1900-1906.</w:t>
      </w:r>
    </w:p>
  </w:endnote>
  <w:endnote w:id="17">
    <w:p w14:paraId="56953BFB" w14:textId="5705C65B" w:rsidR="00677873" w:rsidRDefault="00677873" w:rsidP="00F8725A">
      <w:pPr>
        <w:pStyle w:val="EndnoteText"/>
        <w:spacing w:line="276" w:lineRule="auto"/>
      </w:pPr>
      <w:r>
        <w:rPr>
          <w:rStyle w:val="EndnoteReference"/>
        </w:rPr>
        <w:endnoteRef/>
      </w:r>
      <w:r>
        <w:t xml:space="preserve"> </w:t>
      </w:r>
      <w:r w:rsidRPr="00435A99">
        <w:t xml:space="preserve">Ramos-Jorge J, Pordeus IA, Ramos-Jorge ML, Marque LS, Paiva SM (2013). Impact of untreated dental caries on quality of life of preschool children: different stages and activity. </w:t>
      </w:r>
      <w:r w:rsidRPr="00547B97">
        <w:rPr>
          <w:i/>
        </w:rPr>
        <w:t>Comm Dent Oral Epidemiol</w:t>
      </w:r>
      <w:r w:rsidRPr="00435A99">
        <w:t xml:space="preserve"> 42: 311-</w:t>
      </w:r>
      <w:r>
        <w:t>3</w:t>
      </w:r>
      <w:r w:rsidRPr="00435A99">
        <w:t>22.</w:t>
      </w:r>
    </w:p>
  </w:endnote>
  <w:endnote w:id="18">
    <w:p w14:paraId="362AE965" w14:textId="77777777" w:rsidR="00677873" w:rsidRDefault="00677873" w:rsidP="00F8725A">
      <w:pPr>
        <w:pStyle w:val="EndnoteText"/>
        <w:spacing w:line="276" w:lineRule="auto"/>
      </w:pPr>
      <w:r>
        <w:rPr>
          <w:rStyle w:val="EndnoteReference"/>
        </w:rPr>
        <w:endnoteRef/>
      </w:r>
      <w:r>
        <w:t xml:space="preserve"> </w:t>
      </w:r>
      <w:r w:rsidRPr="00435A99">
        <w:t xml:space="preserve">Sheiham A (2006). Dental caries affects body weight, growth and quality of life in pre-school children. </w:t>
      </w:r>
      <w:r w:rsidRPr="00547B97">
        <w:rPr>
          <w:i/>
        </w:rPr>
        <w:t>Brit Dent J</w:t>
      </w:r>
      <w:r w:rsidRPr="00435A99">
        <w:t xml:space="preserve"> 201(10): 625–626.</w:t>
      </w:r>
    </w:p>
  </w:endnote>
  <w:endnote w:id="19">
    <w:p w14:paraId="2748A009" w14:textId="77777777" w:rsidR="00677873" w:rsidRDefault="00677873" w:rsidP="00F8725A">
      <w:pPr>
        <w:pStyle w:val="EndnoteText"/>
        <w:spacing w:line="276" w:lineRule="auto"/>
      </w:pPr>
      <w:r>
        <w:rPr>
          <w:rStyle w:val="EndnoteReference"/>
        </w:rPr>
        <w:endnoteRef/>
      </w:r>
      <w:r>
        <w:t xml:space="preserve"> </w:t>
      </w:r>
      <w:r w:rsidRPr="00435A99">
        <w:t xml:space="preserve">Arora A, Schwarz E, Blinkhorn AS (2011). Risk factors for early childhood caries in disadvantaged populations. </w:t>
      </w:r>
      <w:r w:rsidRPr="00547B97">
        <w:rPr>
          <w:i/>
        </w:rPr>
        <w:t>J Invest Clin Dent</w:t>
      </w:r>
      <w:r w:rsidRPr="00435A99">
        <w:t xml:space="preserve"> 2(4): 1–6.</w:t>
      </w:r>
    </w:p>
  </w:endnote>
  <w:endnote w:id="20">
    <w:p w14:paraId="283032AB" w14:textId="77777777" w:rsidR="00677873" w:rsidRDefault="00677873" w:rsidP="00F8725A">
      <w:pPr>
        <w:pStyle w:val="EndnoteText"/>
        <w:spacing w:line="276" w:lineRule="auto"/>
      </w:pPr>
      <w:r>
        <w:rPr>
          <w:rStyle w:val="EndnoteReference"/>
        </w:rPr>
        <w:endnoteRef/>
      </w:r>
      <w:r>
        <w:t xml:space="preserve"> </w:t>
      </w:r>
      <w:r w:rsidRPr="0006176D">
        <w:t>Public H</w:t>
      </w:r>
      <w:r>
        <w:t>ealth Wales 2021. Child Dental G</w:t>
      </w:r>
      <w:r w:rsidRPr="0006176D">
        <w:t>eneral Anaesthetics in Wales</w:t>
      </w:r>
      <w:r>
        <w:t>.</w:t>
      </w:r>
      <w:r w:rsidRPr="0006176D">
        <w:t xml:space="preserve"> </w:t>
      </w:r>
      <w:hyperlink r:id="rId4" w:history="1">
        <w:r>
          <w:rPr>
            <w:rStyle w:val="Hyperlink"/>
          </w:rPr>
          <w:t>Oral Health Intelligence - Public Health Wales (nhs.wales)</w:t>
        </w:r>
      </w:hyperlink>
    </w:p>
  </w:endnote>
  <w:endnote w:id="21">
    <w:p w14:paraId="5C1482D7" w14:textId="77777777" w:rsidR="00677873" w:rsidRDefault="00677873" w:rsidP="00F8725A">
      <w:pPr>
        <w:pStyle w:val="EndnoteText"/>
        <w:spacing w:line="276" w:lineRule="auto"/>
      </w:pPr>
      <w:r>
        <w:rPr>
          <w:rStyle w:val="EndnoteReference"/>
        </w:rPr>
        <w:endnoteRef/>
      </w:r>
      <w:r>
        <w:t xml:space="preserve"> </w:t>
      </w:r>
      <w:r w:rsidRPr="00435A99">
        <w:t xml:space="preserve">Thomson WM, Poulton R, Milne BJ, Caspi A, Broughton JR, Ayers KMS (2014). Socioeconomic inequalities in oral health in childhood and adulthood in a birth cohort. </w:t>
      </w:r>
      <w:r w:rsidRPr="00547B97">
        <w:rPr>
          <w:i/>
        </w:rPr>
        <w:t>Comm Dent Oral Epidemiol</w:t>
      </w:r>
      <w:r w:rsidRPr="00435A99">
        <w:t xml:space="preserve"> 32: 345-353.</w:t>
      </w:r>
    </w:p>
  </w:endnote>
  <w:endnote w:id="22">
    <w:p w14:paraId="19EC5F34" w14:textId="1F8BF369" w:rsidR="00677873" w:rsidRDefault="00677873" w:rsidP="00F8725A">
      <w:pPr>
        <w:pStyle w:val="EndnoteText"/>
        <w:spacing w:line="276" w:lineRule="auto"/>
      </w:pPr>
      <w:r>
        <w:rPr>
          <w:rStyle w:val="EndnoteReference"/>
        </w:rPr>
        <w:endnoteRef/>
      </w:r>
      <w:r>
        <w:t xml:space="preserve"> Cardiff University.</w:t>
      </w:r>
      <w:r w:rsidRPr="00435A99">
        <w:t xml:space="preserve"> Picture of Oral Health 2017. Dental Caries in 5 year olds</w:t>
      </w:r>
      <w:r>
        <w:t xml:space="preserve"> 2015/16.</w:t>
      </w:r>
      <w:r w:rsidRPr="0006176D">
        <w:t xml:space="preserve"> </w:t>
      </w:r>
      <w:hyperlink r:id="rId5" w:history="1">
        <w:r>
          <w:rPr>
            <w:rStyle w:val="Hyperlink"/>
          </w:rPr>
          <w:t>Welsh Oral Health Information Unit - Research - Cardiff University</w:t>
        </w:r>
      </w:hyperlink>
    </w:p>
  </w:endnote>
  <w:endnote w:id="23">
    <w:p w14:paraId="1C0D135A" w14:textId="7BA37EDB" w:rsidR="00677873" w:rsidRDefault="00677873" w:rsidP="00F8725A">
      <w:pPr>
        <w:pStyle w:val="EndnoteText"/>
        <w:spacing w:line="276" w:lineRule="auto"/>
      </w:pPr>
      <w:r>
        <w:rPr>
          <w:rStyle w:val="EndnoteReference"/>
        </w:rPr>
        <w:endnoteRef/>
      </w:r>
      <w:r>
        <w:t xml:space="preserve"> Welsh Oral</w:t>
      </w:r>
      <w:r w:rsidR="006E65AE">
        <w:t xml:space="preserve"> Health Information Unit</w:t>
      </w:r>
      <w:r>
        <w:t xml:space="preserve">. Picture of Oral Health 2015. Dental Epidemiology Survey of 3 year olds in Wales 2013-14. </w:t>
      </w:r>
      <w:r w:rsidRPr="00547B97">
        <w:t>Public Health Wales and Cardiff University</w:t>
      </w:r>
      <w:r>
        <w:t xml:space="preserve"> </w:t>
      </w:r>
    </w:p>
  </w:endnote>
  <w:endnote w:id="24">
    <w:p w14:paraId="3CAC25C8" w14:textId="77777777" w:rsidR="00677873" w:rsidRDefault="00677873" w:rsidP="00F8725A">
      <w:pPr>
        <w:pStyle w:val="EndnoteText"/>
        <w:spacing w:line="276" w:lineRule="auto"/>
      </w:pPr>
      <w:r>
        <w:rPr>
          <w:rStyle w:val="EndnoteReference"/>
        </w:rPr>
        <w:endnoteRef/>
      </w:r>
      <w:r>
        <w:t xml:space="preserve"> Public Health Wales 2022. Designed to Smile.</w:t>
      </w:r>
      <w:r w:rsidRPr="0006176D">
        <w:t xml:space="preserve"> </w:t>
      </w:r>
      <w:hyperlink r:id="rId6" w:history="1">
        <w:r>
          <w:rPr>
            <w:rStyle w:val="Hyperlink"/>
          </w:rPr>
          <w:t>Designed to Smile - Public Health Wales (nhs.wales)</w:t>
        </w:r>
      </w:hyperlink>
    </w:p>
  </w:endnote>
  <w:endnote w:id="25">
    <w:p w14:paraId="33324B70" w14:textId="77777777" w:rsidR="00677873" w:rsidRDefault="00677873" w:rsidP="00F8725A">
      <w:pPr>
        <w:pStyle w:val="EndnoteText"/>
        <w:spacing w:line="276" w:lineRule="auto"/>
      </w:pPr>
      <w:r>
        <w:rPr>
          <w:rStyle w:val="EndnoteReference"/>
        </w:rPr>
        <w:endnoteRef/>
      </w:r>
      <w:r>
        <w:t xml:space="preserve"> </w:t>
      </w:r>
      <w:r w:rsidRPr="00435A99">
        <w:t>Welsh Government 2017. WHC 23: Re-focussing of the Designed to Smile child or</w:t>
      </w:r>
      <w:r>
        <w:t>al health improvement programme</w:t>
      </w:r>
      <w:r w:rsidRPr="00435A99">
        <w:t>.</w:t>
      </w:r>
    </w:p>
  </w:endnote>
  <w:endnote w:id="26">
    <w:p w14:paraId="2B84E31A" w14:textId="77777777" w:rsidR="00677873" w:rsidRDefault="00677873" w:rsidP="00F8725A">
      <w:pPr>
        <w:pStyle w:val="EndnoteText"/>
        <w:spacing w:line="276" w:lineRule="auto"/>
      </w:pPr>
      <w:r>
        <w:rPr>
          <w:rStyle w:val="EndnoteReference"/>
        </w:rPr>
        <w:endnoteRef/>
      </w:r>
      <w:r>
        <w:t xml:space="preserve"> </w:t>
      </w:r>
      <w:r w:rsidRPr="00435A99">
        <w:t>Welsh Oral Health Information Unit 2020. Designed to Smile- Monitoring Repo</w:t>
      </w:r>
      <w:r>
        <w:t>rt for the school year 2018-2019</w:t>
      </w:r>
      <w:r w:rsidRPr="00435A99">
        <w:t>.</w:t>
      </w:r>
    </w:p>
  </w:endnote>
  <w:endnote w:id="27">
    <w:p w14:paraId="24092700" w14:textId="529B8EAA" w:rsidR="00677873" w:rsidRDefault="00677873" w:rsidP="00F8725A">
      <w:pPr>
        <w:pStyle w:val="EndnoteText"/>
        <w:spacing w:line="276" w:lineRule="auto"/>
      </w:pPr>
      <w:r>
        <w:rPr>
          <w:rStyle w:val="EndnoteReference"/>
        </w:rPr>
        <w:endnoteRef/>
      </w:r>
      <w:r>
        <w:t xml:space="preserve"> Welsh Oral Health Information Unit. Wales Care Home Dental Survey 2010-11. </w:t>
      </w:r>
      <w:r w:rsidRPr="00904F8D">
        <w:t>Public Health Wales and Cardiff University 2012</w:t>
      </w:r>
    </w:p>
  </w:endnote>
  <w:endnote w:id="28">
    <w:p w14:paraId="0E29FA94" w14:textId="77777777" w:rsidR="00677873" w:rsidRDefault="00677873" w:rsidP="00F8725A">
      <w:pPr>
        <w:pStyle w:val="EndnoteText"/>
        <w:spacing w:line="276" w:lineRule="auto"/>
      </w:pPr>
      <w:r>
        <w:rPr>
          <w:rStyle w:val="EndnoteReference"/>
        </w:rPr>
        <w:endnoteRef/>
      </w:r>
      <w:r>
        <w:t xml:space="preserve"> </w:t>
      </w:r>
      <w:r w:rsidRPr="00435A99">
        <w:t xml:space="preserve">Public Health Wales 2022. Gwên am Byth </w:t>
      </w:r>
      <w:r>
        <w:t>Programme Annual Report 2021-22.</w:t>
      </w:r>
    </w:p>
  </w:endnote>
  <w:endnote w:id="29">
    <w:p w14:paraId="6265EBEC" w14:textId="7ACBE6F4" w:rsidR="00677873" w:rsidRDefault="00677873" w:rsidP="00F8725A">
      <w:pPr>
        <w:pStyle w:val="EndnoteText"/>
        <w:spacing w:line="276" w:lineRule="auto"/>
      </w:pPr>
      <w:r>
        <w:rPr>
          <w:rStyle w:val="EndnoteReference"/>
        </w:rPr>
        <w:endnoteRef/>
      </w:r>
      <w:r>
        <w:t xml:space="preserve"> </w:t>
      </w:r>
      <w:r w:rsidRPr="008417F0">
        <w:t>Welsh Government. Oral Health and Dental Services response to A Healthier Wales; 2018.</w:t>
      </w:r>
    </w:p>
  </w:endnote>
  <w:endnote w:id="30">
    <w:p w14:paraId="44B8957C" w14:textId="36B4E1E5" w:rsidR="00EE6670" w:rsidRDefault="00EE6670" w:rsidP="00F8725A">
      <w:pPr>
        <w:pStyle w:val="EndnoteText"/>
        <w:spacing w:line="276" w:lineRule="auto"/>
      </w:pPr>
      <w:r>
        <w:rPr>
          <w:rStyle w:val="EndnoteReference"/>
        </w:rPr>
        <w:endnoteRef/>
      </w:r>
      <w:r>
        <w:t xml:space="preserve"> World Health Organisation. World Health Assembly Resolution paves the way for better oral health care, May 2021</w:t>
      </w:r>
    </w:p>
    <w:p w14:paraId="544AE5A2" w14:textId="7F2DAA27" w:rsidR="00F8725A" w:rsidRDefault="00F8725A" w:rsidP="00F8725A">
      <w:pPr>
        <w:pStyle w:val="EndnoteText"/>
        <w:spacing w:line="276" w:lineRule="auto"/>
      </w:pPr>
      <w:r>
        <w:t>Available at:</w:t>
      </w:r>
      <w:r w:rsidRPr="00F8725A">
        <w:t xml:space="preserve"> </w:t>
      </w:r>
      <w:hyperlink r:id="rId7" w:history="1">
        <w:r w:rsidRPr="00D305CA">
          <w:rPr>
            <w:rStyle w:val="Hyperlink"/>
          </w:rPr>
          <w:t>https://www.who.int/news/item/27-05-2021-world-health-assembly-resolution-paves-the-way-for-better-oral-health-care</w:t>
        </w:r>
      </w:hyperlink>
      <w:r>
        <w:t xml:space="preserve">  </w:t>
      </w:r>
    </w:p>
  </w:endnote>
  <w:endnote w:id="31">
    <w:p w14:paraId="05E16280" w14:textId="54A17CC5" w:rsidR="00677873" w:rsidRDefault="00677873" w:rsidP="00F8725A">
      <w:pPr>
        <w:pStyle w:val="EndnoteText"/>
        <w:spacing w:line="276" w:lineRule="auto"/>
      </w:pPr>
      <w:r>
        <w:rPr>
          <w:rStyle w:val="EndnoteReference"/>
        </w:rPr>
        <w:endnoteRef/>
      </w:r>
      <w:r>
        <w:t xml:space="preserve"> </w:t>
      </w:r>
      <w:r w:rsidRPr="008417F0">
        <w:t xml:space="preserve">Watt RG, Daly B, Allison P et al. Ending the neglect of global oral health: time for radical action. </w:t>
      </w:r>
      <w:r w:rsidRPr="00904F8D">
        <w:rPr>
          <w:i/>
        </w:rPr>
        <w:t xml:space="preserve">Lancet </w:t>
      </w:r>
      <w:r w:rsidRPr="008417F0">
        <w:t>2019; 394: 261–72.</w:t>
      </w:r>
    </w:p>
  </w:endnote>
  <w:endnote w:id="32">
    <w:p w14:paraId="77368B5A" w14:textId="251CCB7C" w:rsidR="00677873" w:rsidRDefault="00677873" w:rsidP="00F8725A">
      <w:pPr>
        <w:pStyle w:val="EndnoteText"/>
        <w:spacing w:line="276" w:lineRule="auto"/>
      </w:pPr>
      <w:r>
        <w:rPr>
          <w:rStyle w:val="EndnoteReference"/>
        </w:rPr>
        <w:endnoteRef/>
      </w:r>
      <w:r>
        <w:t xml:space="preserve"> Welsh Government. Welsh Health Circular: The role of the Community Dental Service and services for the vulnerable people, July 2019</w:t>
      </w:r>
    </w:p>
    <w:p w14:paraId="19358722" w14:textId="79FB1484" w:rsidR="00677873" w:rsidRDefault="00677873" w:rsidP="00F8725A">
      <w:pPr>
        <w:pStyle w:val="EndnoteText"/>
        <w:spacing w:line="276" w:lineRule="auto"/>
      </w:pPr>
      <w:r>
        <w:t xml:space="preserve">Available at: </w:t>
      </w:r>
      <w:hyperlink r:id="rId8" w:history="1">
        <w:r w:rsidRPr="00D305CA">
          <w:rPr>
            <w:rStyle w:val="Hyperlink"/>
          </w:rPr>
          <w:t>https://gov.wales/sites/default/files/publications/2019-07/the-role-of-the-community-dental-service-and-services-for-vulnerable-people.pdf</w:t>
        </w:r>
      </w:hyperlink>
    </w:p>
  </w:endnote>
  <w:endnote w:id="33">
    <w:p w14:paraId="58E10516" w14:textId="4F21BF39" w:rsidR="00677873" w:rsidRPr="000D4594" w:rsidRDefault="00677873" w:rsidP="00F8725A">
      <w:pPr>
        <w:pStyle w:val="EndnoteText"/>
        <w:spacing w:line="276" w:lineRule="auto"/>
        <w:rPr>
          <w:i/>
        </w:rPr>
      </w:pPr>
      <w:r>
        <w:rPr>
          <w:rStyle w:val="EndnoteReference"/>
        </w:rPr>
        <w:endnoteRef/>
      </w:r>
      <w:r>
        <w:t xml:space="preserve"> </w:t>
      </w:r>
      <w:r w:rsidRPr="000D4594">
        <w:t>National Institute for Health and Care Excellence: Dental checks: intervals between oral health reviews. Clinical guideline [CG19]</w:t>
      </w:r>
      <w:r w:rsidRPr="000D4594">
        <w:rPr>
          <w:i/>
        </w:rPr>
        <w:t xml:space="preserve">. </w:t>
      </w:r>
    </w:p>
    <w:p w14:paraId="2D68FEB4" w14:textId="3F588702" w:rsidR="00677873" w:rsidRDefault="00677873" w:rsidP="00F8725A">
      <w:pPr>
        <w:pStyle w:val="EndnoteText"/>
        <w:spacing w:line="276" w:lineRule="auto"/>
      </w:pPr>
      <w:r>
        <w:t xml:space="preserve">Available at: </w:t>
      </w:r>
      <w:hyperlink r:id="rId9" w:history="1">
        <w:r w:rsidRPr="00D305CA">
          <w:rPr>
            <w:rStyle w:val="Hyperlink"/>
          </w:rPr>
          <w:t>https://www.nice.org.uk/guidance/cg19</w:t>
        </w:r>
      </w:hyperlink>
    </w:p>
  </w:endnote>
  <w:endnote w:id="34">
    <w:p w14:paraId="18037C9A" w14:textId="32BD4182" w:rsidR="00677873" w:rsidRDefault="00677873" w:rsidP="00F8725A">
      <w:pPr>
        <w:pStyle w:val="EndnoteText"/>
        <w:spacing w:line="276" w:lineRule="auto"/>
      </w:pPr>
      <w:r>
        <w:rPr>
          <w:rStyle w:val="EndnoteReference"/>
        </w:rPr>
        <w:endnoteRef/>
      </w:r>
      <w:r>
        <w:t xml:space="preserve"> Public Health Wales, P</w:t>
      </w:r>
      <w:r w:rsidRPr="00756870">
        <w:t>ublic survey to inform the General Dental Services (GDS) Reform Programme in Wales: key findings</w:t>
      </w:r>
      <w:r>
        <w:t xml:space="preserve">. Nov 2020 </w:t>
      </w:r>
    </w:p>
    <w:p w14:paraId="72D5A9B6" w14:textId="41B13D8A" w:rsidR="00677873" w:rsidRDefault="00677873" w:rsidP="00F8725A">
      <w:pPr>
        <w:pStyle w:val="EndnoteText"/>
        <w:spacing w:line="276" w:lineRule="auto"/>
      </w:pPr>
      <w:r>
        <w:t xml:space="preserve">Available at: </w:t>
      </w:r>
      <w:hyperlink r:id="rId10" w:history="1">
        <w:r w:rsidRPr="00D305CA">
          <w:rPr>
            <w:rStyle w:val="Hyperlink"/>
          </w:rPr>
          <w:t>https://primarycareone.nhs.wales/files/dental-engagement-and-insight-reports/gds-public-survey-key-findings-november-2020-pdf/</w:t>
        </w:r>
      </w:hyperlink>
    </w:p>
  </w:endnote>
  <w:endnote w:id="35">
    <w:p w14:paraId="56A9B9E8" w14:textId="72DA2658" w:rsidR="00677873" w:rsidRDefault="00677873" w:rsidP="00F8725A">
      <w:pPr>
        <w:pStyle w:val="EndnoteText"/>
        <w:spacing w:line="276" w:lineRule="auto"/>
      </w:pPr>
      <w:r>
        <w:rPr>
          <w:rStyle w:val="EndnoteReference"/>
        </w:rPr>
        <w:endnoteRef/>
      </w:r>
      <w:r>
        <w:t xml:space="preserve"> </w:t>
      </w:r>
      <w:r w:rsidRPr="000D4594">
        <w:t xml:space="preserve">Ramsay CR, Clarkson JE, Duncan A, et. al.: Improving the Quality of Dentistry (IQuaD): a cluster factorial randomised controlled trial comparing the effectiveness and cost-benefit of oral hygiene advice and/or periodontal instrumentation with routine care for the prevention and management of periodontal disease in dentate adults attending dental primary care. </w:t>
      </w:r>
      <w:r w:rsidRPr="00DB5B01">
        <w:rPr>
          <w:i/>
        </w:rPr>
        <w:t>Health Technol Assess</w:t>
      </w:r>
      <w:r>
        <w:t xml:space="preserve"> 2018; 22: pp. 1-144.</w:t>
      </w:r>
    </w:p>
  </w:endnote>
  <w:endnote w:id="36">
    <w:p w14:paraId="5E451522" w14:textId="52C33214" w:rsidR="00677873" w:rsidRDefault="00677873" w:rsidP="00F8725A">
      <w:pPr>
        <w:pStyle w:val="EndnoteText"/>
        <w:spacing w:line="276" w:lineRule="auto"/>
      </w:pPr>
      <w:r>
        <w:rPr>
          <w:rStyle w:val="EndnoteReference"/>
        </w:rPr>
        <w:endnoteRef/>
      </w:r>
      <w:r>
        <w:t xml:space="preserve"> UK National Screening Committee. Adult screening programme. Oral Cancer</w:t>
      </w:r>
    </w:p>
    <w:p w14:paraId="0DE4A69F" w14:textId="556E9B98" w:rsidR="00677873" w:rsidRDefault="00677873" w:rsidP="00F8725A">
      <w:pPr>
        <w:pStyle w:val="EndnoteText"/>
        <w:spacing w:line="276" w:lineRule="auto"/>
      </w:pPr>
      <w:r>
        <w:t xml:space="preserve">Available at: </w:t>
      </w:r>
      <w:hyperlink r:id="rId11" w:history="1">
        <w:r w:rsidRPr="00D305CA">
          <w:rPr>
            <w:rStyle w:val="Hyperlink"/>
          </w:rPr>
          <w:t>https://view-health-screening-recommendations.service.gov.uk/oral-cancer/</w:t>
        </w:r>
      </w:hyperlink>
      <w:r>
        <w:t xml:space="preserve"> </w:t>
      </w:r>
    </w:p>
  </w:endnote>
  <w:endnote w:id="37">
    <w:p w14:paraId="5B9E0668" w14:textId="548F00B5" w:rsidR="00677873" w:rsidRDefault="00677873" w:rsidP="00F8725A">
      <w:pPr>
        <w:pStyle w:val="EndnoteText"/>
        <w:spacing w:line="276" w:lineRule="auto"/>
      </w:pPr>
      <w:r>
        <w:rPr>
          <w:rStyle w:val="EndnoteReference"/>
        </w:rPr>
        <w:endnoteRef/>
      </w:r>
      <w:r>
        <w:t xml:space="preserve"> UK National Screening Committee. Screening for oral cancer in adults. An evidence map to outline the volume and type of evidence related to screening for oral cancer for the UK National Screening Committee, October 2020.</w:t>
      </w:r>
    </w:p>
    <w:p w14:paraId="5BA8F2E0" w14:textId="033551D0" w:rsidR="00677873" w:rsidRDefault="00677873" w:rsidP="00F8725A">
      <w:pPr>
        <w:pStyle w:val="EndnoteText"/>
        <w:spacing w:line="276" w:lineRule="auto"/>
      </w:pPr>
      <w:r>
        <w:t xml:space="preserve">Available at: </w:t>
      </w:r>
      <w:hyperlink r:id="rId12" w:history="1">
        <w:r w:rsidRPr="00D305CA">
          <w:rPr>
            <w:rStyle w:val="Hyperlink"/>
          </w:rPr>
          <w:t>file:///C:/Users/An123069/Downloads/UK_NSC_Evidence_map_oral_cancer_October_2020.pdf</w:t>
        </w:r>
      </w:hyperlink>
    </w:p>
  </w:endnote>
  <w:endnote w:id="38">
    <w:p w14:paraId="125C52A1" w14:textId="0F39089C" w:rsidR="00677873" w:rsidRDefault="00677873" w:rsidP="00F8725A">
      <w:pPr>
        <w:pStyle w:val="EndnoteText"/>
        <w:spacing w:line="276" w:lineRule="auto"/>
      </w:pPr>
      <w:r>
        <w:rPr>
          <w:rStyle w:val="EndnoteReference"/>
        </w:rPr>
        <w:endnoteRef/>
      </w:r>
      <w:r>
        <w:t xml:space="preserve"> Cancer Research UK, Screening for mouth and oropharyngeal cancer</w:t>
      </w:r>
    </w:p>
    <w:p w14:paraId="356E3E6D" w14:textId="62E3FCA6" w:rsidR="00677873" w:rsidRDefault="00677873" w:rsidP="00F8725A">
      <w:pPr>
        <w:pStyle w:val="EndnoteText"/>
        <w:spacing w:line="276" w:lineRule="auto"/>
      </w:pPr>
      <w:r>
        <w:t xml:space="preserve">Available at: </w:t>
      </w:r>
      <w:hyperlink r:id="rId13" w:anchor=":~:text=Many%20dentists%20routinely%20check%20for,refer%20you%20to%20a%20specialist" w:history="1">
        <w:r w:rsidRPr="00D305CA">
          <w:rPr>
            <w:rStyle w:val="Hyperlink"/>
          </w:rPr>
          <w:t>https://www.cancerresearchuk.org/about-cancer/mouth-cancer/getting-diagnosed/screening#:~:text=Many%20dentists%20routinely%20check%20for,refer%20you%20to%20a%20specialist</w:t>
        </w:r>
      </w:hyperlink>
      <w:r w:rsidRPr="003C32D1">
        <w:t>.</w:t>
      </w:r>
    </w:p>
  </w:endnote>
  <w:endnote w:id="39">
    <w:p w14:paraId="3A67859C" w14:textId="29F5AF62" w:rsidR="00677873" w:rsidRDefault="00677873" w:rsidP="00F8725A">
      <w:pPr>
        <w:pStyle w:val="EndnoteText"/>
        <w:spacing w:line="276" w:lineRule="auto"/>
      </w:pPr>
      <w:r>
        <w:rPr>
          <w:rStyle w:val="EndnoteReference"/>
        </w:rPr>
        <w:endnoteRef/>
      </w:r>
      <w:r>
        <w:t xml:space="preserve"> Public Health Wales, Smoking in Wales (2020)</w:t>
      </w:r>
    </w:p>
    <w:p w14:paraId="442308B0" w14:textId="4BE26207" w:rsidR="00677873" w:rsidRDefault="00677873" w:rsidP="00F8725A">
      <w:pPr>
        <w:pStyle w:val="EndnoteText"/>
        <w:spacing w:line="276" w:lineRule="auto"/>
      </w:pPr>
      <w:r>
        <w:t xml:space="preserve">Available at: </w:t>
      </w:r>
      <w:hyperlink r:id="rId14" w:history="1">
        <w:r w:rsidRPr="00D305CA">
          <w:rPr>
            <w:rStyle w:val="Hyperlink"/>
          </w:rPr>
          <w:t>https://publichealthwales.shinyapps.io/smokinginwales/</w:t>
        </w:r>
      </w:hyperlink>
    </w:p>
  </w:endnote>
  <w:endnote w:id="40">
    <w:p w14:paraId="1E4D8BD8" w14:textId="2006F94F" w:rsidR="00677873" w:rsidRDefault="00677873" w:rsidP="00F8725A">
      <w:pPr>
        <w:pStyle w:val="EndnoteText"/>
        <w:spacing w:line="276" w:lineRule="auto"/>
      </w:pPr>
      <w:r>
        <w:rPr>
          <w:rStyle w:val="EndnoteReference"/>
        </w:rPr>
        <w:endnoteRef/>
      </w:r>
      <w:r>
        <w:t xml:space="preserve"> </w:t>
      </w:r>
      <w:r w:rsidRPr="00773F47">
        <w:t xml:space="preserve">Cope AL, Bannister C, Karki A. et al. The development and application of a chairside oral health risk and need stratification tool in general dental services. </w:t>
      </w:r>
      <w:r w:rsidRPr="00490C23">
        <w:rPr>
          <w:i/>
        </w:rPr>
        <w:t>Journal of Dentistry</w:t>
      </w:r>
      <w:r w:rsidRPr="00773F47">
        <w:t xml:space="preserve"> 2022; 123: 104206.</w:t>
      </w:r>
    </w:p>
    <w:p w14:paraId="5C1CA836" w14:textId="3E076B83" w:rsidR="00677873" w:rsidRDefault="00677873" w:rsidP="00F8725A">
      <w:pPr>
        <w:pStyle w:val="EndnoteText"/>
        <w:spacing w:line="276" w:lineRule="auto"/>
      </w:pPr>
      <w:r>
        <w:t xml:space="preserve">Available at: </w:t>
      </w:r>
      <w:hyperlink r:id="rId15" w:history="1">
        <w:r w:rsidRPr="00D305CA">
          <w:rPr>
            <w:rStyle w:val="Hyperlink"/>
          </w:rPr>
          <w:t>https://www.sciencedirect.com/science/article/pii/S0300571222002627</w:t>
        </w:r>
      </w:hyperlink>
    </w:p>
  </w:endnote>
  <w:endnote w:id="41">
    <w:p w14:paraId="12053D2D" w14:textId="3A7DECF0" w:rsidR="00677873" w:rsidRDefault="00677873" w:rsidP="00F8725A">
      <w:pPr>
        <w:pStyle w:val="EndnoteText"/>
        <w:spacing w:line="276" w:lineRule="auto"/>
      </w:pPr>
      <w:r>
        <w:rPr>
          <w:rStyle w:val="EndnoteReference"/>
        </w:rPr>
        <w:endnoteRef/>
      </w:r>
      <w:r>
        <w:t xml:space="preserve"> </w:t>
      </w:r>
      <w:r w:rsidRPr="008D5667">
        <w:t xml:space="preserve">Brocklehurst PR, Hoare Z, Woods C et al. Dental therapists compared with general dental practitioners for undertaking check-ups in low-risk patients: pilot RCT with realist evaluation. </w:t>
      </w:r>
      <w:r w:rsidRPr="00490C23">
        <w:rPr>
          <w:i/>
        </w:rPr>
        <w:t>Health Serv Deliv Res</w:t>
      </w:r>
      <w:r w:rsidRPr="008D5667">
        <w:t xml:space="preserve"> </w:t>
      </w:r>
      <w:r w:rsidRPr="00490C23">
        <w:t>Southampton (UK): NIHR Journals Library; 2021 Feb. PMID: 33620784.</w:t>
      </w:r>
    </w:p>
  </w:endnote>
  <w:endnote w:id="42">
    <w:p w14:paraId="044825A8" w14:textId="3C76A7D7" w:rsidR="00677873" w:rsidRDefault="00677873" w:rsidP="00F8725A">
      <w:pPr>
        <w:pStyle w:val="EndnoteText"/>
        <w:spacing w:line="276" w:lineRule="auto"/>
      </w:pPr>
      <w:r>
        <w:rPr>
          <w:rStyle w:val="EndnoteReference"/>
        </w:rPr>
        <w:endnoteRef/>
      </w:r>
      <w:r>
        <w:t xml:space="preserve"> </w:t>
      </w:r>
      <w:r w:rsidRPr="008D5667">
        <w:t xml:space="preserve">Macey R, Glenny A, Walsh T et al. The efficacy of screening for common dental diseases by hygiene-therapists: a diagnostic test accuracy study. </w:t>
      </w:r>
      <w:r w:rsidRPr="00490C23">
        <w:rPr>
          <w:i/>
        </w:rPr>
        <w:t>J Dent Res</w:t>
      </w:r>
      <w:r w:rsidRPr="008D5667">
        <w:t xml:space="preserve"> 2015 Mar;94(3 Suppl):70S-78S.</w:t>
      </w:r>
    </w:p>
  </w:endnote>
  <w:endnote w:id="43">
    <w:p w14:paraId="4E630C32" w14:textId="1BE9CDF6" w:rsidR="00677873" w:rsidRDefault="00677873" w:rsidP="00F8725A">
      <w:pPr>
        <w:pStyle w:val="EndnoteText"/>
        <w:spacing w:line="276" w:lineRule="auto"/>
      </w:pPr>
      <w:r>
        <w:rPr>
          <w:rStyle w:val="EndnoteReference"/>
        </w:rPr>
        <w:endnoteRef/>
      </w:r>
      <w:r>
        <w:t xml:space="preserve"> </w:t>
      </w:r>
      <w:r w:rsidRPr="008D5667">
        <w:t xml:space="preserve">Brocklehurst PR, Mertz B, Jerković-Ćosić K. Direct access to midlevel dental providers: an evidence synthesis. </w:t>
      </w:r>
      <w:r w:rsidRPr="00490C23">
        <w:rPr>
          <w:i/>
        </w:rPr>
        <w:t>J Public Health Dent</w:t>
      </w:r>
      <w:r w:rsidRPr="008D5667">
        <w:t xml:space="preserve"> 2014;</w:t>
      </w:r>
      <w:r>
        <w:t xml:space="preserve"> </w:t>
      </w:r>
      <w:r w:rsidRPr="008D5667">
        <w:t>74(4):326-</w:t>
      </w:r>
      <w:r>
        <w:t>3</w:t>
      </w:r>
      <w:r w:rsidRPr="008D5667">
        <w:t>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9809"/>
      <w:docPartObj>
        <w:docPartGallery w:val="Page Numbers (Bottom of Page)"/>
        <w:docPartUnique/>
      </w:docPartObj>
    </w:sdtPr>
    <w:sdtEndPr/>
    <w:sdtContent>
      <w:sdt>
        <w:sdtPr>
          <w:id w:val="-1769616900"/>
          <w:docPartObj>
            <w:docPartGallery w:val="Page Numbers (Top of Page)"/>
            <w:docPartUnique/>
          </w:docPartObj>
        </w:sdtPr>
        <w:sdtEndPr/>
        <w:sdtContent>
          <w:p w14:paraId="01B01BE0" w14:textId="59F19FE3" w:rsidR="00677873" w:rsidRDefault="006778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256F">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256F">
              <w:rPr>
                <w:b/>
                <w:bCs/>
                <w:noProof/>
              </w:rPr>
              <w:t>17</w:t>
            </w:r>
            <w:r>
              <w:rPr>
                <w:b/>
                <w:bCs/>
                <w:sz w:val="24"/>
                <w:szCs w:val="24"/>
              </w:rPr>
              <w:fldChar w:fldCharType="end"/>
            </w:r>
          </w:p>
        </w:sdtContent>
      </w:sdt>
    </w:sdtContent>
  </w:sdt>
  <w:p w14:paraId="041204D0" w14:textId="50693862" w:rsidR="00677873" w:rsidRDefault="00C119F4">
    <w:pPr>
      <w:pStyle w:val="Footer"/>
    </w:pPr>
    <w:r>
      <w:t>Prepared by: Dental Public Health Team, Primary Care Division, Public Health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1191" w14:textId="77777777" w:rsidR="00830905" w:rsidRDefault="00830905" w:rsidP="00435A99">
      <w:r>
        <w:separator/>
      </w:r>
    </w:p>
  </w:footnote>
  <w:footnote w:type="continuationSeparator" w:id="0">
    <w:p w14:paraId="17ABE584" w14:textId="77777777" w:rsidR="00830905" w:rsidRDefault="00830905" w:rsidP="0043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1875"/>
    <w:multiLevelType w:val="hybridMultilevel"/>
    <w:tmpl w:val="E8988B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61D8A"/>
    <w:multiLevelType w:val="hybridMultilevel"/>
    <w:tmpl w:val="E28CB2C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E9D03A0"/>
    <w:multiLevelType w:val="hybridMultilevel"/>
    <w:tmpl w:val="84C4C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8318F"/>
    <w:multiLevelType w:val="hybridMultilevel"/>
    <w:tmpl w:val="09A8AF7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47640456"/>
    <w:multiLevelType w:val="hybridMultilevel"/>
    <w:tmpl w:val="1B82AA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4D2432E5"/>
    <w:multiLevelType w:val="hybridMultilevel"/>
    <w:tmpl w:val="2F9CE8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043F87"/>
    <w:multiLevelType w:val="hybridMultilevel"/>
    <w:tmpl w:val="0D1C41A8"/>
    <w:lvl w:ilvl="0" w:tplc="1862D6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F307B"/>
    <w:multiLevelType w:val="hybridMultilevel"/>
    <w:tmpl w:val="8BE2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E663A"/>
    <w:multiLevelType w:val="hybridMultilevel"/>
    <w:tmpl w:val="30266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6A0E53"/>
    <w:multiLevelType w:val="hybridMultilevel"/>
    <w:tmpl w:val="253CF86E"/>
    <w:lvl w:ilvl="0" w:tplc="67BAD8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6"/>
  </w:num>
  <w:num w:numId="3">
    <w:abstractNumId w:val="8"/>
  </w:num>
  <w:num w:numId="4">
    <w:abstractNumId w:val="5"/>
  </w:num>
  <w:num w:numId="5">
    <w:abstractNumId w:val="0"/>
  </w:num>
  <w:num w:numId="6">
    <w:abstractNumId w:val="2"/>
  </w:num>
  <w:num w:numId="7">
    <w:abstractNumId w:val="1"/>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2A"/>
    <w:rsid w:val="00012CAC"/>
    <w:rsid w:val="000222EE"/>
    <w:rsid w:val="0003738D"/>
    <w:rsid w:val="00043AE3"/>
    <w:rsid w:val="00057A43"/>
    <w:rsid w:val="0006176D"/>
    <w:rsid w:val="00062830"/>
    <w:rsid w:val="00073696"/>
    <w:rsid w:val="00073B42"/>
    <w:rsid w:val="000771F7"/>
    <w:rsid w:val="0008272A"/>
    <w:rsid w:val="000A03A0"/>
    <w:rsid w:val="000A11EB"/>
    <w:rsid w:val="000C3428"/>
    <w:rsid w:val="000C5083"/>
    <w:rsid w:val="000D134A"/>
    <w:rsid w:val="000D4594"/>
    <w:rsid w:val="00111353"/>
    <w:rsid w:val="00141633"/>
    <w:rsid w:val="001529B9"/>
    <w:rsid w:val="00161723"/>
    <w:rsid w:val="0016307C"/>
    <w:rsid w:val="0016565D"/>
    <w:rsid w:val="001C6BBA"/>
    <w:rsid w:val="00213DE1"/>
    <w:rsid w:val="00217DA2"/>
    <w:rsid w:val="002824CD"/>
    <w:rsid w:val="00285B01"/>
    <w:rsid w:val="00296592"/>
    <w:rsid w:val="002C12E8"/>
    <w:rsid w:val="002C1B68"/>
    <w:rsid w:val="002E1D09"/>
    <w:rsid w:val="00304EEF"/>
    <w:rsid w:val="00317D38"/>
    <w:rsid w:val="00323874"/>
    <w:rsid w:val="0035391D"/>
    <w:rsid w:val="00364574"/>
    <w:rsid w:val="003824ED"/>
    <w:rsid w:val="003C32D1"/>
    <w:rsid w:val="003C7873"/>
    <w:rsid w:val="003D437C"/>
    <w:rsid w:val="003F1998"/>
    <w:rsid w:val="00413618"/>
    <w:rsid w:val="00427AB6"/>
    <w:rsid w:val="00435A99"/>
    <w:rsid w:val="00454A3B"/>
    <w:rsid w:val="00490C23"/>
    <w:rsid w:val="00496B15"/>
    <w:rsid w:val="004A13A6"/>
    <w:rsid w:val="004B6AEE"/>
    <w:rsid w:val="004B6AFE"/>
    <w:rsid w:val="004F505B"/>
    <w:rsid w:val="004F562A"/>
    <w:rsid w:val="00543AD1"/>
    <w:rsid w:val="00547B97"/>
    <w:rsid w:val="00567991"/>
    <w:rsid w:val="00571267"/>
    <w:rsid w:val="005839E8"/>
    <w:rsid w:val="005870C0"/>
    <w:rsid w:val="005A0BF6"/>
    <w:rsid w:val="005C63C8"/>
    <w:rsid w:val="005F0C55"/>
    <w:rsid w:val="00612A19"/>
    <w:rsid w:val="006432A1"/>
    <w:rsid w:val="00646865"/>
    <w:rsid w:val="00677873"/>
    <w:rsid w:val="006D11CE"/>
    <w:rsid w:val="006D469B"/>
    <w:rsid w:val="006D470C"/>
    <w:rsid w:val="006E336A"/>
    <w:rsid w:val="006E412B"/>
    <w:rsid w:val="006E65AE"/>
    <w:rsid w:val="006F2025"/>
    <w:rsid w:val="006F4F7D"/>
    <w:rsid w:val="007213F7"/>
    <w:rsid w:val="00734002"/>
    <w:rsid w:val="007422E0"/>
    <w:rsid w:val="007429FD"/>
    <w:rsid w:val="00752DC8"/>
    <w:rsid w:val="00756870"/>
    <w:rsid w:val="00771075"/>
    <w:rsid w:val="007726B3"/>
    <w:rsid w:val="00773F47"/>
    <w:rsid w:val="007D4CC1"/>
    <w:rsid w:val="007E7085"/>
    <w:rsid w:val="007F33E2"/>
    <w:rsid w:val="00830905"/>
    <w:rsid w:val="008417F0"/>
    <w:rsid w:val="00861424"/>
    <w:rsid w:val="008733F4"/>
    <w:rsid w:val="00883786"/>
    <w:rsid w:val="008902AC"/>
    <w:rsid w:val="008B514D"/>
    <w:rsid w:val="008D5667"/>
    <w:rsid w:val="008D768B"/>
    <w:rsid w:val="008E256F"/>
    <w:rsid w:val="008F6F71"/>
    <w:rsid w:val="00904F8D"/>
    <w:rsid w:val="00905E6E"/>
    <w:rsid w:val="009235EA"/>
    <w:rsid w:val="009359B1"/>
    <w:rsid w:val="009524B0"/>
    <w:rsid w:val="00995AE9"/>
    <w:rsid w:val="009979D4"/>
    <w:rsid w:val="009D3F09"/>
    <w:rsid w:val="009D54AD"/>
    <w:rsid w:val="00A10523"/>
    <w:rsid w:val="00A12977"/>
    <w:rsid w:val="00A13BCF"/>
    <w:rsid w:val="00A2193C"/>
    <w:rsid w:val="00A464E0"/>
    <w:rsid w:val="00A56BE7"/>
    <w:rsid w:val="00A64AEA"/>
    <w:rsid w:val="00A64AF3"/>
    <w:rsid w:val="00A6607A"/>
    <w:rsid w:val="00A7308F"/>
    <w:rsid w:val="00A85279"/>
    <w:rsid w:val="00AB2BBA"/>
    <w:rsid w:val="00AB6152"/>
    <w:rsid w:val="00AF737C"/>
    <w:rsid w:val="00B164D6"/>
    <w:rsid w:val="00B27E08"/>
    <w:rsid w:val="00B31955"/>
    <w:rsid w:val="00B76003"/>
    <w:rsid w:val="00BA403C"/>
    <w:rsid w:val="00BA67BD"/>
    <w:rsid w:val="00BA6AA3"/>
    <w:rsid w:val="00BC170B"/>
    <w:rsid w:val="00BC6656"/>
    <w:rsid w:val="00BD3EF5"/>
    <w:rsid w:val="00C119F4"/>
    <w:rsid w:val="00C169E1"/>
    <w:rsid w:val="00C37200"/>
    <w:rsid w:val="00C41DFC"/>
    <w:rsid w:val="00C672F3"/>
    <w:rsid w:val="00C81D87"/>
    <w:rsid w:val="00C8614C"/>
    <w:rsid w:val="00C9231A"/>
    <w:rsid w:val="00CF20C3"/>
    <w:rsid w:val="00CF7725"/>
    <w:rsid w:val="00D229BA"/>
    <w:rsid w:val="00D254D0"/>
    <w:rsid w:val="00D3085A"/>
    <w:rsid w:val="00D33383"/>
    <w:rsid w:val="00D51D1A"/>
    <w:rsid w:val="00D64CEE"/>
    <w:rsid w:val="00D652E0"/>
    <w:rsid w:val="00D82380"/>
    <w:rsid w:val="00D85DBD"/>
    <w:rsid w:val="00DB5B01"/>
    <w:rsid w:val="00DB6C15"/>
    <w:rsid w:val="00DD37DC"/>
    <w:rsid w:val="00DE18CE"/>
    <w:rsid w:val="00DF27C3"/>
    <w:rsid w:val="00DF4F8C"/>
    <w:rsid w:val="00E207AF"/>
    <w:rsid w:val="00E62E80"/>
    <w:rsid w:val="00E730E3"/>
    <w:rsid w:val="00E866DC"/>
    <w:rsid w:val="00EA11ED"/>
    <w:rsid w:val="00EB3230"/>
    <w:rsid w:val="00ED20EC"/>
    <w:rsid w:val="00ED7477"/>
    <w:rsid w:val="00EE6670"/>
    <w:rsid w:val="00EF6CDA"/>
    <w:rsid w:val="00F01403"/>
    <w:rsid w:val="00F050F5"/>
    <w:rsid w:val="00F51FC6"/>
    <w:rsid w:val="00F661E4"/>
    <w:rsid w:val="00F719A9"/>
    <w:rsid w:val="00F843E9"/>
    <w:rsid w:val="00F8725A"/>
    <w:rsid w:val="00F9066F"/>
    <w:rsid w:val="00F96900"/>
    <w:rsid w:val="00FA6E08"/>
    <w:rsid w:val="00FA7F85"/>
    <w:rsid w:val="00FB15DD"/>
    <w:rsid w:val="00FB44C4"/>
    <w:rsid w:val="00FC4A74"/>
    <w:rsid w:val="00FF3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6005"/>
  <w15:chartTrackingRefBased/>
  <w15:docId w15:val="{E96E9540-AE8A-4E2B-A150-08D3644C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2A"/>
    <w:pPr>
      <w:spacing w:after="0" w:line="240" w:lineRule="auto"/>
    </w:pPr>
    <w:rPr>
      <w:rFonts w:ascii="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35A99"/>
    <w:rPr>
      <w:sz w:val="20"/>
      <w:szCs w:val="20"/>
    </w:rPr>
  </w:style>
  <w:style w:type="character" w:customStyle="1" w:styleId="EndnoteTextChar">
    <w:name w:val="Endnote Text Char"/>
    <w:basedOn w:val="DefaultParagraphFont"/>
    <w:link w:val="EndnoteText"/>
    <w:uiPriority w:val="99"/>
    <w:semiHidden/>
    <w:rsid w:val="00435A99"/>
    <w:rPr>
      <w:rFonts w:ascii="Segoe UI" w:hAnsi="Segoe UI" w:cs="Segoe UI"/>
      <w:sz w:val="20"/>
      <w:szCs w:val="20"/>
    </w:rPr>
  </w:style>
  <w:style w:type="character" w:styleId="EndnoteReference">
    <w:name w:val="endnote reference"/>
    <w:basedOn w:val="DefaultParagraphFont"/>
    <w:uiPriority w:val="99"/>
    <w:semiHidden/>
    <w:unhideWhenUsed/>
    <w:rsid w:val="00435A99"/>
    <w:rPr>
      <w:vertAlign w:val="superscript"/>
    </w:rPr>
  </w:style>
  <w:style w:type="character" w:styleId="Hyperlink">
    <w:name w:val="Hyperlink"/>
    <w:basedOn w:val="DefaultParagraphFont"/>
    <w:uiPriority w:val="99"/>
    <w:unhideWhenUsed/>
    <w:rsid w:val="0006176D"/>
    <w:rPr>
      <w:color w:val="0000FF"/>
      <w:u w:val="single"/>
    </w:rPr>
  </w:style>
  <w:style w:type="paragraph" w:styleId="FootnoteText">
    <w:name w:val="footnote text"/>
    <w:basedOn w:val="Normal"/>
    <w:link w:val="FootnoteTextChar"/>
    <w:uiPriority w:val="99"/>
    <w:semiHidden/>
    <w:unhideWhenUsed/>
    <w:rsid w:val="005839E8"/>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5839E8"/>
    <w:rPr>
      <w:rFonts w:ascii="Calibri" w:hAnsi="Calibri" w:cs="Times New Roman"/>
      <w:sz w:val="20"/>
      <w:szCs w:val="20"/>
    </w:rPr>
  </w:style>
  <w:style w:type="character" w:styleId="FootnoteReference">
    <w:name w:val="footnote reference"/>
    <w:basedOn w:val="DefaultParagraphFont"/>
    <w:uiPriority w:val="99"/>
    <w:semiHidden/>
    <w:unhideWhenUsed/>
    <w:rsid w:val="005839E8"/>
    <w:rPr>
      <w:vertAlign w:val="superscript"/>
    </w:rPr>
  </w:style>
  <w:style w:type="table" w:styleId="TableGrid">
    <w:name w:val="Table Grid"/>
    <w:basedOn w:val="TableNormal"/>
    <w:uiPriority w:val="39"/>
    <w:rsid w:val="008F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FC6"/>
    <w:pPr>
      <w:ind w:left="720"/>
      <w:contextualSpacing/>
    </w:pPr>
  </w:style>
  <w:style w:type="character" w:styleId="FollowedHyperlink">
    <w:name w:val="FollowedHyperlink"/>
    <w:basedOn w:val="DefaultParagraphFont"/>
    <w:uiPriority w:val="99"/>
    <w:semiHidden/>
    <w:unhideWhenUsed/>
    <w:rsid w:val="00DB5B01"/>
    <w:rPr>
      <w:color w:val="954F72" w:themeColor="followedHyperlink"/>
      <w:u w:val="single"/>
    </w:rPr>
  </w:style>
  <w:style w:type="paragraph" w:styleId="Header">
    <w:name w:val="header"/>
    <w:basedOn w:val="Normal"/>
    <w:link w:val="HeaderChar"/>
    <w:uiPriority w:val="99"/>
    <w:unhideWhenUsed/>
    <w:rsid w:val="005870C0"/>
    <w:pPr>
      <w:tabs>
        <w:tab w:val="center" w:pos="4513"/>
        <w:tab w:val="right" w:pos="9026"/>
      </w:tabs>
    </w:pPr>
  </w:style>
  <w:style w:type="character" w:customStyle="1" w:styleId="HeaderChar">
    <w:name w:val="Header Char"/>
    <w:basedOn w:val="DefaultParagraphFont"/>
    <w:link w:val="Header"/>
    <w:uiPriority w:val="99"/>
    <w:rsid w:val="005870C0"/>
    <w:rPr>
      <w:rFonts w:ascii="Segoe UI" w:hAnsi="Segoe UI" w:cs="Segoe UI"/>
    </w:rPr>
  </w:style>
  <w:style w:type="paragraph" w:styleId="Footer">
    <w:name w:val="footer"/>
    <w:basedOn w:val="Normal"/>
    <w:link w:val="FooterChar"/>
    <w:uiPriority w:val="99"/>
    <w:unhideWhenUsed/>
    <w:rsid w:val="005870C0"/>
    <w:pPr>
      <w:tabs>
        <w:tab w:val="center" w:pos="4513"/>
        <w:tab w:val="right" w:pos="9026"/>
      </w:tabs>
    </w:pPr>
  </w:style>
  <w:style w:type="character" w:customStyle="1" w:styleId="FooterChar">
    <w:name w:val="Footer Char"/>
    <w:basedOn w:val="DefaultParagraphFont"/>
    <w:link w:val="Footer"/>
    <w:uiPriority w:val="99"/>
    <w:rsid w:val="005870C0"/>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26165">
      <w:bodyDiv w:val="1"/>
      <w:marLeft w:val="0"/>
      <w:marRight w:val="0"/>
      <w:marTop w:val="0"/>
      <w:marBottom w:val="0"/>
      <w:divBdr>
        <w:top w:val="none" w:sz="0" w:space="0" w:color="auto"/>
        <w:left w:val="none" w:sz="0" w:space="0" w:color="auto"/>
        <w:bottom w:val="none" w:sz="0" w:space="0" w:color="auto"/>
        <w:right w:val="none" w:sz="0" w:space="0" w:color="auto"/>
      </w:divBdr>
    </w:div>
    <w:div w:id="1272279843">
      <w:bodyDiv w:val="1"/>
      <w:marLeft w:val="0"/>
      <w:marRight w:val="0"/>
      <w:marTop w:val="0"/>
      <w:marBottom w:val="0"/>
      <w:divBdr>
        <w:top w:val="none" w:sz="0" w:space="0" w:color="auto"/>
        <w:left w:val="none" w:sz="0" w:space="0" w:color="auto"/>
        <w:bottom w:val="none" w:sz="0" w:space="0" w:color="auto"/>
        <w:right w:val="none" w:sz="0" w:space="0" w:color="auto"/>
      </w:divBdr>
    </w:div>
    <w:div w:id="1295599342">
      <w:bodyDiv w:val="1"/>
      <w:marLeft w:val="0"/>
      <w:marRight w:val="0"/>
      <w:marTop w:val="0"/>
      <w:marBottom w:val="0"/>
      <w:divBdr>
        <w:top w:val="none" w:sz="0" w:space="0" w:color="auto"/>
        <w:left w:val="none" w:sz="0" w:space="0" w:color="auto"/>
        <w:bottom w:val="none" w:sz="0" w:space="0" w:color="auto"/>
        <w:right w:val="none" w:sz="0" w:space="0" w:color="auto"/>
      </w:divBdr>
    </w:div>
    <w:div w:id="1425957441">
      <w:bodyDiv w:val="1"/>
      <w:marLeft w:val="0"/>
      <w:marRight w:val="0"/>
      <w:marTop w:val="0"/>
      <w:marBottom w:val="0"/>
      <w:divBdr>
        <w:top w:val="none" w:sz="0" w:space="0" w:color="auto"/>
        <w:left w:val="none" w:sz="0" w:space="0" w:color="auto"/>
        <w:bottom w:val="none" w:sz="0" w:space="0" w:color="auto"/>
        <w:right w:val="none" w:sz="0" w:space="0" w:color="auto"/>
      </w:divBdr>
    </w:div>
    <w:div w:id="1646624556">
      <w:bodyDiv w:val="1"/>
      <w:marLeft w:val="0"/>
      <w:marRight w:val="0"/>
      <w:marTop w:val="0"/>
      <w:marBottom w:val="0"/>
      <w:divBdr>
        <w:top w:val="none" w:sz="0" w:space="0" w:color="auto"/>
        <w:left w:val="none" w:sz="0" w:space="0" w:color="auto"/>
        <w:bottom w:val="none" w:sz="0" w:space="0" w:color="auto"/>
        <w:right w:val="none" w:sz="0" w:space="0" w:color="auto"/>
      </w:divBdr>
    </w:div>
    <w:div w:id="1972437521">
      <w:bodyDiv w:val="1"/>
      <w:marLeft w:val="0"/>
      <w:marRight w:val="0"/>
      <w:marTop w:val="0"/>
      <w:marBottom w:val="0"/>
      <w:divBdr>
        <w:top w:val="none" w:sz="0" w:space="0" w:color="auto"/>
        <w:left w:val="none" w:sz="0" w:space="0" w:color="auto"/>
        <w:bottom w:val="none" w:sz="0" w:space="0" w:color="auto"/>
        <w:right w:val="none" w:sz="0" w:space="0" w:color="auto"/>
      </w:divBdr>
    </w:div>
    <w:div w:id="1984653790">
      <w:bodyDiv w:val="1"/>
      <w:marLeft w:val="0"/>
      <w:marRight w:val="0"/>
      <w:marTop w:val="0"/>
      <w:marBottom w:val="0"/>
      <w:divBdr>
        <w:top w:val="none" w:sz="0" w:space="0" w:color="auto"/>
        <w:left w:val="none" w:sz="0" w:space="0" w:color="auto"/>
        <w:bottom w:val="none" w:sz="0" w:space="0" w:color="auto"/>
        <w:right w:val="none" w:sz="0" w:space="0" w:color="auto"/>
      </w:divBdr>
      <w:divsChild>
        <w:div w:id="126569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usiness.senedd.wales/mgCommitteeDetails.aspx?ID=737" TargetMode="Externa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8" Type="http://schemas.openxmlformats.org/officeDocument/2006/relationships/hyperlink" Target="https://gov.wales/sites/default/files/publications/2019-07/the-role-of-the-community-dental-service-and-services-for-vulnerable-people.pdf" TargetMode="External"/><Relationship Id="rId13" Type="http://schemas.openxmlformats.org/officeDocument/2006/relationships/hyperlink" Target="https://www.cancerresearchuk.org/about-cancer/mouth-cancer/getting-diagnosed/screening" TargetMode="External"/><Relationship Id="rId3" Type="http://schemas.openxmlformats.org/officeDocument/2006/relationships/hyperlink" Target="https://gov.wales/sites/default/files/publications/2022-03/healthy-weight-healthy-wales-2022-to-2024-delivery-plan_0.pdf" TargetMode="External"/><Relationship Id="rId7" Type="http://schemas.openxmlformats.org/officeDocument/2006/relationships/hyperlink" Target="https://www.who.int/news/item/27-05-2021-world-health-assembly-resolution-paves-the-way-for-better-oral-health-care" TargetMode="External"/><Relationship Id="rId12" Type="http://schemas.openxmlformats.org/officeDocument/2006/relationships/hyperlink" Target="file:///C:/Users/An123069/Downloads/UK_NSC_Evidence_map_oral_cancer_October_2020.pdf" TargetMode="External"/><Relationship Id="rId2" Type="http://schemas.openxmlformats.org/officeDocument/2006/relationships/hyperlink" Target="https://www.cardiff.ac.uk/__data/assets/pdf_file/0019/1201465/Full-Report-Oral-Health-2018.pdf" TargetMode="External"/><Relationship Id="rId1" Type="http://schemas.openxmlformats.org/officeDocument/2006/relationships/hyperlink" Target="https://files.digital.nhs.uk/publicationimport/pub01xxx/pub01086/adul-dent-heal-surv-summ-them-wale-2009-re13.pdf" TargetMode="External"/><Relationship Id="rId6" Type="http://schemas.openxmlformats.org/officeDocument/2006/relationships/hyperlink" Target="https://phw.nhs.wales/services-and-teams/designed-to-smile/" TargetMode="External"/><Relationship Id="rId11" Type="http://schemas.openxmlformats.org/officeDocument/2006/relationships/hyperlink" Target="https://view-health-screening-recommendations.service.gov.uk/oral-cancer/" TargetMode="External"/><Relationship Id="rId5" Type="http://schemas.openxmlformats.org/officeDocument/2006/relationships/hyperlink" Target="https://www.cardiff.ac.uk/research/explore/research-units/welsh-oral-health-information-unit" TargetMode="External"/><Relationship Id="rId15" Type="http://schemas.openxmlformats.org/officeDocument/2006/relationships/hyperlink" Target="https://www.sciencedirect.com/science/article/pii/S0300571222002627" TargetMode="External"/><Relationship Id="rId10" Type="http://schemas.openxmlformats.org/officeDocument/2006/relationships/hyperlink" Target="https://primarycareone.nhs.wales/files/dental-engagement-and-insight-reports/gds-public-survey-key-findings-november-2020-pdf/" TargetMode="External"/><Relationship Id="rId4" Type="http://schemas.openxmlformats.org/officeDocument/2006/relationships/hyperlink" Target="https://phw.nhs.wales/services-and-teams/dental-public-health/oral-health-intelligence/" TargetMode="External"/><Relationship Id="rId9" Type="http://schemas.openxmlformats.org/officeDocument/2006/relationships/hyperlink" Target="https://www.nice.org.uk/guidance/cg19" TargetMode="External"/><Relationship Id="rId14" Type="http://schemas.openxmlformats.org/officeDocument/2006/relationships/hyperlink" Target="https://publichealthwales.shinyapps.io/smokinginwale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Sheet1!$C$4</c:f>
              <c:strCache>
                <c:ptCount val="1"/>
                <c:pt idx="0">
                  <c:v>Number of children seen in the previous 12 months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0222450136135304E-2"/>
                  <c:y val="-5.1118210862619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C5-4F8E-B749-2160F68602CB}"/>
                </c:ext>
              </c:extLst>
            </c:dLbl>
            <c:dLbl>
              <c:idx val="13"/>
              <c:layout>
                <c:manualLayout>
                  <c:x val="-4.0444900272270613E-3"/>
                  <c:y val="-6.3897763578274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C5-4F8E-B749-2160F68602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Sheet1!$D$3:$Q$3</c:f>
              <c:numCache>
                <c:formatCode>mmm\-yy</c:formatCode>
                <c:ptCount val="14"/>
                <c:pt idx="0">
                  <c:v>43556</c:v>
                </c:pt>
                <c:pt idx="1">
                  <c:v>43647</c:v>
                </c:pt>
                <c:pt idx="2">
                  <c:v>43739</c:v>
                </c:pt>
                <c:pt idx="3">
                  <c:v>43831</c:v>
                </c:pt>
                <c:pt idx="4">
                  <c:v>43922</c:v>
                </c:pt>
                <c:pt idx="5">
                  <c:v>44013</c:v>
                </c:pt>
                <c:pt idx="6">
                  <c:v>44105</c:v>
                </c:pt>
                <c:pt idx="7">
                  <c:v>44197</c:v>
                </c:pt>
                <c:pt idx="8">
                  <c:v>44287</c:v>
                </c:pt>
                <c:pt idx="9">
                  <c:v>44378</c:v>
                </c:pt>
                <c:pt idx="10">
                  <c:v>44470</c:v>
                </c:pt>
                <c:pt idx="11">
                  <c:v>44562</c:v>
                </c:pt>
                <c:pt idx="12">
                  <c:v>44652</c:v>
                </c:pt>
                <c:pt idx="13">
                  <c:v>44743</c:v>
                </c:pt>
              </c:numCache>
            </c:numRef>
          </c:cat>
          <c:val>
            <c:numRef>
              <c:f>Sheet1!$D$4:$Q$4</c:f>
              <c:numCache>
                <c:formatCode>#,##0</c:formatCode>
                <c:ptCount val="14"/>
                <c:pt idx="0">
                  <c:v>366200</c:v>
                </c:pt>
                <c:pt idx="1">
                  <c:v>366950</c:v>
                </c:pt>
                <c:pt idx="2">
                  <c:v>368817</c:v>
                </c:pt>
                <c:pt idx="3">
                  <c:v>370125</c:v>
                </c:pt>
                <c:pt idx="4">
                  <c:v>354767</c:v>
                </c:pt>
                <c:pt idx="5">
                  <c:v>309738</c:v>
                </c:pt>
                <c:pt idx="6">
                  <c:v>215165</c:v>
                </c:pt>
                <c:pt idx="7">
                  <c:v>129994</c:v>
                </c:pt>
                <c:pt idx="8">
                  <c:v>102360</c:v>
                </c:pt>
                <c:pt idx="9">
                  <c:v>147748</c:v>
                </c:pt>
                <c:pt idx="10">
                  <c:v>176150</c:v>
                </c:pt>
                <c:pt idx="11">
                  <c:v>197116</c:v>
                </c:pt>
                <c:pt idx="12">
                  <c:v>209075</c:v>
                </c:pt>
                <c:pt idx="13">
                  <c:v>225294</c:v>
                </c:pt>
              </c:numCache>
            </c:numRef>
          </c:val>
          <c:smooth val="0"/>
          <c:extLst>
            <c:ext xmlns:c16="http://schemas.microsoft.com/office/drawing/2014/chart" uri="{C3380CC4-5D6E-409C-BE32-E72D297353CC}">
              <c16:uniqueId val="{00000002-34C5-4F8E-B749-2160F68602CB}"/>
            </c:ext>
          </c:extLst>
        </c:ser>
        <c:dLbls>
          <c:showLegendKey val="0"/>
          <c:showVal val="0"/>
          <c:showCatName val="0"/>
          <c:showSerName val="0"/>
          <c:showPercent val="0"/>
          <c:showBubbleSize val="0"/>
        </c:dLbls>
        <c:marker val="1"/>
        <c:smooth val="0"/>
        <c:axId val="648350040"/>
        <c:axId val="648349384"/>
      </c:lineChart>
      <c:dateAx>
        <c:axId val="648350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Arial" panose="020B0604020202020204" pitchFamily="34" charset="0"/>
                    <a:cs typeface="Arial" panose="020B0604020202020204" pitchFamily="34"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8349384"/>
        <c:crosses val="autoZero"/>
        <c:auto val="1"/>
        <c:lblOffset val="100"/>
        <c:baseTimeUnit val="months"/>
      </c:dateAx>
      <c:valAx>
        <c:axId val="648349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latin typeface="Arial" panose="020B0604020202020204" pitchFamily="34" charset="0"/>
                    <a:cs typeface="Arial" panose="020B0604020202020204" pitchFamily="34" charset="0"/>
                  </a:rPr>
                  <a:t>Number</a:t>
                </a:r>
              </a:p>
            </c:rich>
          </c:tx>
          <c:layout>
            <c:manualLayout>
              <c:xMode val="edge"/>
              <c:yMode val="edge"/>
              <c:x val="2.2244695149748837E-2"/>
              <c:y val="0.381530338377298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83500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'From eDen'!$C$6</c:f>
              <c:strCache>
                <c:ptCount val="1"/>
                <c:pt idx="0">
                  <c:v>Number of adults seen in the previous 24 months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7346177750155399E-2"/>
                  <c:y val="-5.3115423901940753E-2"/>
                </c:manualLayout>
              </c:layout>
              <c:tx>
                <c:rich>
                  <a:bodyPr/>
                  <a:lstStyle/>
                  <a:p>
                    <a:fld id="{8F976E1E-662D-40D0-AE6C-FF45D27BB2EC}" type="VALUE">
                      <a:rPr lang="en-US" b="1">
                        <a:latin typeface="Arial" panose="020B0604020202020204" pitchFamily="34" charset="0"/>
                        <a:cs typeface="Arial" panose="020B0604020202020204" pitchFamily="34" charset="0"/>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21F-4F23-BF9F-5257AC3CED2B}"/>
                </c:ext>
              </c:extLst>
            </c:dLbl>
            <c:dLbl>
              <c:idx val="13"/>
              <c:layout>
                <c:manualLayout>
                  <c:x val="-7.4580484773151025E-3"/>
                  <c:y val="-5.3115423901940753E-2"/>
                </c:manualLayout>
              </c:layout>
              <c:tx>
                <c:rich>
                  <a:bodyPr/>
                  <a:lstStyle/>
                  <a:p>
                    <a:fld id="{FA48D596-BC01-4862-82EE-836B8D44FA4E}" type="VALUE">
                      <a:rPr lang="en-US" b="1">
                        <a:latin typeface="Arial" panose="020B0604020202020204" pitchFamily="34" charset="0"/>
                        <a:cs typeface="Arial" panose="020B0604020202020204" pitchFamily="34" charset="0"/>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21F-4F23-BF9F-5257AC3CED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'From eDen'!$D$5:$Q$5</c:f>
              <c:numCache>
                <c:formatCode>mmm\-yy</c:formatCode>
                <c:ptCount val="14"/>
                <c:pt idx="0">
                  <c:v>43556</c:v>
                </c:pt>
                <c:pt idx="1">
                  <c:v>43647</c:v>
                </c:pt>
                <c:pt idx="2">
                  <c:v>43739</c:v>
                </c:pt>
                <c:pt idx="3">
                  <c:v>43831</c:v>
                </c:pt>
                <c:pt idx="4">
                  <c:v>43922</c:v>
                </c:pt>
                <c:pt idx="5">
                  <c:v>44013</c:v>
                </c:pt>
                <c:pt idx="6">
                  <c:v>44105</c:v>
                </c:pt>
                <c:pt idx="7">
                  <c:v>44197</c:v>
                </c:pt>
                <c:pt idx="8">
                  <c:v>44287</c:v>
                </c:pt>
                <c:pt idx="9">
                  <c:v>44378</c:v>
                </c:pt>
                <c:pt idx="10">
                  <c:v>44470</c:v>
                </c:pt>
                <c:pt idx="11">
                  <c:v>44562</c:v>
                </c:pt>
                <c:pt idx="12">
                  <c:v>44652</c:v>
                </c:pt>
                <c:pt idx="13">
                  <c:v>44743</c:v>
                </c:pt>
              </c:numCache>
            </c:numRef>
          </c:cat>
          <c:val>
            <c:numRef>
              <c:f>'From eDen'!$D$6:$Q$6</c:f>
              <c:numCache>
                <c:formatCode>#,##0</c:formatCode>
                <c:ptCount val="14"/>
                <c:pt idx="0">
                  <c:v>1305045</c:v>
                </c:pt>
                <c:pt idx="1">
                  <c:v>1303263</c:v>
                </c:pt>
                <c:pt idx="2">
                  <c:v>1299683</c:v>
                </c:pt>
                <c:pt idx="3">
                  <c:v>1299235</c:v>
                </c:pt>
                <c:pt idx="4">
                  <c:v>1285211</c:v>
                </c:pt>
                <c:pt idx="5">
                  <c:v>1249915</c:v>
                </c:pt>
                <c:pt idx="6">
                  <c:v>1215143</c:v>
                </c:pt>
                <c:pt idx="7">
                  <c:v>1177538</c:v>
                </c:pt>
                <c:pt idx="8">
                  <c:v>1124127</c:v>
                </c:pt>
                <c:pt idx="9">
                  <c:v>1046307</c:v>
                </c:pt>
                <c:pt idx="10">
                  <c:v>914914</c:v>
                </c:pt>
                <c:pt idx="11">
                  <c:v>784422</c:v>
                </c:pt>
                <c:pt idx="12">
                  <c:v>757110</c:v>
                </c:pt>
                <c:pt idx="13">
                  <c:v>840568</c:v>
                </c:pt>
              </c:numCache>
            </c:numRef>
          </c:val>
          <c:smooth val="0"/>
          <c:extLst>
            <c:ext xmlns:c16="http://schemas.microsoft.com/office/drawing/2014/chart" uri="{C3380CC4-5D6E-409C-BE32-E72D297353CC}">
              <c16:uniqueId val="{00000002-521F-4F23-BF9F-5257AC3CED2B}"/>
            </c:ext>
          </c:extLst>
        </c:ser>
        <c:dLbls>
          <c:showLegendKey val="0"/>
          <c:showVal val="0"/>
          <c:showCatName val="0"/>
          <c:showSerName val="0"/>
          <c:showPercent val="0"/>
          <c:showBubbleSize val="0"/>
        </c:dLbls>
        <c:marker val="1"/>
        <c:smooth val="0"/>
        <c:axId val="594941808"/>
        <c:axId val="594943120"/>
      </c:lineChart>
      <c:dateAx>
        <c:axId val="59494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Arial" panose="020B0604020202020204" pitchFamily="34" charset="0"/>
                    <a:cs typeface="Arial" panose="020B0604020202020204" pitchFamily="34" charset="0"/>
                  </a:rPr>
                  <a:t>24 months ending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43120"/>
        <c:crosses val="autoZero"/>
        <c:auto val="1"/>
        <c:lblOffset val="100"/>
        <c:baseTimeUnit val="months"/>
      </c:dateAx>
      <c:valAx>
        <c:axId val="59494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latin typeface="Arial" panose="020B0604020202020204" pitchFamily="34" charset="0"/>
                    <a:cs typeface="Arial" panose="020B0604020202020204" pitchFamily="34" charset="0"/>
                  </a:rPr>
                  <a:t>Number</a:t>
                </a:r>
              </a:p>
            </c:rich>
          </c:tx>
          <c:layout>
            <c:manualLayout>
              <c:xMode val="edge"/>
              <c:yMode val="edge"/>
              <c:x val="2.7346177750155375E-2"/>
              <c:y val="0.332129265091863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4941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562360129389755E-2"/>
          <c:y val="7.7628793225123505E-2"/>
          <c:w val="0.90460895874577885"/>
          <c:h val="0.66634844603493026"/>
        </c:manualLayout>
      </c:layout>
      <c:barChart>
        <c:barDir val="col"/>
        <c:grouping val="clustered"/>
        <c:varyColors val="0"/>
        <c:ser>
          <c:idx val="0"/>
          <c:order val="0"/>
          <c:tx>
            <c:strRef>
              <c:f>'3.2.1 Oral Health'!$H$19</c:f>
              <c:strCache>
                <c:ptCount val="1"/>
                <c:pt idx="0">
                  <c:v>Good </c:v>
                </c:pt>
              </c:strCache>
            </c:strRef>
          </c:tx>
          <c:spPr>
            <a:solidFill>
              <a:schemeClr val="accent1"/>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'3.2.1 Oral Health'!$G$20:$G$24</c:f>
              <c:strCache>
                <c:ptCount val="5"/>
                <c:pt idx="0">
                  <c:v>1 (least deprived)</c:v>
                </c:pt>
                <c:pt idx="1">
                  <c:v>2</c:v>
                </c:pt>
                <c:pt idx="2">
                  <c:v>3</c:v>
                </c:pt>
                <c:pt idx="3">
                  <c:v>4</c:v>
                </c:pt>
                <c:pt idx="4">
                  <c:v>5 (most deprived)</c:v>
                </c:pt>
              </c:strCache>
            </c:strRef>
          </c:cat>
          <c:val>
            <c:numRef>
              <c:f>'3.2.1 Oral Health'!$H$20:$H$24</c:f>
              <c:numCache>
                <c:formatCode>General</c:formatCode>
                <c:ptCount val="5"/>
                <c:pt idx="0">
                  <c:v>0.746</c:v>
                </c:pt>
                <c:pt idx="1">
                  <c:v>0.64900000000000002</c:v>
                </c:pt>
                <c:pt idx="2">
                  <c:v>0.64900000000000002</c:v>
                </c:pt>
                <c:pt idx="3">
                  <c:v>0.61899999999999999</c:v>
                </c:pt>
                <c:pt idx="4">
                  <c:v>0.58499999999999996</c:v>
                </c:pt>
              </c:numCache>
            </c:numRef>
          </c:val>
          <c:extLst>
            <c:ext xmlns:c16="http://schemas.microsoft.com/office/drawing/2014/chart" uri="{C3380CC4-5D6E-409C-BE32-E72D297353CC}">
              <c16:uniqueId val="{00000000-D6A4-4FF0-AB16-4FF732889CD4}"/>
            </c:ext>
          </c:extLst>
        </c:ser>
        <c:ser>
          <c:idx val="1"/>
          <c:order val="1"/>
          <c:tx>
            <c:strRef>
              <c:f>'3.2.1 Oral Health'!$I$19</c:f>
              <c:strCache>
                <c:ptCount val="1"/>
                <c:pt idx="0">
                  <c:v>Fair</c:v>
                </c:pt>
              </c:strCache>
            </c:strRef>
          </c:tx>
          <c:spPr>
            <a:solidFill>
              <a:srgbClr val="FFC000"/>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'3.2.1 Oral Health'!$G$20:$G$24</c:f>
              <c:strCache>
                <c:ptCount val="5"/>
                <c:pt idx="0">
                  <c:v>1 (least deprived)</c:v>
                </c:pt>
                <c:pt idx="1">
                  <c:v>2</c:v>
                </c:pt>
                <c:pt idx="2">
                  <c:v>3</c:v>
                </c:pt>
                <c:pt idx="3">
                  <c:v>4</c:v>
                </c:pt>
                <c:pt idx="4">
                  <c:v>5 (most deprived)</c:v>
                </c:pt>
              </c:strCache>
            </c:strRef>
          </c:cat>
          <c:val>
            <c:numRef>
              <c:f>'3.2.1 Oral Health'!$I$20:$I$24</c:f>
              <c:numCache>
                <c:formatCode>General</c:formatCode>
                <c:ptCount val="5"/>
                <c:pt idx="0">
                  <c:v>0.20699999999999999</c:v>
                </c:pt>
                <c:pt idx="1">
                  <c:v>0.26800000000000002</c:v>
                </c:pt>
                <c:pt idx="2">
                  <c:v>0.29699999999999999</c:v>
                </c:pt>
                <c:pt idx="3">
                  <c:v>0.27500000000000002</c:v>
                </c:pt>
                <c:pt idx="4">
                  <c:v>0.29299999999999998</c:v>
                </c:pt>
              </c:numCache>
            </c:numRef>
          </c:val>
          <c:extLst>
            <c:ext xmlns:c16="http://schemas.microsoft.com/office/drawing/2014/chart" uri="{C3380CC4-5D6E-409C-BE32-E72D297353CC}">
              <c16:uniqueId val="{00000001-D6A4-4FF0-AB16-4FF732889CD4}"/>
            </c:ext>
          </c:extLst>
        </c:ser>
        <c:ser>
          <c:idx val="2"/>
          <c:order val="2"/>
          <c:tx>
            <c:strRef>
              <c:f>'3.2.1 Oral Health'!$J$19</c:f>
              <c:strCache>
                <c:ptCount val="1"/>
                <c:pt idx="0">
                  <c:v>Poor</c:v>
                </c:pt>
              </c:strCache>
            </c:strRef>
          </c:tx>
          <c:spPr>
            <a:solidFill>
              <a:schemeClr val="bg2">
                <a:lumMod val="10000"/>
              </a:scheme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'3.2.1 Oral Health'!$G$20:$G$24</c:f>
              <c:strCache>
                <c:ptCount val="5"/>
                <c:pt idx="0">
                  <c:v>1 (least deprived)</c:v>
                </c:pt>
                <c:pt idx="1">
                  <c:v>2</c:v>
                </c:pt>
                <c:pt idx="2">
                  <c:v>3</c:v>
                </c:pt>
                <c:pt idx="3">
                  <c:v>4</c:v>
                </c:pt>
                <c:pt idx="4">
                  <c:v>5 (most deprived)</c:v>
                </c:pt>
              </c:strCache>
            </c:strRef>
          </c:cat>
          <c:val>
            <c:numRef>
              <c:f>'3.2.1 Oral Health'!$J$20:$J$24</c:f>
              <c:numCache>
                <c:formatCode>General</c:formatCode>
                <c:ptCount val="5"/>
                <c:pt idx="0">
                  <c:v>4.7E-2</c:v>
                </c:pt>
                <c:pt idx="1">
                  <c:v>8.3000000000000004E-2</c:v>
                </c:pt>
                <c:pt idx="2">
                  <c:v>5.4000000000000006E-2</c:v>
                </c:pt>
                <c:pt idx="3">
                  <c:v>0.106</c:v>
                </c:pt>
                <c:pt idx="4">
                  <c:v>0.122</c:v>
                </c:pt>
              </c:numCache>
            </c:numRef>
          </c:val>
          <c:extLst>
            <c:ext xmlns:c16="http://schemas.microsoft.com/office/drawing/2014/chart" uri="{C3380CC4-5D6E-409C-BE32-E72D297353CC}">
              <c16:uniqueId val="{00000002-D6A4-4FF0-AB16-4FF732889CD4}"/>
            </c:ext>
          </c:extLst>
        </c:ser>
        <c:dLbls>
          <c:dLblPos val="outEnd"/>
          <c:showLegendKey val="0"/>
          <c:showVal val="1"/>
          <c:showCatName val="0"/>
          <c:showSerName val="0"/>
          <c:showPercent val="0"/>
          <c:showBubbleSize val="0"/>
        </c:dLbls>
        <c:gapWidth val="75"/>
        <c:axId val="456108328"/>
        <c:axId val="456111608"/>
      </c:barChart>
      <c:catAx>
        <c:axId val="4561083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Deprivation quintiles</a:t>
                </a:r>
              </a:p>
            </c:rich>
          </c:tx>
          <c:layout>
            <c:manualLayout>
              <c:xMode val="edge"/>
              <c:yMode val="edge"/>
              <c:x val="0.42913165220332716"/>
              <c:y val="0.85829105518479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6111608"/>
        <c:crosses val="autoZero"/>
        <c:auto val="1"/>
        <c:lblAlgn val="ctr"/>
        <c:lblOffset val="100"/>
        <c:noMultiLvlLbl val="0"/>
      </c:catAx>
      <c:valAx>
        <c:axId val="456111608"/>
        <c:scaling>
          <c:orientation val="minMax"/>
          <c:max val="1"/>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6108328"/>
        <c:crosses val="autoZero"/>
        <c:crossBetween val="between"/>
      </c:valAx>
      <c:spPr>
        <a:noFill/>
        <a:ln>
          <a:noFill/>
        </a:ln>
        <a:effectLst/>
      </c:spPr>
    </c:plotArea>
    <c:legend>
      <c:legendPos val="b"/>
      <c:layout>
        <c:manualLayout>
          <c:xMode val="edge"/>
          <c:yMode val="edge"/>
          <c:x val="0.78325221280514157"/>
          <c:y val="3.4049978050555922E-2"/>
          <c:w val="0.20552006333855979"/>
          <c:h val="0.119090459493551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513968770511804E-2"/>
          <c:y val="7.9898583713788385E-2"/>
          <c:w val="0.90261278789051758"/>
          <c:h val="0.74682292620399193"/>
        </c:manualLayout>
      </c:layout>
      <c:barChart>
        <c:barDir val="col"/>
        <c:grouping val="clustered"/>
        <c:varyColors val="0"/>
        <c:ser>
          <c:idx val="0"/>
          <c:order val="0"/>
          <c:tx>
            <c:strRef>
              <c:f>'3.2.3 Health Behaviours'!$L$21</c:f>
              <c:strCache>
                <c:ptCount val="1"/>
                <c:pt idx="0">
                  <c:v>6+ times a day</c:v>
                </c:pt>
              </c:strCache>
            </c:strRef>
          </c:tx>
          <c:spPr>
            <a:solidFill>
              <a:srgbClr val="44546A">
                <a:lumMod val="50000"/>
              </a:srgb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'3.2.3 Health Behaviours'!$K$22:$K$26</c:f>
              <c:strCache>
                <c:ptCount val="5"/>
                <c:pt idx="0">
                  <c:v>1 (least deprived)</c:v>
                </c:pt>
                <c:pt idx="1">
                  <c:v>2</c:v>
                </c:pt>
                <c:pt idx="2">
                  <c:v>3</c:v>
                </c:pt>
                <c:pt idx="3">
                  <c:v>4</c:v>
                </c:pt>
                <c:pt idx="4">
                  <c:v>5 (most deprived)</c:v>
                </c:pt>
              </c:strCache>
            </c:strRef>
          </c:cat>
          <c:val>
            <c:numRef>
              <c:f>'3.2.3 Health Behaviours'!$L$22:$L$26</c:f>
              <c:numCache>
                <c:formatCode>General</c:formatCode>
                <c:ptCount val="5"/>
                <c:pt idx="0">
                  <c:v>1.7241379310344827E-2</c:v>
                </c:pt>
                <c:pt idx="1">
                  <c:v>2.6315789473684209E-2</c:v>
                </c:pt>
                <c:pt idx="2">
                  <c:v>3.1531531531531529E-2</c:v>
                </c:pt>
                <c:pt idx="3">
                  <c:v>5.5045871559633038E-2</c:v>
                </c:pt>
                <c:pt idx="4">
                  <c:v>0.14634146341463414</c:v>
                </c:pt>
              </c:numCache>
            </c:numRef>
          </c:val>
          <c:extLst>
            <c:ext xmlns:c16="http://schemas.microsoft.com/office/drawing/2014/chart" uri="{C3380CC4-5D6E-409C-BE32-E72D297353CC}">
              <c16:uniqueId val="{00000000-70C4-4930-8D0D-CABF426AFF71}"/>
            </c:ext>
          </c:extLst>
        </c:ser>
        <c:ser>
          <c:idx val="1"/>
          <c:order val="1"/>
          <c:tx>
            <c:strRef>
              <c:f>'3.2.3 Health Behaviours'!$M$21</c:f>
              <c:strCache>
                <c:ptCount val="1"/>
                <c:pt idx="0">
                  <c:v>4-5 times a day</c:v>
                </c:pt>
              </c:strCache>
            </c:strRef>
          </c:tx>
          <c:spPr>
            <a:solidFill>
              <a:srgbClr val="ED7D31"/>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'3.2.3 Health Behaviours'!$K$22:$K$26</c:f>
              <c:strCache>
                <c:ptCount val="5"/>
                <c:pt idx="0">
                  <c:v>1 (least deprived)</c:v>
                </c:pt>
                <c:pt idx="1">
                  <c:v>2</c:v>
                </c:pt>
                <c:pt idx="2">
                  <c:v>3</c:v>
                </c:pt>
                <c:pt idx="3">
                  <c:v>4</c:v>
                </c:pt>
                <c:pt idx="4">
                  <c:v>5 (most deprived)</c:v>
                </c:pt>
              </c:strCache>
            </c:strRef>
          </c:cat>
          <c:val>
            <c:numRef>
              <c:f>'3.2.3 Health Behaviours'!$M$22:$M$26</c:f>
              <c:numCache>
                <c:formatCode>General</c:formatCode>
                <c:ptCount val="5"/>
                <c:pt idx="0">
                  <c:v>7.3275862068965511E-2</c:v>
                </c:pt>
                <c:pt idx="1">
                  <c:v>9.6491228070175433E-2</c:v>
                </c:pt>
                <c:pt idx="2">
                  <c:v>0.12162162162162163</c:v>
                </c:pt>
                <c:pt idx="3">
                  <c:v>0.15137614678899083</c:v>
                </c:pt>
                <c:pt idx="4">
                  <c:v>0.18048780487804877</c:v>
                </c:pt>
              </c:numCache>
            </c:numRef>
          </c:val>
          <c:extLst>
            <c:ext xmlns:c16="http://schemas.microsoft.com/office/drawing/2014/chart" uri="{C3380CC4-5D6E-409C-BE32-E72D297353CC}">
              <c16:uniqueId val="{00000001-70C4-4930-8D0D-CABF426AFF71}"/>
            </c:ext>
          </c:extLst>
        </c:ser>
        <c:ser>
          <c:idx val="2"/>
          <c:order val="2"/>
          <c:tx>
            <c:strRef>
              <c:f>'3.2.3 Health Behaviours'!$N$21</c:f>
              <c:strCache>
                <c:ptCount val="1"/>
                <c:pt idx="0">
                  <c:v>2-3 times a day</c:v>
                </c:pt>
              </c:strCache>
            </c:strRef>
          </c:tx>
          <c:spPr>
            <a:solidFill>
              <a:srgbClr val="5B9BD5"/>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'3.2.3 Health Behaviours'!$K$22:$K$26</c:f>
              <c:strCache>
                <c:ptCount val="5"/>
                <c:pt idx="0">
                  <c:v>1 (least deprived)</c:v>
                </c:pt>
                <c:pt idx="1">
                  <c:v>2</c:v>
                </c:pt>
                <c:pt idx="2">
                  <c:v>3</c:v>
                </c:pt>
                <c:pt idx="3">
                  <c:v>4</c:v>
                </c:pt>
                <c:pt idx="4">
                  <c:v>5 (most deprived)</c:v>
                </c:pt>
              </c:strCache>
            </c:strRef>
          </c:cat>
          <c:val>
            <c:numRef>
              <c:f>'3.2.3 Health Behaviours'!$N$22:$N$26</c:f>
              <c:numCache>
                <c:formatCode>General</c:formatCode>
                <c:ptCount val="5"/>
                <c:pt idx="0">
                  <c:v>0.31896551724137934</c:v>
                </c:pt>
                <c:pt idx="1">
                  <c:v>0.31140350877192985</c:v>
                </c:pt>
                <c:pt idx="2">
                  <c:v>0.34234234234234234</c:v>
                </c:pt>
                <c:pt idx="3">
                  <c:v>0.4403669724770643</c:v>
                </c:pt>
                <c:pt idx="4">
                  <c:v>0.29268292682926828</c:v>
                </c:pt>
              </c:numCache>
            </c:numRef>
          </c:val>
          <c:extLst>
            <c:ext xmlns:c16="http://schemas.microsoft.com/office/drawing/2014/chart" uri="{C3380CC4-5D6E-409C-BE32-E72D297353CC}">
              <c16:uniqueId val="{00000002-70C4-4930-8D0D-CABF426AFF71}"/>
            </c:ext>
          </c:extLst>
        </c:ser>
        <c:ser>
          <c:idx val="3"/>
          <c:order val="3"/>
          <c:tx>
            <c:strRef>
              <c:f>'3.2.3 Health Behaviours'!$O$21</c:f>
              <c:strCache>
                <c:ptCount val="1"/>
                <c:pt idx="0">
                  <c:v>Once a day</c:v>
                </c:pt>
              </c:strCache>
            </c:strRef>
          </c:tx>
          <c:spPr>
            <a:solidFill>
              <a:srgbClr val="FFC000"/>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'3.2.3 Health Behaviours'!$K$22:$K$26</c:f>
              <c:strCache>
                <c:ptCount val="5"/>
                <c:pt idx="0">
                  <c:v>1 (least deprived)</c:v>
                </c:pt>
                <c:pt idx="1">
                  <c:v>2</c:v>
                </c:pt>
                <c:pt idx="2">
                  <c:v>3</c:v>
                </c:pt>
                <c:pt idx="3">
                  <c:v>4</c:v>
                </c:pt>
                <c:pt idx="4">
                  <c:v>5 (most deprived)</c:v>
                </c:pt>
              </c:strCache>
            </c:strRef>
          </c:cat>
          <c:val>
            <c:numRef>
              <c:f>'3.2.3 Health Behaviours'!$O$22:$O$26</c:f>
              <c:numCache>
                <c:formatCode>General</c:formatCode>
                <c:ptCount val="5"/>
                <c:pt idx="0">
                  <c:v>0.41810344827586204</c:v>
                </c:pt>
                <c:pt idx="1">
                  <c:v>0.32894736842105265</c:v>
                </c:pt>
                <c:pt idx="2">
                  <c:v>0.34234234234234234</c:v>
                </c:pt>
                <c:pt idx="3">
                  <c:v>0.22935779816513763</c:v>
                </c:pt>
                <c:pt idx="4">
                  <c:v>0.30243902439024389</c:v>
                </c:pt>
              </c:numCache>
            </c:numRef>
          </c:val>
          <c:extLst>
            <c:ext xmlns:c16="http://schemas.microsoft.com/office/drawing/2014/chart" uri="{C3380CC4-5D6E-409C-BE32-E72D297353CC}">
              <c16:uniqueId val="{00000003-70C4-4930-8D0D-CABF426AFF71}"/>
            </c:ext>
          </c:extLst>
        </c:ser>
        <c:ser>
          <c:idx val="4"/>
          <c:order val="4"/>
          <c:tx>
            <c:strRef>
              <c:f>'3.2.3 Health Behaviours'!$P$21</c:f>
              <c:strCache>
                <c:ptCount val="1"/>
                <c:pt idx="0">
                  <c:v>Never</c:v>
                </c:pt>
              </c:strCache>
            </c:strRef>
          </c:tx>
          <c:spPr>
            <a:solidFill>
              <a:srgbClr val="5B9BD5">
                <a:lumMod val="40000"/>
                <a:lumOff val="60000"/>
              </a:srgb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'3.2.3 Health Behaviours'!$K$22:$K$26</c:f>
              <c:strCache>
                <c:ptCount val="5"/>
                <c:pt idx="0">
                  <c:v>1 (least deprived)</c:v>
                </c:pt>
                <c:pt idx="1">
                  <c:v>2</c:v>
                </c:pt>
                <c:pt idx="2">
                  <c:v>3</c:v>
                </c:pt>
                <c:pt idx="3">
                  <c:v>4</c:v>
                </c:pt>
                <c:pt idx="4">
                  <c:v>5 (most deprived)</c:v>
                </c:pt>
              </c:strCache>
            </c:strRef>
          </c:cat>
          <c:val>
            <c:numRef>
              <c:f>'3.2.3 Health Behaviours'!$P$22:$P$26</c:f>
              <c:numCache>
                <c:formatCode>General</c:formatCode>
                <c:ptCount val="5"/>
                <c:pt idx="0">
                  <c:v>0.17241379310344829</c:v>
                </c:pt>
                <c:pt idx="1">
                  <c:v>0.23684210526315788</c:v>
                </c:pt>
                <c:pt idx="2">
                  <c:v>0.16216216216216217</c:v>
                </c:pt>
                <c:pt idx="3">
                  <c:v>0.12385321100917432</c:v>
                </c:pt>
                <c:pt idx="4">
                  <c:v>7.8048780487804878E-2</c:v>
                </c:pt>
              </c:numCache>
            </c:numRef>
          </c:val>
          <c:extLst>
            <c:ext xmlns:c16="http://schemas.microsoft.com/office/drawing/2014/chart" uri="{C3380CC4-5D6E-409C-BE32-E72D297353CC}">
              <c16:uniqueId val="{00000004-70C4-4930-8D0D-CABF426AFF71}"/>
            </c:ext>
          </c:extLst>
        </c:ser>
        <c:dLbls>
          <c:dLblPos val="outEnd"/>
          <c:showLegendKey val="0"/>
          <c:showVal val="1"/>
          <c:showCatName val="0"/>
          <c:showSerName val="0"/>
          <c:showPercent val="0"/>
          <c:showBubbleSize val="0"/>
        </c:dLbls>
        <c:gapWidth val="75"/>
        <c:axId val="500675744"/>
        <c:axId val="500682304"/>
      </c:barChart>
      <c:catAx>
        <c:axId val="5006757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Deprivation quintiles</a:t>
                </a:r>
              </a:p>
            </c:rich>
          </c:tx>
          <c:layout>
            <c:manualLayout>
              <c:xMode val="edge"/>
              <c:yMode val="edge"/>
              <c:x val="0.4597367280543142"/>
              <c:y val="0.8948685832875541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0682304"/>
        <c:crosses val="autoZero"/>
        <c:auto val="1"/>
        <c:lblAlgn val="ctr"/>
        <c:lblOffset val="100"/>
        <c:noMultiLvlLbl val="0"/>
      </c:catAx>
      <c:valAx>
        <c:axId val="500682304"/>
        <c:scaling>
          <c:orientation val="minMax"/>
          <c:max val="0.60000000000000009"/>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0675744"/>
        <c:crosses val="autoZero"/>
        <c:crossBetween val="between"/>
      </c:valAx>
      <c:spPr>
        <a:noFill/>
        <a:ln>
          <a:noFill/>
        </a:ln>
        <a:effectLst/>
      </c:spPr>
    </c:plotArea>
    <c:legend>
      <c:legendPos val="b"/>
      <c:layout>
        <c:manualLayout>
          <c:xMode val="edge"/>
          <c:yMode val="edge"/>
          <c:x val="0.17130146339500599"/>
          <c:y val="3.6931189882139823E-2"/>
          <c:w val="0.77921289475414424"/>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390510561656714E-2"/>
          <c:y val="2.7777777777777776E-2"/>
          <c:w val="0.88589347881754332"/>
          <c:h val="0.78333060264651744"/>
        </c:manualLayout>
      </c:layout>
      <c:barChart>
        <c:barDir val="col"/>
        <c:grouping val="clustered"/>
        <c:varyColors val="0"/>
        <c:ser>
          <c:idx val="0"/>
          <c:order val="0"/>
          <c:tx>
            <c:strRef>
              <c:f>'3.4.1 CheckUp Freq'!$J$42</c:f>
              <c:strCache>
                <c:ptCount val="1"/>
                <c:pt idx="0">
                  <c:v>&lt; 1 year</c:v>
                </c:pt>
              </c:strCache>
            </c:strRef>
          </c:tx>
          <c:spPr>
            <a:solidFill>
              <a:srgbClr val="5B9BD5"/>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'3.4.1 CheckUp Freq'!$I$43:$I$47</c:f>
              <c:strCache>
                <c:ptCount val="5"/>
                <c:pt idx="0">
                  <c:v>1 (least deprived)</c:v>
                </c:pt>
                <c:pt idx="1">
                  <c:v>2</c:v>
                </c:pt>
                <c:pt idx="2">
                  <c:v>3</c:v>
                </c:pt>
                <c:pt idx="3">
                  <c:v>4</c:v>
                </c:pt>
                <c:pt idx="4">
                  <c:v>5 (most deprived)</c:v>
                </c:pt>
              </c:strCache>
            </c:strRef>
          </c:cat>
          <c:val>
            <c:numRef>
              <c:f>'3.4.1 CheckUp Freq'!$J$43:$J$47</c:f>
              <c:numCache>
                <c:formatCode>General</c:formatCode>
                <c:ptCount val="5"/>
                <c:pt idx="0">
                  <c:v>0.81</c:v>
                </c:pt>
                <c:pt idx="1">
                  <c:v>0.72400000000000009</c:v>
                </c:pt>
                <c:pt idx="2">
                  <c:v>0.68900000000000006</c:v>
                </c:pt>
                <c:pt idx="3">
                  <c:v>0.57799999999999996</c:v>
                </c:pt>
                <c:pt idx="4">
                  <c:v>0.61</c:v>
                </c:pt>
              </c:numCache>
            </c:numRef>
          </c:val>
          <c:extLst>
            <c:ext xmlns:c16="http://schemas.microsoft.com/office/drawing/2014/chart" uri="{C3380CC4-5D6E-409C-BE32-E72D297353CC}">
              <c16:uniqueId val="{00000000-DAB2-4BA3-8560-4A983A29457C}"/>
            </c:ext>
          </c:extLst>
        </c:ser>
        <c:ser>
          <c:idx val="1"/>
          <c:order val="1"/>
          <c:tx>
            <c:strRef>
              <c:f>'3.4.1 CheckUp Freq'!$K$42</c:f>
              <c:strCache>
                <c:ptCount val="1"/>
                <c:pt idx="0">
                  <c:v>1 - 2 years</c:v>
                </c:pt>
              </c:strCache>
            </c:strRef>
          </c:tx>
          <c:spPr>
            <a:solidFill>
              <a:sysClr val="window" lastClr="FFFFFF">
                <a:lumMod val="65000"/>
              </a:sys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'3.4.1 CheckUp Freq'!$I$43:$I$47</c:f>
              <c:strCache>
                <c:ptCount val="5"/>
                <c:pt idx="0">
                  <c:v>1 (least deprived)</c:v>
                </c:pt>
                <c:pt idx="1">
                  <c:v>2</c:v>
                </c:pt>
                <c:pt idx="2">
                  <c:v>3</c:v>
                </c:pt>
                <c:pt idx="3">
                  <c:v>4</c:v>
                </c:pt>
                <c:pt idx="4">
                  <c:v>5 (most deprived)</c:v>
                </c:pt>
              </c:strCache>
            </c:strRef>
          </c:cat>
          <c:val>
            <c:numRef>
              <c:f>'3.4.1 CheckUp Freq'!$K$43:$K$47</c:f>
              <c:numCache>
                <c:formatCode>General</c:formatCode>
                <c:ptCount val="5"/>
                <c:pt idx="0">
                  <c:v>2.2000000000000002E-2</c:v>
                </c:pt>
                <c:pt idx="1">
                  <c:v>6.6000000000000003E-2</c:v>
                </c:pt>
                <c:pt idx="2">
                  <c:v>8.5999999999999993E-2</c:v>
                </c:pt>
                <c:pt idx="3">
                  <c:v>0.05</c:v>
                </c:pt>
                <c:pt idx="4">
                  <c:v>8.8000000000000009E-2</c:v>
                </c:pt>
              </c:numCache>
            </c:numRef>
          </c:val>
          <c:extLst>
            <c:ext xmlns:c16="http://schemas.microsoft.com/office/drawing/2014/chart" uri="{C3380CC4-5D6E-409C-BE32-E72D297353CC}">
              <c16:uniqueId val="{00000001-DAB2-4BA3-8560-4A983A29457C}"/>
            </c:ext>
          </c:extLst>
        </c:ser>
        <c:ser>
          <c:idx val="2"/>
          <c:order val="2"/>
          <c:tx>
            <c:strRef>
              <c:f>'3.4.1 CheckUp Freq'!$L$42</c:f>
              <c:strCache>
                <c:ptCount val="1"/>
                <c:pt idx="0">
                  <c:v>2-3 Years</c:v>
                </c:pt>
              </c:strCache>
            </c:strRef>
          </c:tx>
          <c:spPr>
            <a:solidFill>
              <a:srgbClr val="E7E6E6">
                <a:lumMod val="10000"/>
              </a:srgbClr>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'3.4.1 CheckUp Freq'!$I$43:$I$47</c:f>
              <c:strCache>
                <c:ptCount val="5"/>
                <c:pt idx="0">
                  <c:v>1 (least deprived)</c:v>
                </c:pt>
                <c:pt idx="1">
                  <c:v>2</c:v>
                </c:pt>
                <c:pt idx="2">
                  <c:v>3</c:v>
                </c:pt>
                <c:pt idx="3">
                  <c:v>4</c:v>
                </c:pt>
                <c:pt idx="4">
                  <c:v>5 (most deprived)</c:v>
                </c:pt>
              </c:strCache>
            </c:strRef>
          </c:cat>
          <c:val>
            <c:numRef>
              <c:f>'3.4.1 CheckUp Freq'!$L$43:$L$47</c:f>
              <c:numCache>
                <c:formatCode>General</c:formatCode>
                <c:ptCount val="5"/>
                <c:pt idx="0">
                  <c:v>3.4000000000000002E-2</c:v>
                </c:pt>
                <c:pt idx="1">
                  <c:v>3.1E-2</c:v>
                </c:pt>
                <c:pt idx="2">
                  <c:v>4.4999999999999998E-2</c:v>
                </c:pt>
                <c:pt idx="3">
                  <c:v>6.9000000000000006E-2</c:v>
                </c:pt>
                <c:pt idx="4">
                  <c:v>4.4000000000000004E-2</c:v>
                </c:pt>
              </c:numCache>
            </c:numRef>
          </c:val>
          <c:extLst>
            <c:ext xmlns:c16="http://schemas.microsoft.com/office/drawing/2014/chart" uri="{C3380CC4-5D6E-409C-BE32-E72D297353CC}">
              <c16:uniqueId val="{00000002-DAB2-4BA3-8560-4A983A29457C}"/>
            </c:ext>
          </c:extLst>
        </c:ser>
        <c:ser>
          <c:idx val="3"/>
          <c:order val="3"/>
          <c:tx>
            <c:strRef>
              <c:f>'3.4.1 CheckUp Freq'!$M$42</c:f>
              <c:strCache>
                <c:ptCount val="1"/>
                <c:pt idx="0">
                  <c:v>&gt; 3 years</c:v>
                </c:pt>
              </c:strCache>
            </c:strRef>
          </c:tx>
          <c:spPr>
            <a:solidFill>
              <a:srgbClr val="FFC000"/>
            </a:solidFill>
            <a:ln>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'3.4.1 CheckUp Freq'!$I$43:$I$47</c:f>
              <c:strCache>
                <c:ptCount val="5"/>
                <c:pt idx="0">
                  <c:v>1 (least deprived)</c:v>
                </c:pt>
                <c:pt idx="1">
                  <c:v>2</c:v>
                </c:pt>
                <c:pt idx="2">
                  <c:v>3</c:v>
                </c:pt>
                <c:pt idx="3">
                  <c:v>4</c:v>
                </c:pt>
                <c:pt idx="4">
                  <c:v>5 (most deprived)</c:v>
                </c:pt>
              </c:strCache>
            </c:strRef>
          </c:cat>
          <c:val>
            <c:numRef>
              <c:f>'3.4.1 CheckUp Freq'!$M$43:$M$47</c:f>
              <c:numCache>
                <c:formatCode>General</c:formatCode>
                <c:ptCount val="5"/>
                <c:pt idx="0">
                  <c:v>0.13400000000000001</c:v>
                </c:pt>
                <c:pt idx="1">
                  <c:v>0.18</c:v>
                </c:pt>
                <c:pt idx="2">
                  <c:v>0.18</c:v>
                </c:pt>
                <c:pt idx="3">
                  <c:v>0.30299999999999999</c:v>
                </c:pt>
                <c:pt idx="4">
                  <c:v>0.25900000000000001</c:v>
                </c:pt>
              </c:numCache>
            </c:numRef>
          </c:val>
          <c:extLst>
            <c:ext xmlns:c16="http://schemas.microsoft.com/office/drawing/2014/chart" uri="{C3380CC4-5D6E-409C-BE32-E72D297353CC}">
              <c16:uniqueId val="{00000003-DAB2-4BA3-8560-4A983A29457C}"/>
            </c:ext>
          </c:extLst>
        </c:ser>
        <c:dLbls>
          <c:dLblPos val="outEnd"/>
          <c:showLegendKey val="0"/>
          <c:showVal val="1"/>
          <c:showCatName val="0"/>
          <c:showSerName val="0"/>
          <c:showPercent val="0"/>
          <c:showBubbleSize val="0"/>
        </c:dLbls>
        <c:gapWidth val="75"/>
        <c:axId val="500937840"/>
        <c:axId val="500939480"/>
      </c:barChart>
      <c:catAx>
        <c:axId val="50093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Deprivation quintile</a:t>
                </a:r>
              </a:p>
            </c:rich>
          </c:tx>
          <c:layout>
            <c:manualLayout>
              <c:xMode val="edge"/>
              <c:yMode val="edge"/>
              <c:x val="0.44241134276602884"/>
              <c:y val="0.906945903487890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939480"/>
        <c:crosses val="autoZero"/>
        <c:auto val="1"/>
        <c:lblAlgn val="ctr"/>
        <c:lblOffset val="100"/>
        <c:noMultiLvlLbl val="0"/>
      </c:catAx>
      <c:valAx>
        <c:axId val="500939480"/>
        <c:scaling>
          <c:orientation val="minMax"/>
          <c:max val="1"/>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937840"/>
        <c:crosses val="autoZero"/>
        <c:crossBetween val="between"/>
      </c:valAx>
      <c:spPr>
        <a:noFill/>
        <a:ln>
          <a:noFill/>
        </a:ln>
        <a:effectLst/>
      </c:spPr>
    </c:plotArea>
    <c:legend>
      <c:legendPos val="b"/>
      <c:layout>
        <c:manualLayout>
          <c:xMode val="edge"/>
          <c:yMode val="edge"/>
          <c:x val="0.28759726088508936"/>
          <c:y val="2.3328359156718314E-3"/>
          <c:w val="0.71064918614720307"/>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14" ma:contentTypeDescription="Create a new document." ma:contentTypeScope="" ma:versionID="f6f5cc3d46bbbb1d94bf65e84aee13aa">
  <xsd:schema xmlns:xsd="http://www.w3.org/2001/XMLSchema" xmlns:xs="http://www.w3.org/2001/XMLSchema" xmlns:p="http://schemas.microsoft.com/office/2006/metadata/properties" xmlns:ns3="7eb3d039-33b6-4495-9bc2-698ff4d5488a" xmlns:ns4="c9a6731c-53d6-464c-b253-c810b90fd6a8" targetNamespace="http://schemas.microsoft.com/office/2006/metadata/properties" ma:root="true" ma:fieldsID="ca94965153d49e07692d01a7e59419b4" ns3:_="" ns4:_="">
    <xsd:import namespace="7eb3d039-33b6-4495-9bc2-698ff4d5488a"/>
    <xsd:import namespace="c9a6731c-53d6-464c-b253-c810b90fd6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d039-33b6-4495-9bc2-698ff4d548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C89B-6BE4-4A17-A7C5-D2E1A95C506B}">
  <ds:schemaRefs>
    <ds:schemaRef ds:uri="c9a6731c-53d6-464c-b253-c810b90fd6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b3d039-33b6-4495-9bc2-698ff4d5488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58ACB4E-868F-4EB3-BF0C-33C1D803ED10}">
  <ds:schemaRefs>
    <ds:schemaRef ds:uri="http://schemas.openxmlformats.org/officeDocument/2006/bibliography"/>
  </ds:schemaRefs>
</ds:datastoreItem>
</file>

<file path=customXml/itemProps3.xml><?xml version="1.0" encoding="utf-8"?>
<ds:datastoreItem xmlns:ds="http://schemas.openxmlformats.org/officeDocument/2006/customXml" ds:itemID="{F600D1C2-1740-4F97-823F-B83F1797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d039-33b6-4495-9bc2-698ff4d5488a"/>
    <ds:schemaRef ds:uri="c9a6731c-53d6-464c-b253-c810b90f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0A59F-B73E-4D25-86B5-001222EF0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4708</Words>
  <Characters>26839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Wilson (Public Health Wales - Matrix House)</dc:creator>
  <cp:keywords/>
  <dc:description/>
  <cp:lastModifiedBy>Tracey Cooper (Public Health Wales - No. 2 Capital Quarter)</cp:lastModifiedBy>
  <cp:revision>3</cp:revision>
  <cp:lastPrinted>2022-09-12T12:30:00Z</cp:lastPrinted>
  <dcterms:created xsi:type="dcterms:W3CDTF">2022-11-17T15:21:00Z</dcterms:created>
  <dcterms:modified xsi:type="dcterms:W3CDTF">2022-11-17T15:22:00Z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ies>
</file>