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8F1F7E" w:rsidTr="0013075E">
        <w:tc>
          <w:tcPr>
            <w:tcW w:w="5202" w:type="dxa"/>
            <w:gridSpan w:val="4"/>
            <w:vMerge w:val="restart"/>
          </w:tcPr>
          <w:p w:rsidR="0013075E" w:rsidRPr="008F1F7E" w:rsidRDefault="0013075E" w:rsidP="00CF7674">
            <w:r w:rsidRPr="008F1F7E">
              <w:rPr>
                <w:b/>
                <w:noProof/>
                <w:lang w:eastAsia="en-GB"/>
              </w:rPr>
              <w:drawing>
                <wp:inline distT="0" distB="0" distL="0" distR="0" wp14:anchorId="475CE668" wp14:editId="51FFFEF8">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1"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szCs w:val="24"/>
              </w:rPr>
            </w:sdtEndPr>
            <w:sdtContent>
              <w:p w:rsidR="0013075E" w:rsidRPr="00EE7097" w:rsidRDefault="009E343C" w:rsidP="00EE7097">
                <w:pPr>
                  <w:jc w:val="right"/>
                  <w:rPr>
                    <w:b/>
                    <w:szCs w:val="24"/>
                  </w:rPr>
                </w:pPr>
                <w:r>
                  <w:rPr>
                    <w:rStyle w:val="Dropdown"/>
                  </w:rPr>
                  <w:t>Board</w:t>
                </w:r>
              </w:p>
            </w:sdtContent>
          </w:sdt>
        </w:tc>
      </w:tr>
      <w:tr w:rsidR="0013075E" w:rsidRPr="008F1F7E" w:rsidTr="0013075E">
        <w:tc>
          <w:tcPr>
            <w:tcW w:w="5202" w:type="dxa"/>
            <w:gridSpan w:val="4"/>
            <w:vMerge/>
          </w:tcPr>
          <w:p w:rsidR="0013075E" w:rsidRPr="008F1F7E" w:rsidRDefault="0013075E" w:rsidP="00CF7674">
            <w:pPr>
              <w:rPr>
                <w:b/>
                <w:noProof/>
                <w:lang w:eastAsia="en-GB"/>
              </w:rPr>
            </w:pPr>
          </w:p>
        </w:tc>
        <w:tc>
          <w:tcPr>
            <w:tcW w:w="4040" w:type="dxa"/>
            <w:gridSpan w:val="3"/>
            <w:tcBorders>
              <w:top w:val="nil"/>
              <w:bottom w:val="nil"/>
            </w:tcBorders>
          </w:tcPr>
          <w:p w:rsidR="00D34F08" w:rsidRPr="009E343C" w:rsidRDefault="00D34F08" w:rsidP="00EE7097">
            <w:pPr>
              <w:jc w:val="right"/>
              <w:rPr>
                <w:b/>
              </w:rPr>
            </w:pPr>
            <w:r w:rsidRPr="009E343C">
              <w:rPr>
                <w:b/>
              </w:rPr>
              <w:t>Date of Meeting</w:t>
            </w:r>
          </w:p>
          <w:p w:rsidR="0013075E" w:rsidRPr="009E343C" w:rsidRDefault="009E343C" w:rsidP="00EE7097">
            <w:pPr>
              <w:jc w:val="right"/>
            </w:pPr>
            <w:r w:rsidRPr="009E343C">
              <w:t xml:space="preserve">25 February 2021 </w:t>
            </w:r>
          </w:p>
        </w:tc>
      </w:tr>
      <w:tr w:rsidR="0013075E" w:rsidRPr="008F1F7E" w:rsidTr="0013075E">
        <w:tc>
          <w:tcPr>
            <w:tcW w:w="5202" w:type="dxa"/>
            <w:gridSpan w:val="4"/>
            <w:vMerge/>
            <w:tcBorders>
              <w:bottom w:val="single" w:sz="4" w:space="0" w:color="auto"/>
            </w:tcBorders>
          </w:tcPr>
          <w:p w:rsidR="0013075E" w:rsidRPr="008F1F7E" w:rsidRDefault="0013075E" w:rsidP="00CF7674">
            <w:pPr>
              <w:rPr>
                <w:b/>
                <w:noProof/>
                <w:lang w:eastAsia="en-GB"/>
              </w:rPr>
            </w:pPr>
          </w:p>
        </w:tc>
        <w:tc>
          <w:tcPr>
            <w:tcW w:w="4040" w:type="dxa"/>
            <w:gridSpan w:val="3"/>
            <w:tcBorders>
              <w:top w:val="nil"/>
              <w:bottom w:val="single" w:sz="4" w:space="0" w:color="auto"/>
            </w:tcBorders>
          </w:tcPr>
          <w:p w:rsidR="0013075E" w:rsidRPr="009E343C" w:rsidRDefault="0013075E" w:rsidP="00EE7097">
            <w:pPr>
              <w:jc w:val="right"/>
              <w:rPr>
                <w:b/>
              </w:rPr>
            </w:pPr>
            <w:r w:rsidRPr="009E343C">
              <w:rPr>
                <w:b/>
              </w:rPr>
              <w:t>Agenda item:</w:t>
            </w:r>
          </w:p>
          <w:p w:rsidR="0013075E" w:rsidRPr="009E343C" w:rsidRDefault="009E343C" w:rsidP="00EE7097">
            <w:pPr>
              <w:jc w:val="right"/>
            </w:pPr>
            <w:r w:rsidRPr="009E343C">
              <w:t>4.1 250221</w:t>
            </w:r>
          </w:p>
        </w:tc>
      </w:tr>
      <w:tr w:rsidR="00EE7097" w:rsidRPr="008F1F7E" w:rsidTr="00407604">
        <w:tc>
          <w:tcPr>
            <w:tcW w:w="9242" w:type="dxa"/>
            <w:gridSpan w:val="7"/>
            <w:tcBorders>
              <w:left w:val="nil"/>
              <w:right w:val="nil"/>
            </w:tcBorders>
            <w:vAlign w:val="center"/>
          </w:tcPr>
          <w:p w:rsidR="003B7B09" w:rsidRDefault="003B7B09" w:rsidP="00D34F08">
            <w:pPr>
              <w:rPr>
                <w:b/>
                <w:sz w:val="28"/>
              </w:rPr>
            </w:pPr>
          </w:p>
          <w:p w:rsidR="00D34F08" w:rsidRPr="00912C7B" w:rsidRDefault="00D34F08" w:rsidP="009E343C">
            <w:pPr>
              <w:jc w:val="center"/>
              <w:rPr>
                <w:b/>
                <w:sz w:val="28"/>
              </w:rPr>
            </w:pPr>
          </w:p>
        </w:tc>
      </w:tr>
      <w:tr w:rsidR="00EE7097" w:rsidRPr="008F1F7E" w:rsidTr="00544C9E">
        <w:tc>
          <w:tcPr>
            <w:tcW w:w="9242" w:type="dxa"/>
            <w:gridSpan w:val="7"/>
            <w:vAlign w:val="center"/>
          </w:tcPr>
          <w:p w:rsidR="00EE7097" w:rsidRPr="00D34F08" w:rsidRDefault="009E343C" w:rsidP="00D34F08">
            <w:pPr>
              <w:jc w:val="center"/>
              <w:rPr>
                <w:b/>
                <w:sz w:val="36"/>
                <w:szCs w:val="36"/>
              </w:rPr>
            </w:pPr>
            <w:r>
              <w:rPr>
                <w:b/>
                <w:sz w:val="36"/>
                <w:szCs w:val="36"/>
              </w:rPr>
              <w:t xml:space="preserve">Public Health Wales COVID-19 Safe Working Environments </w:t>
            </w:r>
          </w:p>
        </w:tc>
      </w:tr>
      <w:tr w:rsidR="00EE7097" w:rsidRPr="001C60B5" w:rsidTr="0013075E">
        <w:tc>
          <w:tcPr>
            <w:tcW w:w="2802" w:type="dxa"/>
            <w:gridSpan w:val="2"/>
          </w:tcPr>
          <w:p w:rsidR="00EE7097" w:rsidRPr="001C60B5" w:rsidRDefault="00EE7097">
            <w:pPr>
              <w:rPr>
                <w:b/>
                <w:szCs w:val="24"/>
              </w:rPr>
            </w:pPr>
            <w:r w:rsidRPr="001C60B5">
              <w:rPr>
                <w:b/>
                <w:szCs w:val="24"/>
              </w:rPr>
              <w:t>Executive lead:</w:t>
            </w:r>
          </w:p>
        </w:tc>
        <w:tc>
          <w:tcPr>
            <w:tcW w:w="6440" w:type="dxa"/>
            <w:gridSpan w:val="5"/>
          </w:tcPr>
          <w:p w:rsidR="00EE7097" w:rsidRPr="00D34F08" w:rsidRDefault="009E343C">
            <w:pPr>
              <w:rPr>
                <w:color w:val="FF0000"/>
                <w:szCs w:val="24"/>
              </w:rPr>
            </w:pPr>
            <w:r>
              <w:t>Huw George, Deputy Chief Executive, Executive Director of Operations and Finance</w:t>
            </w:r>
          </w:p>
        </w:tc>
      </w:tr>
      <w:tr w:rsidR="00EE7097" w:rsidRPr="001C60B5" w:rsidTr="0013075E">
        <w:tc>
          <w:tcPr>
            <w:tcW w:w="2802" w:type="dxa"/>
            <w:gridSpan w:val="2"/>
          </w:tcPr>
          <w:p w:rsidR="00EE7097" w:rsidRPr="001C60B5" w:rsidRDefault="00EE7097">
            <w:pPr>
              <w:rPr>
                <w:b/>
                <w:szCs w:val="24"/>
              </w:rPr>
            </w:pPr>
            <w:r w:rsidRPr="001C60B5">
              <w:rPr>
                <w:b/>
                <w:szCs w:val="24"/>
              </w:rPr>
              <w:t>Author:</w:t>
            </w:r>
          </w:p>
        </w:tc>
        <w:tc>
          <w:tcPr>
            <w:tcW w:w="6440" w:type="dxa"/>
            <w:gridSpan w:val="5"/>
          </w:tcPr>
          <w:p w:rsidR="00EE7097" w:rsidRPr="001C60B5" w:rsidRDefault="009E343C" w:rsidP="00051E74">
            <w:pPr>
              <w:rPr>
                <w:color w:val="FF0000"/>
                <w:szCs w:val="24"/>
              </w:rPr>
            </w:pPr>
            <w:r>
              <w:t>Chris Orr, Head of Estates and Health and Safety</w:t>
            </w:r>
          </w:p>
        </w:tc>
      </w:tr>
      <w:tr w:rsidR="00EE7097" w:rsidRPr="001C60B5" w:rsidTr="005B4E75">
        <w:trPr>
          <w:trHeight w:val="149"/>
        </w:trPr>
        <w:tc>
          <w:tcPr>
            <w:tcW w:w="2802" w:type="dxa"/>
            <w:gridSpan w:val="2"/>
            <w:tcBorders>
              <w:left w:val="nil"/>
              <w:right w:val="nil"/>
            </w:tcBorders>
          </w:tcPr>
          <w:p w:rsidR="00EE7097" w:rsidRPr="005B4E75" w:rsidRDefault="00EE7097">
            <w:pPr>
              <w:rPr>
                <w:b/>
                <w:sz w:val="12"/>
                <w:szCs w:val="12"/>
              </w:rPr>
            </w:pPr>
          </w:p>
        </w:tc>
        <w:tc>
          <w:tcPr>
            <w:tcW w:w="6440" w:type="dxa"/>
            <w:gridSpan w:val="5"/>
            <w:tcBorders>
              <w:left w:val="nil"/>
              <w:right w:val="nil"/>
            </w:tcBorders>
          </w:tcPr>
          <w:p w:rsidR="00EE7097" w:rsidRPr="005B4E75" w:rsidRDefault="00EE7097">
            <w:pPr>
              <w:rPr>
                <w:sz w:val="12"/>
                <w:szCs w:val="12"/>
              </w:rPr>
            </w:pPr>
          </w:p>
        </w:tc>
      </w:tr>
      <w:tr w:rsidR="00EE7097" w:rsidRPr="001C60B5" w:rsidTr="0013075E">
        <w:tc>
          <w:tcPr>
            <w:tcW w:w="2802" w:type="dxa"/>
            <w:gridSpan w:val="2"/>
          </w:tcPr>
          <w:p w:rsidR="00EE7097" w:rsidRPr="001C60B5" w:rsidRDefault="00EE7097">
            <w:pPr>
              <w:rPr>
                <w:b/>
                <w:szCs w:val="24"/>
              </w:rPr>
            </w:pPr>
            <w:r w:rsidRPr="001C60B5">
              <w:rPr>
                <w:b/>
                <w:szCs w:val="24"/>
              </w:rPr>
              <w:t>Approval/Scrutiny route:</w:t>
            </w:r>
          </w:p>
        </w:tc>
        <w:tc>
          <w:tcPr>
            <w:tcW w:w="6440" w:type="dxa"/>
            <w:gridSpan w:val="5"/>
          </w:tcPr>
          <w:p w:rsidR="00EE7097" w:rsidRPr="00D34F08" w:rsidRDefault="009E343C" w:rsidP="00CA5841">
            <w:pPr>
              <w:rPr>
                <w:color w:val="FF0000"/>
                <w:szCs w:val="24"/>
              </w:rPr>
            </w:pPr>
            <w:r>
              <w:t>Huw George, Deputy Chief Executive, Executive Director of Operations and Finance</w:t>
            </w:r>
          </w:p>
        </w:tc>
      </w:tr>
      <w:tr w:rsidR="006C4A51" w:rsidRPr="001C60B5" w:rsidTr="005B4E75">
        <w:tc>
          <w:tcPr>
            <w:tcW w:w="9242" w:type="dxa"/>
            <w:gridSpan w:val="7"/>
            <w:tcBorders>
              <w:left w:val="nil"/>
              <w:bottom w:val="single" w:sz="4" w:space="0" w:color="auto"/>
              <w:right w:val="nil"/>
            </w:tcBorders>
          </w:tcPr>
          <w:p w:rsidR="006C4A51" w:rsidRPr="005B4E75" w:rsidRDefault="006C4A51">
            <w:pPr>
              <w:rPr>
                <w:b/>
                <w:sz w:val="12"/>
                <w:szCs w:val="12"/>
              </w:rPr>
            </w:pPr>
          </w:p>
        </w:tc>
      </w:tr>
      <w:tr w:rsidR="005B4E75" w:rsidRPr="001C60B5" w:rsidTr="005B4E75">
        <w:tc>
          <w:tcPr>
            <w:tcW w:w="9242" w:type="dxa"/>
            <w:gridSpan w:val="7"/>
            <w:tcBorders>
              <w:left w:val="single" w:sz="4" w:space="0" w:color="auto"/>
              <w:right w:val="single" w:sz="4" w:space="0" w:color="auto"/>
            </w:tcBorders>
          </w:tcPr>
          <w:p w:rsidR="005B4E75" w:rsidRPr="001C60B5" w:rsidRDefault="005B4E75">
            <w:pPr>
              <w:rPr>
                <w:b/>
                <w:szCs w:val="24"/>
              </w:rPr>
            </w:pPr>
            <w:r>
              <w:rPr>
                <w:b/>
                <w:szCs w:val="24"/>
              </w:rPr>
              <w:t>Purpose</w:t>
            </w:r>
          </w:p>
        </w:tc>
      </w:tr>
      <w:tr w:rsidR="005B4E75" w:rsidRPr="001C60B5" w:rsidTr="005B4E75">
        <w:tc>
          <w:tcPr>
            <w:tcW w:w="9242" w:type="dxa"/>
            <w:gridSpan w:val="7"/>
            <w:tcBorders>
              <w:left w:val="single" w:sz="4" w:space="0" w:color="auto"/>
              <w:right w:val="single" w:sz="4" w:space="0" w:color="auto"/>
            </w:tcBorders>
          </w:tcPr>
          <w:p w:rsidR="001E5B78" w:rsidRPr="005B4E75" w:rsidRDefault="00426480" w:rsidP="00916053">
            <w:pPr>
              <w:spacing w:after="200"/>
              <w:rPr>
                <w:color w:val="FF0000"/>
                <w:szCs w:val="24"/>
              </w:rPr>
            </w:pPr>
            <w:r>
              <w:t>To provide the Public Health Wales Board with an update on the measures undertaken to date to ensure the safety of our staff working both within our Estates and remotely.</w:t>
            </w:r>
          </w:p>
        </w:tc>
      </w:tr>
      <w:tr w:rsidR="005B4E75" w:rsidRPr="001C60B5" w:rsidTr="0000561A">
        <w:tc>
          <w:tcPr>
            <w:tcW w:w="9242" w:type="dxa"/>
            <w:gridSpan w:val="7"/>
            <w:tcBorders>
              <w:left w:val="nil"/>
              <w:right w:val="nil"/>
            </w:tcBorders>
          </w:tcPr>
          <w:p w:rsidR="005B4E75" w:rsidRPr="005B4E75" w:rsidRDefault="005B4E75">
            <w:pPr>
              <w:rPr>
                <w:b/>
                <w:sz w:val="12"/>
                <w:szCs w:val="12"/>
              </w:rPr>
            </w:pPr>
          </w:p>
        </w:tc>
      </w:tr>
      <w:tr w:rsidR="00EE7097" w:rsidRPr="001C60B5" w:rsidTr="00051E74">
        <w:tc>
          <w:tcPr>
            <w:tcW w:w="9242" w:type="dxa"/>
            <w:gridSpan w:val="7"/>
          </w:tcPr>
          <w:p w:rsidR="00EE7097" w:rsidRPr="009E343C" w:rsidRDefault="0013075E" w:rsidP="009E343C">
            <w:pPr>
              <w:rPr>
                <w:b/>
                <w:szCs w:val="24"/>
              </w:rPr>
            </w:pPr>
            <w:r w:rsidRPr="009E343C">
              <w:rPr>
                <w:b/>
                <w:szCs w:val="24"/>
              </w:rPr>
              <w:t>Recommendation:</w:t>
            </w:r>
          </w:p>
        </w:tc>
      </w:tr>
      <w:tr w:rsidR="005B4E75" w:rsidRPr="001C60B5" w:rsidTr="00D34F08">
        <w:tc>
          <w:tcPr>
            <w:tcW w:w="1848" w:type="dxa"/>
            <w:tcBorders>
              <w:bottom w:val="single" w:sz="4" w:space="0" w:color="auto"/>
            </w:tcBorders>
          </w:tcPr>
          <w:p w:rsidR="005B4E75" w:rsidRPr="009E343C" w:rsidRDefault="005B4E75" w:rsidP="00D34F08">
            <w:pPr>
              <w:jc w:val="center"/>
              <w:rPr>
                <w:szCs w:val="24"/>
              </w:rPr>
            </w:pPr>
            <w:r w:rsidRPr="009E343C">
              <w:rPr>
                <w:szCs w:val="24"/>
              </w:rPr>
              <w:t>APPROVE</w:t>
            </w:r>
          </w:p>
          <w:p w:rsidR="005B4E75" w:rsidRPr="009E343C" w:rsidRDefault="007F7EA7" w:rsidP="00D34F08">
            <w:pPr>
              <w:jc w:val="center"/>
              <w:rPr>
                <w:rFonts w:ascii="Wingdings" w:hAnsi="Wingdings"/>
                <w:szCs w:val="24"/>
              </w:rPr>
            </w:pPr>
            <w:r w:rsidRPr="009E343C">
              <w:rPr>
                <w:rFonts w:ascii="Wingdings" w:hAnsi="Wingdings"/>
                <w:szCs w:val="24"/>
              </w:rPr>
              <w:fldChar w:fldCharType="begin">
                <w:ffData>
                  <w:name w:val="Check1"/>
                  <w:enabled/>
                  <w:calcOnExit w:val="0"/>
                  <w:checkBox>
                    <w:sizeAuto/>
                    <w:default w:val="0"/>
                  </w:checkBox>
                </w:ffData>
              </w:fldChar>
            </w:r>
            <w:bookmarkStart w:id="0" w:name="Check1"/>
            <w:r w:rsidR="005B4E75" w:rsidRPr="009E343C">
              <w:rPr>
                <w:rFonts w:ascii="Wingdings" w:hAnsi="Wingdings"/>
                <w:szCs w:val="24"/>
              </w:rPr>
              <w:instrText xml:space="preserve"> FORMCHECKBOX </w:instrText>
            </w:r>
            <w:r w:rsidR="00B54042" w:rsidRPr="009E343C">
              <w:rPr>
                <w:rFonts w:ascii="Wingdings" w:hAnsi="Wingdings"/>
                <w:szCs w:val="24"/>
              </w:rPr>
            </w:r>
            <w:r w:rsidR="00B54042" w:rsidRPr="009E343C">
              <w:rPr>
                <w:rFonts w:ascii="Wingdings" w:hAnsi="Wingdings"/>
                <w:szCs w:val="24"/>
              </w:rPr>
              <w:fldChar w:fldCharType="separate"/>
            </w:r>
            <w:r w:rsidRPr="009E343C">
              <w:rPr>
                <w:rFonts w:ascii="Wingdings" w:hAnsi="Wingdings"/>
                <w:szCs w:val="24"/>
              </w:rPr>
              <w:fldChar w:fldCharType="end"/>
            </w:r>
            <w:bookmarkEnd w:id="0"/>
          </w:p>
        </w:tc>
        <w:tc>
          <w:tcPr>
            <w:tcW w:w="1848" w:type="dxa"/>
            <w:gridSpan w:val="2"/>
            <w:tcBorders>
              <w:bottom w:val="single" w:sz="4" w:space="0" w:color="auto"/>
            </w:tcBorders>
          </w:tcPr>
          <w:p w:rsidR="005B4E75" w:rsidRPr="009E343C" w:rsidRDefault="005B4E75" w:rsidP="00D34F08">
            <w:pPr>
              <w:jc w:val="center"/>
              <w:rPr>
                <w:szCs w:val="24"/>
              </w:rPr>
            </w:pPr>
            <w:r w:rsidRPr="009E343C">
              <w:rPr>
                <w:szCs w:val="24"/>
              </w:rPr>
              <w:t>CONSIDER</w:t>
            </w:r>
          </w:p>
          <w:p w:rsidR="005B4E75" w:rsidRPr="009E343C" w:rsidRDefault="007F7EA7" w:rsidP="00D34F08">
            <w:pPr>
              <w:jc w:val="center"/>
              <w:rPr>
                <w:szCs w:val="24"/>
              </w:rPr>
            </w:pPr>
            <w:r w:rsidRPr="009E343C">
              <w:rPr>
                <w:szCs w:val="24"/>
              </w:rPr>
              <w:fldChar w:fldCharType="begin">
                <w:ffData>
                  <w:name w:val="Check2"/>
                  <w:enabled/>
                  <w:calcOnExit w:val="0"/>
                  <w:checkBox>
                    <w:sizeAuto/>
                    <w:default w:val="0"/>
                  </w:checkBox>
                </w:ffData>
              </w:fldChar>
            </w:r>
            <w:bookmarkStart w:id="1" w:name="Check2"/>
            <w:r w:rsidR="005B4E75" w:rsidRPr="009E343C">
              <w:rPr>
                <w:szCs w:val="24"/>
              </w:rPr>
              <w:instrText xml:space="preserve"> FORMCHECKBOX </w:instrText>
            </w:r>
            <w:r w:rsidR="00B54042" w:rsidRPr="009E343C">
              <w:rPr>
                <w:szCs w:val="24"/>
              </w:rPr>
            </w:r>
            <w:r w:rsidR="00B54042" w:rsidRPr="009E343C">
              <w:rPr>
                <w:szCs w:val="24"/>
              </w:rPr>
              <w:fldChar w:fldCharType="separate"/>
            </w:r>
            <w:r w:rsidRPr="009E343C">
              <w:rPr>
                <w:szCs w:val="24"/>
              </w:rPr>
              <w:fldChar w:fldCharType="end"/>
            </w:r>
            <w:bookmarkEnd w:id="1"/>
          </w:p>
        </w:tc>
        <w:tc>
          <w:tcPr>
            <w:tcW w:w="1849" w:type="dxa"/>
            <w:gridSpan w:val="2"/>
            <w:tcBorders>
              <w:bottom w:val="single" w:sz="4" w:space="0" w:color="auto"/>
            </w:tcBorders>
          </w:tcPr>
          <w:p w:rsidR="005B4E75" w:rsidRPr="009E343C" w:rsidRDefault="005B4E75" w:rsidP="00D34F08">
            <w:pPr>
              <w:jc w:val="center"/>
              <w:rPr>
                <w:szCs w:val="24"/>
              </w:rPr>
            </w:pPr>
            <w:r w:rsidRPr="009E343C">
              <w:rPr>
                <w:szCs w:val="24"/>
              </w:rPr>
              <w:t>RECOMMEND</w:t>
            </w:r>
          </w:p>
          <w:p w:rsidR="005B4E75" w:rsidRPr="009E343C" w:rsidRDefault="007F7EA7" w:rsidP="00D34F08">
            <w:pPr>
              <w:jc w:val="center"/>
              <w:rPr>
                <w:szCs w:val="24"/>
              </w:rPr>
            </w:pPr>
            <w:r w:rsidRPr="009E343C">
              <w:rPr>
                <w:szCs w:val="24"/>
              </w:rPr>
              <w:fldChar w:fldCharType="begin">
                <w:ffData>
                  <w:name w:val="Check3"/>
                  <w:enabled/>
                  <w:calcOnExit w:val="0"/>
                  <w:checkBox>
                    <w:sizeAuto/>
                    <w:default w:val="0"/>
                  </w:checkBox>
                </w:ffData>
              </w:fldChar>
            </w:r>
            <w:bookmarkStart w:id="2" w:name="Check3"/>
            <w:r w:rsidR="005B4E75" w:rsidRPr="009E343C">
              <w:rPr>
                <w:szCs w:val="24"/>
              </w:rPr>
              <w:instrText xml:space="preserve"> FORMCHECKBOX </w:instrText>
            </w:r>
            <w:r w:rsidR="00B54042" w:rsidRPr="009E343C">
              <w:rPr>
                <w:szCs w:val="24"/>
              </w:rPr>
            </w:r>
            <w:r w:rsidR="00B54042" w:rsidRPr="009E343C">
              <w:rPr>
                <w:szCs w:val="24"/>
              </w:rPr>
              <w:fldChar w:fldCharType="separate"/>
            </w:r>
            <w:r w:rsidRPr="009E343C">
              <w:rPr>
                <w:szCs w:val="24"/>
              </w:rPr>
              <w:fldChar w:fldCharType="end"/>
            </w:r>
            <w:bookmarkEnd w:id="2"/>
          </w:p>
        </w:tc>
        <w:tc>
          <w:tcPr>
            <w:tcW w:w="1848" w:type="dxa"/>
            <w:tcBorders>
              <w:bottom w:val="single" w:sz="4" w:space="0" w:color="auto"/>
            </w:tcBorders>
          </w:tcPr>
          <w:p w:rsidR="005B4E75" w:rsidRPr="009E343C" w:rsidRDefault="005B4E75" w:rsidP="00D34F08">
            <w:pPr>
              <w:jc w:val="center"/>
              <w:rPr>
                <w:szCs w:val="24"/>
              </w:rPr>
            </w:pPr>
            <w:r w:rsidRPr="009E343C">
              <w:rPr>
                <w:szCs w:val="24"/>
              </w:rPr>
              <w:t>ADOPT</w:t>
            </w:r>
          </w:p>
          <w:p w:rsidR="005B4E75" w:rsidRPr="009E343C" w:rsidRDefault="007F7EA7" w:rsidP="00D34F08">
            <w:pPr>
              <w:jc w:val="center"/>
              <w:rPr>
                <w:szCs w:val="24"/>
              </w:rPr>
            </w:pPr>
            <w:r w:rsidRPr="009E343C">
              <w:rPr>
                <w:szCs w:val="24"/>
              </w:rPr>
              <w:fldChar w:fldCharType="begin">
                <w:ffData>
                  <w:name w:val="Check4"/>
                  <w:enabled/>
                  <w:calcOnExit w:val="0"/>
                  <w:checkBox>
                    <w:sizeAuto/>
                    <w:default w:val="0"/>
                  </w:checkBox>
                </w:ffData>
              </w:fldChar>
            </w:r>
            <w:bookmarkStart w:id="3" w:name="Check4"/>
            <w:r w:rsidR="005B4E75" w:rsidRPr="009E343C">
              <w:rPr>
                <w:szCs w:val="24"/>
              </w:rPr>
              <w:instrText xml:space="preserve"> FORMCHECKBOX </w:instrText>
            </w:r>
            <w:r w:rsidR="00B54042" w:rsidRPr="009E343C">
              <w:rPr>
                <w:szCs w:val="24"/>
              </w:rPr>
            </w:r>
            <w:r w:rsidR="00B54042" w:rsidRPr="009E343C">
              <w:rPr>
                <w:szCs w:val="24"/>
              </w:rPr>
              <w:fldChar w:fldCharType="separate"/>
            </w:r>
            <w:r w:rsidRPr="009E343C">
              <w:rPr>
                <w:szCs w:val="24"/>
              </w:rPr>
              <w:fldChar w:fldCharType="end"/>
            </w:r>
            <w:bookmarkEnd w:id="3"/>
          </w:p>
        </w:tc>
        <w:tc>
          <w:tcPr>
            <w:tcW w:w="1849" w:type="dxa"/>
            <w:tcBorders>
              <w:bottom w:val="single" w:sz="4" w:space="0" w:color="auto"/>
            </w:tcBorders>
          </w:tcPr>
          <w:p w:rsidR="005B4E75" w:rsidRPr="009E343C" w:rsidRDefault="00141FC5" w:rsidP="00D34F08">
            <w:pPr>
              <w:jc w:val="center"/>
              <w:rPr>
                <w:szCs w:val="24"/>
              </w:rPr>
            </w:pPr>
            <w:r w:rsidRPr="009E343C">
              <w:rPr>
                <w:szCs w:val="24"/>
              </w:rPr>
              <w:t>ASSURANCE</w:t>
            </w:r>
          </w:p>
          <w:p w:rsidR="005B4E75" w:rsidRPr="009E343C" w:rsidRDefault="009E343C" w:rsidP="00D34F08">
            <w:pPr>
              <w:jc w:val="center"/>
              <w:rPr>
                <w:szCs w:val="24"/>
              </w:rPr>
            </w:pPr>
            <w:r>
              <w:rPr>
                <w:szCs w:val="24"/>
              </w:rPr>
              <w:fldChar w:fldCharType="begin">
                <w:ffData>
                  <w:name w:val="Check5"/>
                  <w:enabled/>
                  <w:calcOnExit w:val="0"/>
                  <w:checkBox>
                    <w:sizeAuto/>
                    <w:default w:val="1"/>
                  </w:checkBox>
                </w:ffData>
              </w:fldChar>
            </w:r>
            <w:bookmarkStart w:id="4" w:name="Check5"/>
            <w:r>
              <w:rPr>
                <w:szCs w:val="24"/>
              </w:rPr>
              <w:instrText xml:space="preserve"> FORMCHECKBOX </w:instrText>
            </w:r>
            <w:r>
              <w:rPr>
                <w:szCs w:val="24"/>
              </w:rPr>
            </w:r>
            <w:r>
              <w:rPr>
                <w:szCs w:val="24"/>
              </w:rPr>
              <w:fldChar w:fldCharType="end"/>
            </w:r>
            <w:bookmarkEnd w:id="4"/>
          </w:p>
        </w:tc>
      </w:tr>
      <w:tr w:rsidR="00EE7097" w:rsidRPr="001C60B5" w:rsidTr="00051E74">
        <w:tc>
          <w:tcPr>
            <w:tcW w:w="9242" w:type="dxa"/>
            <w:gridSpan w:val="7"/>
            <w:tcBorders>
              <w:bottom w:val="single" w:sz="4" w:space="0" w:color="auto"/>
            </w:tcBorders>
          </w:tcPr>
          <w:p w:rsidR="00EE7097" w:rsidRPr="009E343C" w:rsidRDefault="00EE7097" w:rsidP="007D03B8">
            <w:pPr>
              <w:rPr>
                <w:szCs w:val="24"/>
              </w:rPr>
            </w:pPr>
            <w:r w:rsidRPr="009E343C">
              <w:rPr>
                <w:szCs w:val="24"/>
              </w:rPr>
              <w:t xml:space="preserve">The </w:t>
            </w:r>
            <w:r w:rsidR="009E343C" w:rsidRPr="009E343C">
              <w:rPr>
                <w:szCs w:val="24"/>
              </w:rPr>
              <w:t>Board</w:t>
            </w:r>
            <w:r w:rsidRPr="009E343C">
              <w:rPr>
                <w:szCs w:val="24"/>
              </w:rPr>
              <w:t xml:space="preserve"> is asked to: </w:t>
            </w:r>
          </w:p>
          <w:p w:rsidR="00EE7097" w:rsidRPr="009E343C" w:rsidRDefault="009E343C" w:rsidP="0013075E">
            <w:pPr>
              <w:pStyle w:val="ListParagraph"/>
              <w:numPr>
                <w:ilvl w:val="0"/>
                <w:numId w:val="17"/>
              </w:numPr>
              <w:ind w:left="851" w:hanging="567"/>
              <w:rPr>
                <w:szCs w:val="24"/>
              </w:rPr>
            </w:pPr>
            <w:r w:rsidRPr="009E343C">
              <w:rPr>
                <w:b/>
                <w:szCs w:val="24"/>
              </w:rPr>
              <w:t xml:space="preserve">Note </w:t>
            </w:r>
            <w:r w:rsidRPr="009E343C">
              <w:rPr>
                <w:szCs w:val="24"/>
              </w:rPr>
              <w:t>the update</w:t>
            </w:r>
            <w:r w:rsidRPr="009E343C">
              <w:rPr>
                <w:b/>
                <w:szCs w:val="24"/>
              </w:rPr>
              <w:t xml:space="preserve"> </w:t>
            </w:r>
            <w:r w:rsidRPr="009E343C">
              <w:rPr>
                <w:szCs w:val="24"/>
              </w:rPr>
              <w:t>provided and take</w:t>
            </w:r>
            <w:r>
              <w:rPr>
                <w:b/>
                <w:szCs w:val="24"/>
              </w:rPr>
              <w:t xml:space="preserve"> assurance </w:t>
            </w:r>
            <w:r w:rsidRPr="009E343C">
              <w:t>on the measures undertaken to date to ensure the safety of our staff working both within our Estates and remotely.</w:t>
            </w:r>
          </w:p>
          <w:p w:rsidR="00916053" w:rsidRPr="009E343C" w:rsidRDefault="00916053" w:rsidP="00F31C10">
            <w:pPr>
              <w:rPr>
                <w:szCs w:val="24"/>
              </w:rPr>
            </w:pPr>
          </w:p>
        </w:tc>
      </w:tr>
    </w:tbl>
    <w:p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rsidTr="00480353">
        <w:tc>
          <w:tcPr>
            <w:tcW w:w="9026" w:type="dxa"/>
            <w:gridSpan w:val="2"/>
            <w:tcBorders>
              <w:left w:val="nil"/>
              <w:right w:val="nil"/>
            </w:tcBorders>
            <w:shd w:val="clear" w:color="auto" w:fill="auto"/>
          </w:tcPr>
          <w:p w:rsidR="00D713DC" w:rsidRPr="005B4E75" w:rsidRDefault="00D713DC">
            <w:pPr>
              <w:rPr>
                <w:b/>
                <w:sz w:val="12"/>
                <w:szCs w:val="12"/>
              </w:rPr>
            </w:pPr>
          </w:p>
        </w:tc>
      </w:tr>
      <w:tr w:rsidR="00EE7097" w:rsidRPr="001C60B5" w:rsidTr="00480353">
        <w:tc>
          <w:tcPr>
            <w:tcW w:w="9026" w:type="dxa"/>
            <w:gridSpan w:val="2"/>
            <w:shd w:val="clear" w:color="auto" w:fill="F2F2F2" w:themeFill="background1" w:themeFillShade="F2"/>
          </w:tcPr>
          <w:p w:rsidR="00EE7097" w:rsidRPr="001C60B5" w:rsidRDefault="00EE7097" w:rsidP="00680248">
            <w:pPr>
              <w:rPr>
                <w:szCs w:val="24"/>
              </w:rPr>
            </w:pPr>
            <w:r w:rsidRPr="001C60B5">
              <w:rPr>
                <w:b/>
                <w:szCs w:val="24"/>
              </w:rPr>
              <w:t xml:space="preserve">Link to Public Health Wales </w:t>
            </w:r>
            <w:hyperlink r:id="rId12" w:history="1">
              <w:r w:rsidRPr="001C60B5">
                <w:rPr>
                  <w:rStyle w:val="Hyperlink"/>
                  <w:b/>
                  <w:szCs w:val="24"/>
                </w:rPr>
                <w:t>Strategic Plan</w:t>
              </w:r>
            </w:hyperlink>
          </w:p>
          <w:p w:rsidR="00EE7097" w:rsidRPr="001C60B5" w:rsidRDefault="00EE7097" w:rsidP="00680248">
            <w:pPr>
              <w:rPr>
                <w:szCs w:val="24"/>
              </w:rPr>
            </w:pPr>
          </w:p>
          <w:p w:rsidR="0013075E" w:rsidRDefault="00B52B29" w:rsidP="00EE7097">
            <w:pPr>
              <w:rPr>
                <w:szCs w:val="24"/>
              </w:rPr>
            </w:pPr>
            <w:r w:rsidRPr="001C60B5">
              <w:rPr>
                <w:szCs w:val="24"/>
              </w:rPr>
              <w:t>Public Health Wales has an agreed strategic plan</w:t>
            </w:r>
            <w:r>
              <w:rPr>
                <w:szCs w:val="24"/>
              </w:rPr>
              <w:t xml:space="preserve">, which has identified seven strategic priorities and well-being objectives.  </w:t>
            </w:r>
          </w:p>
          <w:p w:rsidR="00B52B29" w:rsidRDefault="00B52B29" w:rsidP="00EE7097">
            <w:pPr>
              <w:rPr>
                <w:bCs/>
                <w:szCs w:val="24"/>
              </w:rPr>
            </w:pPr>
          </w:p>
          <w:p w:rsidR="00EE7097" w:rsidRPr="001C60B5" w:rsidRDefault="00EE7097" w:rsidP="00EE7097">
            <w:pPr>
              <w:rPr>
                <w:szCs w:val="24"/>
              </w:rPr>
            </w:pPr>
            <w:r w:rsidRPr="001C60B5">
              <w:rPr>
                <w:szCs w:val="24"/>
              </w:rPr>
              <w:t>This report contributes to the following:</w:t>
            </w:r>
          </w:p>
        </w:tc>
      </w:tr>
      <w:tr w:rsidR="00EE7097" w:rsidRPr="001C60B5" w:rsidTr="00480353">
        <w:tc>
          <w:tcPr>
            <w:tcW w:w="3192" w:type="dxa"/>
            <w:shd w:val="clear" w:color="auto" w:fill="auto"/>
          </w:tcPr>
          <w:p w:rsidR="00EE7097" w:rsidRPr="001C60B5" w:rsidRDefault="00B52B29" w:rsidP="00B52B29">
            <w:pPr>
              <w:rPr>
                <w:b/>
                <w:szCs w:val="24"/>
              </w:rPr>
            </w:pPr>
            <w:r w:rsidRPr="001C60B5">
              <w:rPr>
                <w:b/>
                <w:szCs w:val="24"/>
              </w:rPr>
              <w:t xml:space="preserve">Strategic </w:t>
            </w:r>
            <w:r>
              <w:rPr>
                <w:b/>
                <w:szCs w:val="24"/>
              </w:rPr>
              <w:t>Priority/Well-being Objective</w:t>
            </w:r>
          </w:p>
        </w:tc>
        <w:tc>
          <w:tcPr>
            <w:tcW w:w="5834" w:type="dxa"/>
            <w:shd w:val="clear" w:color="auto" w:fill="auto"/>
          </w:tcPr>
          <w:p w:rsidR="00EE7097" w:rsidRPr="0013075E" w:rsidRDefault="00B54042"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9E343C">
                  <w:rPr>
                    <w:rStyle w:val="Dropdown"/>
                  </w:rPr>
                  <w:t>All Strategic Priorities/Well-being Objectives</w:t>
                </w:r>
              </w:sdtContent>
            </w:sdt>
          </w:p>
        </w:tc>
      </w:tr>
      <w:tr w:rsidR="005D5FC4" w:rsidRPr="001C60B5" w:rsidTr="00480353">
        <w:tc>
          <w:tcPr>
            <w:tcW w:w="3192" w:type="dxa"/>
            <w:shd w:val="clear" w:color="auto" w:fill="auto"/>
          </w:tcPr>
          <w:p w:rsidR="005D5FC4" w:rsidRPr="001C60B5" w:rsidRDefault="005D5FC4" w:rsidP="005D5FC4">
            <w:pPr>
              <w:rPr>
                <w:b/>
                <w:szCs w:val="24"/>
              </w:rPr>
            </w:pPr>
            <w:r w:rsidRPr="001C60B5">
              <w:rPr>
                <w:b/>
                <w:szCs w:val="24"/>
              </w:rPr>
              <w:t xml:space="preserve">Strategic </w:t>
            </w:r>
            <w:r>
              <w:rPr>
                <w:b/>
                <w:szCs w:val="24"/>
              </w:rPr>
              <w:t>Priority/Well-being Objective</w:t>
            </w:r>
          </w:p>
        </w:tc>
        <w:tc>
          <w:tcPr>
            <w:tcW w:w="5834" w:type="dxa"/>
            <w:shd w:val="clear" w:color="auto" w:fill="auto"/>
          </w:tcPr>
          <w:p w:rsidR="005D5FC4" w:rsidRPr="0013075E" w:rsidRDefault="00B54042" w:rsidP="005D5FC4">
            <w:pPr>
              <w:rPr>
                <w:szCs w:val="24"/>
              </w:rPr>
            </w:pPr>
            <w:sdt>
              <w:sdtPr>
                <w:rPr>
                  <w:rStyle w:val="Dropdown"/>
                </w:rPr>
                <w:alias w:val="Strategic Objective"/>
                <w:tag w:val="Strategic Objective"/>
                <w:id w:val="-973981063"/>
                <w:placeholder>
                  <w:docPart w:val="E19A39A2DC34427782303866B501EF52"/>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5D5FC4" w:rsidRPr="0013075E">
                  <w:rPr>
                    <w:rStyle w:val="PlaceholderText"/>
                    <w:szCs w:val="24"/>
                  </w:rPr>
                  <w:t>Choose an item.</w:t>
                </w:r>
              </w:sdtContent>
            </w:sdt>
          </w:p>
        </w:tc>
      </w:tr>
      <w:tr w:rsidR="005D5FC4" w:rsidRPr="001C60B5" w:rsidTr="00480353">
        <w:tc>
          <w:tcPr>
            <w:tcW w:w="3192" w:type="dxa"/>
            <w:tcBorders>
              <w:bottom w:val="single" w:sz="4" w:space="0" w:color="auto"/>
            </w:tcBorders>
            <w:shd w:val="clear" w:color="auto" w:fill="auto"/>
          </w:tcPr>
          <w:p w:rsidR="005D5FC4" w:rsidRPr="001C60B5" w:rsidRDefault="005D5FC4" w:rsidP="005D5FC4">
            <w:pPr>
              <w:rPr>
                <w:b/>
                <w:szCs w:val="24"/>
              </w:rPr>
            </w:pPr>
            <w:r w:rsidRPr="001C60B5">
              <w:rPr>
                <w:b/>
                <w:szCs w:val="24"/>
              </w:rPr>
              <w:t xml:space="preserve">Strategic </w:t>
            </w:r>
            <w:r>
              <w:rPr>
                <w:b/>
                <w:szCs w:val="24"/>
              </w:rPr>
              <w:t>Priority/Well-being Objective</w:t>
            </w:r>
          </w:p>
        </w:tc>
        <w:tc>
          <w:tcPr>
            <w:tcW w:w="5834" w:type="dxa"/>
            <w:tcBorders>
              <w:bottom w:val="single" w:sz="4" w:space="0" w:color="auto"/>
            </w:tcBorders>
            <w:shd w:val="clear" w:color="auto" w:fill="auto"/>
          </w:tcPr>
          <w:p w:rsidR="005D5FC4" w:rsidRPr="0013075E" w:rsidRDefault="00B54042" w:rsidP="005D5FC4">
            <w:pPr>
              <w:rPr>
                <w:szCs w:val="24"/>
              </w:rPr>
            </w:pPr>
            <w:sdt>
              <w:sdtPr>
                <w:rPr>
                  <w:rStyle w:val="Dropdown"/>
                </w:rPr>
                <w:alias w:val="Strategic Objective"/>
                <w:tag w:val="Strategic Objective"/>
                <w:id w:val="-693302159"/>
                <w:placeholder>
                  <w:docPart w:val="4037A60F381647269327C3491F818BF7"/>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5D5FC4" w:rsidRPr="0013075E">
                  <w:rPr>
                    <w:rStyle w:val="PlaceholderText"/>
                    <w:szCs w:val="24"/>
                  </w:rPr>
                  <w:t>Choose an item.</w:t>
                </w:r>
              </w:sdtContent>
            </w:sdt>
          </w:p>
        </w:tc>
      </w:tr>
    </w:tbl>
    <w:p w:rsidR="007D03B8" w:rsidRPr="001C60B5" w:rsidRDefault="007D03B8" w:rsidP="006F654D">
      <w:pPr>
        <w:pStyle w:val="ListBullet"/>
        <w:rPr>
          <w:b/>
          <w:color w:val="FF0000"/>
          <w:szCs w:val="24"/>
        </w:rPr>
        <w:sectPr w:rsidR="007D03B8" w:rsidRPr="001C60B5" w:rsidSect="008902AA">
          <w:footerReference w:type="default" r:id="rId13"/>
          <w:pgSz w:w="11906" w:h="16838"/>
          <w:pgMar w:top="1440" w:right="1440" w:bottom="1440" w:left="1440" w:header="708" w:footer="708" w:gutter="0"/>
          <w:cols w:space="708"/>
          <w:docGrid w:linePitch="360"/>
        </w:sectPr>
      </w:pPr>
    </w:p>
    <w:p w:rsidR="0087331D" w:rsidRPr="001C60B5" w:rsidRDefault="0087331D" w:rsidP="002B712E">
      <w:pPr>
        <w:pStyle w:val="Heading1"/>
        <w:numPr>
          <w:ilvl w:val="0"/>
          <w:numId w:val="2"/>
        </w:numPr>
        <w:ind w:left="567" w:hanging="567"/>
        <w:rPr>
          <w:szCs w:val="24"/>
        </w:rPr>
      </w:pPr>
      <w:r w:rsidRPr="001C60B5">
        <w:rPr>
          <w:szCs w:val="24"/>
        </w:rPr>
        <w:lastRenderedPageBreak/>
        <w:t>Purpose</w:t>
      </w:r>
      <w:r w:rsidR="00051E74" w:rsidRPr="001C60B5">
        <w:rPr>
          <w:szCs w:val="24"/>
        </w:rPr>
        <w:t xml:space="preserve"> / situation</w:t>
      </w:r>
    </w:p>
    <w:p w:rsidR="0087331D" w:rsidRPr="001C60B5" w:rsidRDefault="0087331D" w:rsidP="0087331D">
      <w:pPr>
        <w:pStyle w:val="ListParagraph"/>
        <w:rPr>
          <w:szCs w:val="24"/>
        </w:rPr>
      </w:pPr>
    </w:p>
    <w:p w:rsidR="00426480" w:rsidRPr="00D17C92" w:rsidRDefault="00426480" w:rsidP="00426480">
      <w:r>
        <w:t>To provide the Public Health Wales Board with an update on the measures undertaken to date to ensure the safety of our staff working both within our Estates and remotely.</w:t>
      </w:r>
    </w:p>
    <w:p w:rsidR="0087331D" w:rsidRPr="001C60B5" w:rsidRDefault="0087331D" w:rsidP="002B712E">
      <w:pPr>
        <w:pStyle w:val="Heading1"/>
        <w:numPr>
          <w:ilvl w:val="0"/>
          <w:numId w:val="2"/>
        </w:numPr>
        <w:ind w:left="567" w:hanging="567"/>
        <w:rPr>
          <w:szCs w:val="24"/>
        </w:rPr>
      </w:pPr>
      <w:r w:rsidRPr="001C60B5">
        <w:rPr>
          <w:szCs w:val="24"/>
        </w:rPr>
        <w:t>Background</w:t>
      </w:r>
    </w:p>
    <w:p w:rsidR="0087331D" w:rsidRPr="001C60B5" w:rsidRDefault="0087331D" w:rsidP="0087331D">
      <w:pPr>
        <w:pStyle w:val="ListParagraph"/>
        <w:rPr>
          <w:szCs w:val="24"/>
        </w:rPr>
      </w:pPr>
    </w:p>
    <w:p w:rsidR="00426480" w:rsidRDefault="00426480" w:rsidP="00426480">
      <w:pPr>
        <w:rPr>
          <w:i/>
          <w:iCs/>
        </w:rPr>
      </w:pPr>
      <w:r>
        <w:t xml:space="preserve">Since the </w:t>
      </w:r>
      <w:r w:rsidRPr="133F8AC3">
        <w:rPr>
          <w:i/>
          <w:iCs/>
        </w:rPr>
        <w:t>Health Protection (Coronavirus Restrictions) (Wales) Regulations 2020</w:t>
      </w:r>
      <w:r>
        <w:t xml:space="preserve"> came into force in Wales on 07 April 2020, Public Health Wales has been working across its estate to ensure compliance and to maintain the safety of staff and service users. It states </w:t>
      </w:r>
      <w:r w:rsidRPr="133F8AC3">
        <w:rPr>
          <w:i/>
          <w:iCs/>
        </w:rPr>
        <w:t>‘A person responsible for work being carried out at  premises where a person is working must, when such work is being carried out during the emergency period, take all reasonable measures to ensure that a distance of 2 metres is maintained between any persons on the premises.’</w:t>
      </w:r>
    </w:p>
    <w:p w:rsidR="00B54042" w:rsidRPr="0040298A" w:rsidRDefault="00B54042" w:rsidP="00426480">
      <w:pPr>
        <w:rPr>
          <w:i/>
          <w:iCs/>
        </w:rPr>
      </w:pPr>
    </w:p>
    <w:p w:rsidR="00426480" w:rsidRDefault="00426480" w:rsidP="00426480">
      <w:pPr>
        <w:rPr>
          <w:rFonts w:cstheme="minorHAnsi"/>
          <w:i/>
          <w:szCs w:val="24"/>
        </w:rPr>
      </w:pPr>
      <w:r w:rsidRPr="00660ABA">
        <w:rPr>
          <w:szCs w:val="24"/>
        </w:rPr>
        <w:t xml:space="preserve">Guidance has also been issued to work places that states provided </w:t>
      </w:r>
      <w:r w:rsidRPr="00660ABA">
        <w:rPr>
          <w:i/>
          <w:iCs/>
          <w:szCs w:val="24"/>
        </w:rPr>
        <w:t>‘reasonable steps’</w:t>
      </w:r>
      <w:r w:rsidRPr="00660ABA">
        <w:rPr>
          <w:szCs w:val="24"/>
        </w:rPr>
        <w:t xml:space="preserve"> have been taken an employer would be compliant with the Reg</w:t>
      </w:r>
      <w:r>
        <w:rPr>
          <w:szCs w:val="24"/>
        </w:rPr>
        <w:t xml:space="preserve">ulations. It should also be noted that the guidance also states </w:t>
      </w:r>
      <w:r w:rsidRPr="0098454C">
        <w:rPr>
          <w:rFonts w:cstheme="minorHAnsi"/>
          <w:i/>
          <w:szCs w:val="24"/>
        </w:rPr>
        <w:t>‘</w:t>
      </w:r>
      <w:r w:rsidRPr="0098454C">
        <w:rPr>
          <w:rFonts w:cstheme="minorHAnsi"/>
          <w:i/>
          <w:lang w:val="en"/>
        </w:rPr>
        <w:t>while that is an objective test that is intended to be applied consistently, it is not an absolute rule that has to be applied all of the time in all circumstances.  In addition it is not a measure that will apply in the same way in all circumstances.</w:t>
      </w:r>
      <w:r w:rsidRPr="0098454C">
        <w:rPr>
          <w:rFonts w:cstheme="minorHAnsi"/>
          <w:i/>
          <w:szCs w:val="24"/>
        </w:rPr>
        <w:t>’</w:t>
      </w:r>
    </w:p>
    <w:p w:rsidR="003F2A18" w:rsidRPr="0040298A" w:rsidRDefault="003F2A18" w:rsidP="00426480">
      <w:pPr>
        <w:rPr>
          <w:rFonts w:ascii="Calibri" w:hAnsi="Calibri"/>
          <w:szCs w:val="24"/>
        </w:rPr>
      </w:pPr>
    </w:p>
    <w:p w:rsidR="00426480" w:rsidRDefault="00426480" w:rsidP="00426480">
      <w:r>
        <w:t>The Estates and Health and Safety Team, in conjunction with Infection Prevention and Control Leads and Health and Safety Managers, have continued to put in place measures in line with guidance to ensure the safety of our staff and service users. Details of these actions that have been undertaken over the last 12 months have been included in this paper.</w:t>
      </w:r>
    </w:p>
    <w:p w:rsidR="003F2A18" w:rsidRDefault="003F2A18" w:rsidP="00426480"/>
    <w:p w:rsidR="00426480" w:rsidRDefault="00426480" w:rsidP="00426480">
      <w:r>
        <w:t>To ensure we can manage issues on a timely basis, the revised Health and Safety Group has continued to meet on a bi-weekly basis. Membership includes representation of health and safety leads within Screening and Microbiology, Facilities and Lead for Infection Prevention and Control. The Group is chaired by the Deputy Chief Executive/ Executive Director of Operations and Finance or Head of Estates and Health and Safety. A Health and Safety Report including additional information on additional workplace safety measures is also provided quarterly to the Quality, Safety and Information Governance Committee.</w:t>
      </w:r>
    </w:p>
    <w:p w:rsidR="0087331D" w:rsidRDefault="0087331D" w:rsidP="008C12E0">
      <w:pPr>
        <w:pStyle w:val="ListParagraph"/>
        <w:ind w:left="0"/>
        <w:jc w:val="both"/>
        <w:rPr>
          <w:color w:val="FF0000"/>
          <w:szCs w:val="24"/>
        </w:rPr>
      </w:pPr>
    </w:p>
    <w:p w:rsidR="003F2A18" w:rsidRPr="001C60B5" w:rsidRDefault="003F2A18" w:rsidP="008C12E0">
      <w:pPr>
        <w:pStyle w:val="ListParagraph"/>
        <w:ind w:left="0"/>
        <w:jc w:val="both"/>
        <w:rPr>
          <w:color w:val="FF0000"/>
          <w:szCs w:val="24"/>
        </w:rPr>
      </w:pPr>
    </w:p>
    <w:p w:rsidR="00426480" w:rsidRPr="00B54042" w:rsidRDefault="00426480" w:rsidP="00B54042">
      <w:pPr>
        <w:pStyle w:val="Heading1"/>
        <w:numPr>
          <w:ilvl w:val="0"/>
          <w:numId w:val="2"/>
        </w:numPr>
        <w:ind w:left="567" w:hanging="567"/>
        <w:rPr>
          <w:szCs w:val="24"/>
        </w:rPr>
      </w:pPr>
      <w:r w:rsidRPr="0040298A">
        <w:t>Summary of actions undertaken</w:t>
      </w:r>
    </w:p>
    <w:p w:rsidR="00426480" w:rsidRPr="0040298A" w:rsidRDefault="00426480" w:rsidP="00426480">
      <w:pPr>
        <w:pStyle w:val="Heading2"/>
        <w:keepLines w:val="0"/>
        <w:numPr>
          <w:ilvl w:val="1"/>
          <w:numId w:val="0"/>
        </w:numPr>
        <w:tabs>
          <w:tab w:val="num" w:pos="1008"/>
        </w:tabs>
        <w:spacing w:before="360"/>
        <w:ind w:left="1008" w:hanging="1008"/>
      </w:pPr>
      <w:r w:rsidRPr="0040298A">
        <w:t>Workplace COVID-19 risk assessment</w:t>
      </w:r>
    </w:p>
    <w:p w:rsidR="00426480" w:rsidRDefault="00426480" w:rsidP="00426480">
      <w:pPr>
        <w:rPr>
          <w:rFonts w:cs="Calibri"/>
          <w:szCs w:val="24"/>
        </w:rPr>
      </w:pPr>
      <w:r w:rsidRPr="0040298A">
        <w:rPr>
          <w:rFonts w:cs="Calibri"/>
          <w:szCs w:val="24"/>
        </w:rPr>
        <w:t>From 10 July to 6 August 2020, Public Health Wales procured an external company to assess our estate on the suitability of measures in place to manage the transmission of COVID-19 virus. The assessment covered 28 premises and included a mixture of office buildings, laboratories and screening buildings. All visits were carried out with a local contact or representative and in the majority of cases, it was the local manager with responsibility for the site.</w:t>
      </w:r>
    </w:p>
    <w:p w:rsidR="00B54042" w:rsidRPr="0040298A" w:rsidRDefault="00B54042" w:rsidP="00426480">
      <w:pPr>
        <w:rPr>
          <w:rFonts w:cs="Calibri"/>
          <w:szCs w:val="24"/>
        </w:rPr>
      </w:pPr>
    </w:p>
    <w:p w:rsidR="00426480" w:rsidRPr="0040298A" w:rsidRDefault="00426480" w:rsidP="00426480">
      <w:pPr>
        <w:rPr>
          <w:rFonts w:cs="Calibri"/>
          <w:szCs w:val="24"/>
        </w:rPr>
      </w:pPr>
      <w:r w:rsidRPr="0040298A">
        <w:rPr>
          <w:rFonts w:cs="Calibri"/>
          <w:szCs w:val="24"/>
        </w:rPr>
        <w:t>Highlights from the report include-</w:t>
      </w:r>
    </w:p>
    <w:p w:rsidR="00426480" w:rsidRPr="0040298A" w:rsidRDefault="00426480" w:rsidP="00426480">
      <w:pPr>
        <w:pStyle w:val="ListParagraph"/>
        <w:numPr>
          <w:ilvl w:val="0"/>
          <w:numId w:val="21"/>
        </w:numPr>
        <w:spacing w:before="240"/>
        <w:ind w:left="714" w:hanging="357"/>
        <w:contextualSpacing w:val="0"/>
        <w:jc w:val="both"/>
        <w:rPr>
          <w:rFonts w:cs="Calibri"/>
          <w:szCs w:val="24"/>
        </w:rPr>
      </w:pPr>
      <w:r>
        <w:rPr>
          <w:rFonts w:cs="Calibri"/>
          <w:szCs w:val="24"/>
        </w:rPr>
        <w:t>Acknowledged</w:t>
      </w:r>
      <w:r w:rsidRPr="0040298A">
        <w:rPr>
          <w:rFonts w:cs="Calibri"/>
          <w:szCs w:val="24"/>
        </w:rPr>
        <w:t xml:space="preserve"> that in general, systems for communicating with staff and service users were used to good effect, however greater consistency on signage across the estate would be beneficial. There was also good evidence of regular engagement with employees informing them of changes to the workplace and the measures that have been implemented.</w:t>
      </w:r>
    </w:p>
    <w:p w:rsidR="00426480" w:rsidRPr="0040298A" w:rsidRDefault="00426480" w:rsidP="00426480">
      <w:pPr>
        <w:pStyle w:val="ListParagraph"/>
        <w:numPr>
          <w:ilvl w:val="0"/>
          <w:numId w:val="21"/>
        </w:numPr>
        <w:spacing w:before="240"/>
        <w:ind w:left="714" w:hanging="357"/>
        <w:contextualSpacing w:val="0"/>
        <w:jc w:val="both"/>
        <w:rPr>
          <w:rFonts w:cs="Calibri"/>
          <w:szCs w:val="24"/>
        </w:rPr>
      </w:pPr>
      <w:r w:rsidRPr="0040298A">
        <w:rPr>
          <w:rFonts w:cs="Calibri"/>
          <w:szCs w:val="24"/>
        </w:rPr>
        <w:t>Report recognises that due to the nature of the estate, facilities and associated services would be at different stages of application of control measures. Where public contact services are concerned, it was noted that a great deal of thought has gone into the adoption and application of controls.</w:t>
      </w:r>
    </w:p>
    <w:p w:rsidR="00426480" w:rsidRDefault="00426480" w:rsidP="00426480">
      <w:pPr>
        <w:pStyle w:val="ListParagraph"/>
        <w:numPr>
          <w:ilvl w:val="0"/>
          <w:numId w:val="21"/>
        </w:numPr>
        <w:spacing w:before="240"/>
        <w:ind w:left="714" w:hanging="357"/>
        <w:contextualSpacing w:val="0"/>
        <w:jc w:val="both"/>
        <w:rPr>
          <w:rFonts w:cs="Calibri"/>
          <w:szCs w:val="24"/>
        </w:rPr>
      </w:pPr>
      <w:r w:rsidRPr="0040298A">
        <w:rPr>
          <w:rFonts w:cs="Calibri"/>
          <w:szCs w:val="24"/>
        </w:rPr>
        <w:t>Laboratories have continued to provide services whilst managing the implementation of guidance measures. This has been done well despite the additional complexity of challenges due to age and nature of the estate.</w:t>
      </w:r>
    </w:p>
    <w:p w:rsidR="003F2A18" w:rsidRPr="0040298A" w:rsidRDefault="003F2A18" w:rsidP="003F2A18">
      <w:pPr>
        <w:pStyle w:val="ListParagraph"/>
        <w:spacing w:before="240"/>
        <w:ind w:left="714"/>
        <w:contextualSpacing w:val="0"/>
        <w:jc w:val="both"/>
        <w:rPr>
          <w:rFonts w:cs="Calibri"/>
          <w:szCs w:val="24"/>
        </w:rPr>
      </w:pPr>
    </w:p>
    <w:p w:rsidR="00426480" w:rsidRDefault="00426480" w:rsidP="00426480">
      <w:pPr>
        <w:rPr>
          <w:rFonts w:cs="Calibri"/>
          <w:szCs w:val="24"/>
        </w:rPr>
      </w:pPr>
      <w:r w:rsidRPr="0040298A">
        <w:rPr>
          <w:rFonts w:cs="Calibri"/>
          <w:szCs w:val="24"/>
        </w:rPr>
        <w:t xml:space="preserve">A number of recommendations were also included in the report. This includes developing local action plans to take forward the findings within each of the premises. </w:t>
      </w:r>
      <w:r>
        <w:rPr>
          <w:rFonts w:cs="Calibri"/>
          <w:szCs w:val="24"/>
        </w:rPr>
        <w:t>These actions have been addressed and compliance is monitored through health and safety leads and relevant premise leads and</w:t>
      </w:r>
      <w:r w:rsidRPr="0040298A">
        <w:rPr>
          <w:rFonts w:cs="Calibri"/>
          <w:szCs w:val="24"/>
        </w:rPr>
        <w:t xml:space="preserve"> monitored through the Health and Safety Group.</w:t>
      </w:r>
    </w:p>
    <w:p w:rsidR="003F2A18" w:rsidRPr="0040298A" w:rsidRDefault="003F2A18" w:rsidP="00426480">
      <w:pPr>
        <w:rPr>
          <w:rFonts w:cs="Calibri"/>
          <w:szCs w:val="24"/>
        </w:rPr>
      </w:pPr>
    </w:p>
    <w:p w:rsidR="00426480" w:rsidRDefault="00426480" w:rsidP="00426480">
      <w:pPr>
        <w:rPr>
          <w:rFonts w:cs="Calibri"/>
        </w:rPr>
      </w:pPr>
      <w:r w:rsidRPr="133F8AC3">
        <w:rPr>
          <w:rFonts w:cs="Calibri"/>
        </w:rPr>
        <w:t>The Estates and Health and Safety Division have also developed a suite of information for premise leads/ building managers to support the development of updated risk assessments and the monitoring of compliance with regard to the COVID-19 measures and guidance. This is further supported by the provision of additional signage/ posters to ensure consistency across the estate.</w:t>
      </w:r>
    </w:p>
    <w:p w:rsidR="003F2A18" w:rsidRPr="0040298A" w:rsidRDefault="003F2A18" w:rsidP="00426480">
      <w:pPr>
        <w:rPr>
          <w:rFonts w:cs="Calibri"/>
        </w:rPr>
      </w:pPr>
    </w:p>
    <w:p w:rsidR="00426480" w:rsidRDefault="00426480" w:rsidP="00426480">
      <w:r>
        <w:t>The risk assessments have been published on our webpages and the risk assessment report was also shared with our staff side representatives.</w:t>
      </w:r>
    </w:p>
    <w:p w:rsidR="00680CAE" w:rsidRPr="003F2A18" w:rsidRDefault="00426480" w:rsidP="003F2A18">
      <w:r>
        <w:t>In addition to this, a contract with an independent Health and Safety Consultant has been procured to provide additional support and capacity with regard to health and safety matters. This arrangement has been in place since October 2020.</w:t>
      </w:r>
    </w:p>
    <w:p w:rsidR="00426480" w:rsidRDefault="00426480" w:rsidP="00426480">
      <w:pPr>
        <w:pStyle w:val="Heading2"/>
        <w:keepLines w:val="0"/>
        <w:numPr>
          <w:ilvl w:val="1"/>
          <w:numId w:val="0"/>
        </w:numPr>
        <w:tabs>
          <w:tab w:val="num" w:pos="1008"/>
        </w:tabs>
        <w:spacing w:before="360"/>
        <w:ind w:left="1008" w:hanging="1008"/>
      </w:pPr>
      <w:r w:rsidRPr="0011755C">
        <w:lastRenderedPageBreak/>
        <w:t>Compliance monitoring</w:t>
      </w:r>
    </w:p>
    <w:p w:rsidR="00426480" w:rsidRDefault="00426480" w:rsidP="00426480">
      <w:r w:rsidRPr="00C31E37">
        <w:t>Following the risk assessment, compliance monitoring has been a key element of ensuring our premises remain safe for staff and service users.  This has continued across the estate through our Health and Safety leads and risk assessments are also updated accordingly to reflect the changing guidance and regulations as and when required.</w:t>
      </w:r>
      <w:r>
        <w:t xml:space="preserve"> </w:t>
      </w:r>
    </w:p>
    <w:p w:rsidR="00B54042" w:rsidRDefault="00B54042" w:rsidP="00426480"/>
    <w:p w:rsidR="00426480" w:rsidRDefault="00426480" w:rsidP="00426480">
      <w:r>
        <w:t xml:space="preserve">The risk assessments will also be revisited in light of changes to the guidance due to the new strains being detected in the community. </w:t>
      </w:r>
    </w:p>
    <w:p w:rsidR="00B54042" w:rsidRDefault="00B54042" w:rsidP="00426480"/>
    <w:p w:rsidR="00426480" w:rsidRDefault="00426480" w:rsidP="00426480">
      <w:r>
        <w:t>Spot checks across the estate are also being undertaken and findings arising from the spot checks will be reported through Health and Safety Group and actions addressed through the relevant health and safety lead.</w:t>
      </w:r>
    </w:p>
    <w:p w:rsidR="00426480" w:rsidRPr="00955E91" w:rsidRDefault="00426480" w:rsidP="00426480">
      <w:pPr>
        <w:pStyle w:val="Heading2"/>
        <w:keepLines w:val="0"/>
        <w:numPr>
          <w:ilvl w:val="1"/>
          <w:numId w:val="0"/>
        </w:numPr>
        <w:tabs>
          <w:tab w:val="num" w:pos="1008"/>
        </w:tabs>
        <w:spacing w:before="360"/>
        <w:ind w:left="1008" w:hanging="1008"/>
      </w:pPr>
      <w:r w:rsidRPr="00955E91">
        <w:t>Cases within the workplace</w:t>
      </w:r>
    </w:p>
    <w:p w:rsidR="00426480" w:rsidRDefault="00426480" w:rsidP="00426480">
      <w:r>
        <w:t xml:space="preserve">During end of Quarter 3 start of Quarter 4 we have seen an increase in the number of cases within the workforce. This has resulted in numerous staff needing to self-isolate due to potential links within the workplace. Due to community transmission rates currently being very high, it was inevitable we would see an increase in cases within the workforce. A process for how relevant staff are notified and cases are managed has been developed to ensure a consistent approach to managing suspected or potential cases in the workplace. This has been developed alongside the updating of the Outbreak Management Policy. For all suspected or confirmed COVID cases a joint investigation takes place with Health and Safety and lead nurse for Infection Prevention and control. Following each incident there is usually </w:t>
      </w:r>
      <w:proofErr w:type="gramStart"/>
      <w:r>
        <w:t>a debrief</w:t>
      </w:r>
      <w:proofErr w:type="gramEnd"/>
      <w:r>
        <w:t xml:space="preserve"> with the team, Infection, Prevention and Control and Health and Safety. A summary of the cases is included below and action that was taken as a result.</w:t>
      </w:r>
    </w:p>
    <w:p w:rsidR="00426480" w:rsidRDefault="00426480" w:rsidP="00426480">
      <w:pPr>
        <w:pStyle w:val="ListParagraph"/>
        <w:numPr>
          <w:ilvl w:val="0"/>
          <w:numId w:val="22"/>
        </w:numPr>
        <w:spacing w:before="240"/>
        <w:ind w:left="714" w:hanging="357"/>
        <w:contextualSpacing w:val="0"/>
        <w:jc w:val="both"/>
      </w:pPr>
      <w:r w:rsidRPr="0053129F">
        <w:rPr>
          <w:b/>
        </w:rPr>
        <w:t>Microbiology (November 2020)</w:t>
      </w:r>
      <w:r>
        <w:t xml:space="preserve"> - A number of cases of staff testing positive in our laboratory resulted in a number of staff being required to isolate. Health and Safety lead undertook an investigation which identified no evidence to suggest workplace transmission. Area was cleaned and no further action required.</w:t>
      </w:r>
    </w:p>
    <w:p w:rsidR="00426480" w:rsidRDefault="00426480" w:rsidP="00426480">
      <w:pPr>
        <w:pStyle w:val="ListParagraph"/>
        <w:numPr>
          <w:ilvl w:val="0"/>
          <w:numId w:val="22"/>
        </w:numPr>
        <w:spacing w:before="240"/>
        <w:ind w:left="714" w:hanging="357"/>
        <w:contextualSpacing w:val="0"/>
        <w:jc w:val="both"/>
      </w:pPr>
      <w:r w:rsidRPr="0053129F">
        <w:rPr>
          <w:b/>
        </w:rPr>
        <w:t>Screening BTW Cathedral Road</w:t>
      </w:r>
      <w:r>
        <w:t xml:space="preserve"> (December 2020) - A few staff tested positive for Covid-19. After investigation, it was agreed there was no evidence to suggest workplace transmission. Staff working at the site all comply with relevant guidance and screens are in place and staff wear appropriate PPE. Area was cleaned and no further action required.</w:t>
      </w:r>
    </w:p>
    <w:p w:rsidR="00426480" w:rsidRDefault="00426480" w:rsidP="00426480">
      <w:pPr>
        <w:pStyle w:val="ListParagraph"/>
        <w:numPr>
          <w:ilvl w:val="0"/>
          <w:numId w:val="22"/>
        </w:numPr>
        <w:spacing w:before="240"/>
        <w:ind w:left="714" w:hanging="357"/>
        <w:contextualSpacing w:val="0"/>
        <w:jc w:val="both"/>
      </w:pPr>
      <w:r w:rsidRPr="0053129F">
        <w:rPr>
          <w:b/>
        </w:rPr>
        <w:t>Breast Test Wales Magden Park</w:t>
      </w:r>
      <w:r>
        <w:t xml:space="preserve"> </w:t>
      </w:r>
      <w:r w:rsidRPr="0053129F">
        <w:rPr>
          <w:b/>
        </w:rPr>
        <w:t>(December 2020)</w:t>
      </w:r>
      <w:r>
        <w:t xml:space="preserve"> - 8 staff within the service over a period of 2 weeks tested positive for COVID-19. After a thorough investigation, again no substantial evidence could be identified that linked transmission to the workplace. Due to taking place over the Christmas, service disruption was minimal and no further action was required.</w:t>
      </w:r>
    </w:p>
    <w:p w:rsidR="00426480" w:rsidRDefault="00426480" w:rsidP="00426480">
      <w:pPr>
        <w:pStyle w:val="ListParagraph"/>
        <w:numPr>
          <w:ilvl w:val="0"/>
          <w:numId w:val="22"/>
        </w:numPr>
        <w:spacing w:before="240"/>
        <w:ind w:left="714" w:hanging="357"/>
        <w:contextualSpacing w:val="0"/>
        <w:jc w:val="both"/>
      </w:pPr>
      <w:r w:rsidRPr="0053129F">
        <w:rPr>
          <w:b/>
        </w:rPr>
        <w:lastRenderedPageBreak/>
        <w:t>Contact Centre Capital Quarter 2 (December 2020)</w:t>
      </w:r>
      <w:r>
        <w:t xml:space="preserve"> - A number of cases within the contact centre at Capital Quarter 2 were identified that were possibly down to workplace transmission. Following the investigation, additional measures and cleaning were undertaken including temporarily moving the contact centre to 5</w:t>
      </w:r>
      <w:r w:rsidRPr="0053129F">
        <w:rPr>
          <w:vertAlign w:val="superscript"/>
        </w:rPr>
        <w:t>th</w:t>
      </w:r>
      <w:r>
        <w:t xml:space="preserve"> floor to allow for deep cleaning to take place on Boxing Day, workstations have been spread apart further, National Health Protection Cell were directed to work remotely and we are currently supporting staff by providing additional equipment for the role to be undertaken from home.</w:t>
      </w:r>
    </w:p>
    <w:p w:rsidR="00426480" w:rsidRDefault="00426480" w:rsidP="00426480">
      <w:pPr>
        <w:pStyle w:val="ListParagraph"/>
        <w:numPr>
          <w:ilvl w:val="0"/>
          <w:numId w:val="22"/>
        </w:numPr>
        <w:spacing w:before="240"/>
        <w:ind w:left="714" w:hanging="357"/>
        <w:contextualSpacing w:val="0"/>
        <w:jc w:val="both"/>
      </w:pPr>
      <w:r w:rsidRPr="0053129F">
        <w:rPr>
          <w:b/>
        </w:rPr>
        <w:t>CSW Matrix (December 2020) -</w:t>
      </w:r>
      <w:r>
        <w:t xml:space="preserve"> A small number of staff tested positive for Covid-19. No evidence of workplace transmission. Area was cleaned and no further action required.</w:t>
      </w:r>
    </w:p>
    <w:p w:rsidR="00426480" w:rsidRDefault="00426480" w:rsidP="00426480">
      <w:pPr>
        <w:pStyle w:val="ListParagraph"/>
        <w:numPr>
          <w:ilvl w:val="0"/>
          <w:numId w:val="22"/>
        </w:numPr>
        <w:spacing w:before="240"/>
        <w:ind w:left="714" w:hanging="357"/>
        <w:contextualSpacing w:val="0"/>
        <w:jc w:val="both"/>
      </w:pPr>
      <w:r w:rsidRPr="456B94C5">
        <w:rPr>
          <w:b/>
          <w:bCs/>
        </w:rPr>
        <w:t>Screening- 18 Cathedral Road (January 2020) -</w:t>
      </w:r>
      <w:r>
        <w:t xml:space="preserve"> Two possible linked cases in 18 cathedral Road. Outbreak Control Team convened and whilst it is plausible there was workplace transmission, following advice from an independent Health and Safety Consultant, the evidence was not deemed substantial enough to be reportable to the HSE. A number of actions were identified including reducing maximum room capacity and asking relevant staff to isolate as a precaution.</w:t>
      </w:r>
    </w:p>
    <w:p w:rsidR="00426480" w:rsidRDefault="00426480" w:rsidP="002B712E">
      <w:pPr>
        <w:pStyle w:val="ListParagraph"/>
        <w:ind w:left="1080"/>
        <w:jc w:val="both"/>
        <w:rPr>
          <w:color w:val="FF0000"/>
          <w:szCs w:val="24"/>
        </w:rPr>
      </w:pPr>
    </w:p>
    <w:p w:rsidR="00426480" w:rsidRDefault="00426480" w:rsidP="00426480">
      <w:pPr>
        <w:pStyle w:val="Heading2"/>
        <w:keepLines w:val="0"/>
        <w:numPr>
          <w:ilvl w:val="1"/>
          <w:numId w:val="0"/>
        </w:numPr>
        <w:tabs>
          <w:tab w:val="num" w:pos="1008"/>
        </w:tabs>
        <w:spacing w:before="360"/>
        <w:ind w:left="1008" w:hanging="1008"/>
        <w:rPr>
          <w:rFonts w:eastAsia="Verdana"/>
        </w:rPr>
      </w:pPr>
      <w:r>
        <w:rPr>
          <w:rFonts w:eastAsia="Verdana"/>
        </w:rPr>
        <w:t xml:space="preserve">3.4 </w:t>
      </w:r>
      <w:r w:rsidRPr="456B94C5">
        <w:rPr>
          <w:rFonts w:eastAsia="Verdana"/>
        </w:rPr>
        <w:t>Outbreak Management Policy</w:t>
      </w:r>
    </w:p>
    <w:p w:rsidR="00426480" w:rsidRDefault="00426480" w:rsidP="00426480">
      <w:pPr>
        <w:spacing w:line="257" w:lineRule="auto"/>
        <w:jc w:val="both"/>
        <w:rPr>
          <w:rFonts w:eastAsia="Verdana" w:cs="Verdana"/>
        </w:rPr>
      </w:pPr>
      <w:r w:rsidRPr="133F8AC3">
        <w:rPr>
          <w:rFonts w:eastAsia="Verdana" w:cs="Verdana"/>
        </w:rPr>
        <w:t>Th</w:t>
      </w:r>
      <w:r w:rsidR="003F2A18">
        <w:rPr>
          <w:rFonts w:eastAsia="Verdana" w:cs="Verdana"/>
        </w:rPr>
        <w:t>e Outbreak Management Policy is being</w:t>
      </w:r>
      <w:r w:rsidRPr="133F8AC3">
        <w:rPr>
          <w:rFonts w:eastAsia="Verdana" w:cs="Verdana"/>
        </w:rPr>
        <w:t xml:space="preserve"> reviewed and updated by Lead Nurse Infection Prevention and Control. It provides guidance for the management of an outbreak within all premises used by Public Health Wales staff; this includes clinical and non-clinical areas. When one case of an alert organism has been identified within an area for example COVID 19 or influenza cases, the Divisional Lead, Lead Nurse Infection Prevention Control, and the Health and Safety Team are informed along with the Executive Director of Nursing and Allied Health Professionals and Incident Director. A preliminary investigation takes place to establish the facts. An Outbreak control team is then established to manage the outbreak.</w:t>
      </w:r>
    </w:p>
    <w:p w:rsidR="00426480" w:rsidRDefault="00426480" w:rsidP="00426480">
      <w:pPr>
        <w:spacing w:line="257" w:lineRule="auto"/>
        <w:jc w:val="both"/>
      </w:pPr>
    </w:p>
    <w:p w:rsidR="00426480" w:rsidRDefault="00426480" w:rsidP="00426480">
      <w:pPr>
        <w:spacing w:line="257" w:lineRule="auto"/>
        <w:jc w:val="both"/>
      </w:pPr>
      <w:r w:rsidRPr="456B94C5">
        <w:rPr>
          <w:rFonts w:eastAsia="Verdana" w:cs="Verdana"/>
          <w:szCs w:val="24"/>
        </w:rPr>
        <w:t xml:space="preserve">The </w:t>
      </w:r>
      <w:r w:rsidR="003F2A18">
        <w:rPr>
          <w:rFonts w:eastAsia="Verdana" w:cs="Verdana"/>
          <w:szCs w:val="24"/>
        </w:rPr>
        <w:t xml:space="preserve">revised </w:t>
      </w:r>
      <w:r w:rsidRPr="456B94C5">
        <w:rPr>
          <w:rFonts w:eastAsia="Verdana" w:cs="Verdana"/>
          <w:szCs w:val="24"/>
        </w:rPr>
        <w:t>policy includes a flowchart on the management of the outbreak along with a checklist for staff to use. The policy has been shared with members of the Infection Prevention and Control Group for comments.</w:t>
      </w:r>
    </w:p>
    <w:p w:rsidR="00426480" w:rsidRDefault="00426480" w:rsidP="00426480">
      <w:pPr>
        <w:spacing w:line="257" w:lineRule="auto"/>
        <w:jc w:val="both"/>
      </w:pPr>
      <w:r w:rsidRPr="752D6B29">
        <w:rPr>
          <w:rFonts w:eastAsia="Verdana" w:cs="Verdana"/>
          <w:szCs w:val="24"/>
        </w:rPr>
        <w:t>The policy will be presented at the Business Executive Team and subsequently Quality, Safety and Information Governance Committee for a recommendation for its use as an interim policy, pending any further comments from a wider consultation.</w:t>
      </w:r>
    </w:p>
    <w:p w:rsidR="00426480" w:rsidRDefault="00426480" w:rsidP="00426480">
      <w:pPr>
        <w:pStyle w:val="Heading2"/>
        <w:keepLines w:val="0"/>
        <w:numPr>
          <w:ilvl w:val="1"/>
          <w:numId w:val="0"/>
        </w:numPr>
        <w:tabs>
          <w:tab w:val="num" w:pos="1008"/>
        </w:tabs>
        <w:spacing w:before="360"/>
        <w:ind w:left="1008" w:hanging="1008"/>
      </w:pPr>
      <w:r>
        <w:lastRenderedPageBreak/>
        <w:t xml:space="preserve">3.5 </w:t>
      </w:r>
      <w:r w:rsidRPr="00402543">
        <w:t>Staff working from home</w:t>
      </w:r>
    </w:p>
    <w:p w:rsidR="00426480" w:rsidRDefault="00426480" w:rsidP="00426480">
      <w:pPr>
        <w:jc w:val="both"/>
      </w:pPr>
      <w:r>
        <w:t>All staff that are not, as part of their role, required to be in a specific site have been encouraged through Directorates/ Divisions to work from home. This message has continued and will be in place to at least end of March 2021. This is to reduce the risk of spreading infection and ensure that those who do need to be in the workplace remain as safe as possible. This date is currently being reviewed and any extension of this advice will be communicated to staff shortly. A large proportion of staff are now able to work from home and guidance has been provided to managers and employees through the staff bulletins and internet pages which also includes guidance on home working, setting up IT equipment and using skype. Microsoft Teams, One Drive and other O365 packages have also been rolled out across the organisation providing another communication tool for staff.</w:t>
      </w:r>
    </w:p>
    <w:p w:rsidR="00426480" w:rsidRPr="000F5D3F" w:rsidRDefault="00426480" w:rsidP="00426480">
      <w:pPr>
        <w:jc w:val="both"/>
        <w:rPr>
          <w:b/>
          <w:bCs/>
        </w:rPr>
      </w:pPr>
    </w:p>
    <w:p w:rsidR="00426480" w:rsidRDefault="00426480" w:rsidP="00426480">
      <w:pPr>
        <w:jc w:val="both"/>
      </w:pPr>
      <w:r w:rsidRPr="714E14AA">
        <w:rPr>
          <w:rFonts w:eastAsia="Verdana" w:cs="Verdana"/>
          <w:szCs w:val="24"/>
        </w:rPr>
        <w:t>Since the start of the pandemic, the Estates and Health and Safety Team have been working closely with the Information Management and Technology (IM&amp;T) Division to support requests for equipment to enable working from home. As at 11 February 2021, 819 pieces of equipment have been loaned to staff. This includes requests for provision of a monitor, key board, mouse, head sets and chair following review of a completed DSE assessment. To date 167 DSE assessments have been completed.</w:t>
      </w:r>
    </w:p>
    <w:p w:rsidR="00426480" w:rsidRDefault="00426480" w:rsidP="00426480">
      <w:pPr>
        <w:pStyle w:val="Heading2"/>
        <w:keepLines w:val="0"/>
        <w:numPr>
          <w:ilvl w:val="1"/>
          <w:numId w:val="0"/>
        </w:numPr>
        <w:tabs>
          <w:tab w:val="num" w:pos="1008"/>
        </w:tabs>
        <w:spacing w:before="360"/>
        <w:ind w:left="1008" w:hanging="1008"/>
      </w:pPr>
      <w:r>
        <w:t>3.6 Additional m</w:t>
      </w:r>
      <w:r w:rsidRPr="00E30F68">
        <w:t>easures for staff working on Public Health Wales premises</w:t>
      </w:r>
    </w:p>
    <w:p w:rsidR="00426480" w:rsidRDefault="00426480" w:rsidP="00426480">
      <w:pPr>
        <w:jc w:val="both"/>
      </w:pPr>
      <w:r>
        <w:t xml:space="preserve">For some key functions and those staff who are directly involved in the Covid-19 response, it is recognised that home working may not always be possible. </w:t>
      </w:r>
    </w:p>
    <w:p w:rsidR="003F2A18" w:rsidRDefault="003F2A18" w:rsidP="00426480">
      <w:pPr>
        <w:jc w:val="both"/>
      </w:pPr>
    </w:p>
    <w:p w:rsidR="00426480" w:rsidRDefault="00426480" w:rsidP="00426480">
      <w:pPr>
        <w:jc w:val="both"/>
      </w:pPr>
      <w:r>
        <w:t>The section below details specific actions that have been undertaken within our various services. Work within these areas continues as risk assessments are reviewed and when there are changes to the guidance.</w:t>
      </w:r>
    </w:p>
    <w:p w:rsidR="003F2A18" w:rsidRDefault="003F2A18" w:rsidP="00426480">
      <w:pPr>
        <w:jc w:val="both"/>
      </w:pPr>
    </w:p>
    <w:p w:rsidR="00426480" w:rsidRDefault="00426480" w:rsidP="00426480">
      <w:pPr>
        <w:jc w:val="both"/>
      </w:pPr>
      <w:r w:rsidRPr="00C31E37">
        <w:rPr>
          <w:b/>
          <w:bCs/>
        </w:rPr>
        <w:t xml:space="preserve">Office buildings- </w:t>
      </w:r>
      <w:r w:rsidRPr="002D34EE">
        <w:rPr>
          <w:bCs/>
        </w:rPr>
        <w:t>W</w:t>
      </w:r>
      <w:r w:rsidRPr="00C31E37">
        <w:t xml:space="preserve">ork has continued across the estate to ensure staff remain safe when they are required to be in the workplace. </w:t>
      </w:r>
      <w:r>
        <w:t>This has included the introduction of sign in sheets and QR codes to support the NHS Test and Trace Programme.</w:t>
      </w:r>
    </w:p>
    <w:p w:rsidR="00426480" w:rsidRDefault="00426480" w:rsidP="00426480">
      <w:pPr>
        <w:jc w:val="both"/>
      </w:pPr>
      <w:r>
        <w:t xml:space="preserve">Other specific measures across our sites include: </w:t>
      </w:r>
    </w:p>
    <w:p w:rsidR="00426480" w:rsidRDefault="00426480" w:rsidP="00426480">
      <w:pPr>
        <w:pStyle w:val="ListParagraph"/>
        <w:numPr>
          <w:ilvl w:val="0"/>
          <w:numId w:val="24"/>
        </w:numPr>
        <w:spacing w:before="240"/>
        <w:contextualSpacing w:val="0"/>
        <w:jc w:val="both"/>
      </w:pPr>
      <w:r>
        <w:t xml:space="preserve">Introduction of one-way systems  </w:t>
      </w:r>
    </w:p>
    <w:p w:rsidR="00426480" w:rsidRDefault="00426480" w:rsidP="00426480">
      <w:pPr>
        <w:pStyle w:val="ListParagraph"/>
        <w:numPr>
          <w:ilvl w:val="0"/>
          <w:numId w:val="24"/>
        </w:numPr>
        <w:spacing w:before="240"/>
        <w:contextualSpacing w:val="0"/>
        <w:jc w:val="both"/>
      </w:pPr>
      <w:r>
        <w:t>Distancing of desks to ensure compliance with 2m regulations</w:t>
      </w:r>
    </w:p>
    <w:p w:rsidR="00426480" w:rsidRDefault="00426480" w:rsidP="00426480">
      <w:pPr>
        <w:pStyle w:val="ListParagraph"/>
        <w:numPr>
          <w:ilvl w:val="0"/>
          <w:numId w:val="24"/>
        </w:numPr>
        <w:spacing w:before="240"/>
        <w:contextualSpacing w:val="0"/>
        <w:jc w:val="both"/>
      </w:pPr>
      <w:r>
        <w:t xml:space="preserve">Removal of equipment and personal belongings from desks  </w:t>
      </w:r>
    </w:p>
    <w:p w:rsidR="00426480" w:rsidRDefault="00426480" w:rsidP="00426480">
      <w:pPr>
        <w:pStyle w:val="ListParagraph"/>
        <w:numPr>
          <w:ilvl w:val="0"/>
          <w:numId w:val="24"/>
        </w:numPr>
        <w:spacing w:before="240"/>
        <w:contextualSpacing w:val="0"/>
        <w:jc w:val="both"/>
      </w:pPr>
      <w:r>
        <w:t xml:space="preserve">Increased signage  </w:t>
      </w:r>
    </w:p>
    <w:p w:rsidR="00426480" w:rsidRDefault="00426480" w:rsidP="00426480">
      <w:pPr>
        <w:pStyle w:val="ListParagraph"/>
        <w:numPr>
          <w:ilvl w:val="0"/>
          <w:numId w:val="24"/>
        </w:numPr>
        <w:spacing w:before="240"/>
        <w:contextualSpacing w:val="0"/>
        <w:jc w:val="both"/>
      </w:pPr>
      <w:r>
        <w:t xml:space="preserve">Central provision and distribution of PPE including hand sanitiser and wipes  </w:t>
      </w:r>
    </w:p>
    <w:p w:rsidR="00426480" w:rsidRDefault="00426480" w:rsidP="00426480">
      <w:pPr>
        <w:pStyle w:val="ListParagraph"/>
        <w:numPr>
          <w:ilvl w:val="0"/>
          <w:numId w:val="24"/>
        </w:numPr>
        <w:spacing w:before="240"/>
        <w:contextualSpacing w:val="0"/>
        <w:jc w:val="both"/>
      </w:pPr>
      <w:r>
        <w:lastRenderedPageBreak/>
        <w:t xml:space="preserve">Signing in/out process for staff in buildings  </w:t>
      </w:r>
    </w:p>
    <w:p w:rsidR="00426480" w:rsidRDefault="00426480" w:rsidP="00426480">
      <w:pPr>
        <w:pStyle w:val="ListParagraph"/>
        <w:numPr>
          <w:ilvl w:val="0"/>
          <w:numId w:val="24"/>
        </w:numPr>
        <w:spacing w:before="240"/>
        <w:contextualSpacing w:val="0"/>
        <w:jc w:val="both"/>
      </w:pPr>
      <w:r>
        <w:t>Occupancy monitoring in buildings and meeting rooms</w:t>
      </w:r>
    </w:p>
    <w:p w:rsidR="00426480" w:rsidRDefault="00426480" w:rsidP="00426480">
      <w:pPr>
        <w:pStyle w:val="ListParagraph"/>
        <w:numPr>
          <w:ilvl w:val="0"/>
          <w:numId w:val="24"/>
        </w:numPr>
        <w:spacing w:before="240"/>
        <w:contextualSpacing w:val="0"/>
        <w:jc w:val="both"/>
      </w:pPr>
      <w:r>
        <w:t>Additional / enhanced cleaning of specific areas</w:t>
      </w:r>
    </w:p>
    <w:p w:rsidR="00426480" w:rsidRDefault="00426480" w:rsidP="00426480"/>
    <w:p w:rsidR="00426480" w:rsidRDefault="00426480" w:rsidP="00426480">
      <w:pPr>
        <w:jc w:val="both"/>
      </w:pPr>
      <w:r>
        <w:t>Following the increased number of cases within the workplace, it was agreed in December 2020 that masks are required to be worn when staff are moving around the estate. This was communicated to staff on 22 December via a news article, also reminding staff of the importance of following the other guidelines. In addition to this, further spreading out of the Contact Centre has been undertaken and the work from home message emphasised. Perspex screens have also been procured for other Screening venues across Wales due to limitations within the estate to allow for further separation of desks.</w:t>
      </w:r>
    </w:p>
    <w:p w:rsidR="003F2A18" w:rsidRDefault="003F2A18" w:rsidP="00426480">
      <w:pPr>
        <w:jc w:val="both"/>
      </w:pPr>
    </w:p>
    <w:p w:rsidR="00426480" w:rsidRDefault="00426480" w:rsidP="00426480">
      <w:pPr>
        <w:jc w:val="both"/>
      </w:pPr>
      <w:r>
        <w:rPr>
          <w:b/>
          <w:bCs/>
        </w:rPr>
        <w:t>S</w:t>
      </w:r>
      <w:r w:rsidRPr="67BD258B">
        <w:rPr>
          <w:b/>
          <w:bCs/>
        </w:rPr>
        <w:t>creening</w:t>
      </w:r>
      <w:r>
        <w:t>- Screening continue to work closely with the Estates and Health and Safety Team to ensure staff and services users are safe and we comply with the legislation. Actions include:</w:t>
      </w:r>
    </w:p>
    <w:p w:rsidR="00426480" w:rsidRPr="002D34EE" w:rsidRDefault="00426480" w:rsidP="00426480">
      <w:pPr>
        <w:pStyle w:val="ListParagraph"/>
        <w:ind w:left="1440"/>
        <w:rPr>
          <w:rFonts w:asciiTheme="minorHAnsi" w:eastAsiaTheme="minorEastAsia" w:hAnsiTheme="minorHAnsi"/>
          <w:szCs w:val="24"/>
        </w:rPr>
      </w:pPr>
    </w:p>
    <w:p w:rsidR="00426480" w:rsidRDefault="00426480" w:rsidP="00426480">
      <w:pPr>
        <w:pStyle w:val="ListParagraph"/>
        <w:numPr>
          <w:ilvl w:val="0"/>
          <w:numId w:val="23"/>
        </w:numPr>
        <w:spacing w:before="240"/>
        <w:ind w:left="714" w:hanging="357"/>
        <w:contextualSpacing w:val="0"/>
        <w:rPr>
          <w:rFonts w:asciiTheme="minorHAnsi" w:eastAsiaTheme="minorEastAsia" w:hAnsiTheme="minorHAnsi"/>
          <w:szCs w:val="24"/>
        </w:rPr>
      </w:pPr>
      <w:r w:rsidRPr="3D79B536">
        <w:t xml:space="preserve">Removing desks </w:t>
      </w:r>
      <w:r>
        <w:t xml:space="preserve">in offices </w:t>
      </w:r>
      <w:r w:rsidRPr="3D79B536">
        <w:t>to reduce room occupancy levels</w:t>
      </w:r>
    </w:p>
    <w:p w:rsidR="00426480" w:rsidRDefault="00426480" w:rsidP="00426480">
      <w:pPr>
        <w:pStyle w:val="ListParagraph"/>
        <w:numPr>
          <w:ilvl w:val="0"/>
          <w:numId w:val="23"/>
        </w:numPr>
        <w:spacing w:before="240"/>
        <w:ind w:left="714" w:hanging="357"/>
        <w:contextualSpacing w:val="0"/>
        <w:rPr>
          <w:rFonts w:asciiTheme="minorHAnsi" w:eastAsiaTheme="minorEastAsia" w:hAnsiTheme="minorHAnsi"/>
          <w:szCs w:val="24"/>
        </w:rPr>
      </w:pPr>
      <w:r w:rsidRPr="3D79B536">
        <w:t>Removing unnecessary items from desk to facilitate easier sanitisation</w:t>
      </w:r>
    </w:p>
    <w:p w:rsidR="00426480" w:rsidRDefault="00426480" w:rsidP="00426480">
      <w:pPr>
        <w:pStyle w:val="ListParagraph"/>
        <w:numPr>
          <w:ilvl w:val="0"/>
          <w:numId w:val="23"/>
        </w:numPr>
        <w:spacing w:before="240"/>
        <w:ind w:left="714" w:hanging="357"/>
        <w:contextualSpacing w:val="0"/>
        <w:rPr>
          <w:rFonts w:asciiTheme="minorHAnsi" w:eastAsiaTheme="minorEastAsia" w:hAnsiTheme="minorHAnsi"/>
          <w:szCs w:val="24"/>
        </w:rPr>
      </w:pPr>
      <w:r w:rsidRPr="3D79B536">
        <w:t>Implementing ventilation strategies in rooms without mechanical ventilation</w:t>
      </w:r>
    </w:p>
    <w:p w:rsidR="00426480" w:rsidRDefault="00426480" w:rsidP="00426480">
      <w:pPr>
        <w:pStyle w:val="ListParagraph"/>
        <w:numPr>
          <w:ilvl w:val="0"/>
          <w:numId w:val="23"/>
        </w:numPr>
        <w:spacing w:before="240"/>
        <w:ind w:left="714" w:hanging="357"/>
        <w:contextualSpacing w:val="0"/>
        <w:rPr>
          <w:rFonts w:asciiTheme="minorHAnsi" w:eastAsiaTheme="minorEastAsia" w:hAnsiTheme="minorHAnsi"/>
          <w:szCs w:val="24"/>
        </w:rPr>
      </w:pPr>
      <w:r w:rsidRPr="3D79B536">
        <w:t>Reminding staff of the need to maintain social distancing, hand washing etc.</w:t>
      </w:r>
    </w:p>
    <w:p w:rsidR="00426480" w:rsidRDefault="00426480" w:rsidP="00426480">
      <w:pPr>
        <w:pStyle w:val="ListParagraph"/>
        <w:numPr>
          <w:ilvl w:val="0"/>
          <w:numId w:val="23"/>
        </w:numPr>
        <w:spacing w:before="240"/>
        <w:ind w:left="714" w:hanging="357"/>
        <w:contextualSpacing w:val="0"/>
        <w:rPr>
          <w:rFonts w:asciiTheme="minorHAnsi" w:eastAsiaTheme="minorEastAsia" w:hAnsiTheme="minorHAnsi"/>
          <w:szCs w:val="24"/>
        </w:rPr>
      </w:pPr>
      <w:r w:rsidRPr="3D79B536">
        <w:t>Advising staff regarding eating food at desks and use of rest areas</w:t>
      </w:r>
    </w:p>
    <w:p w:rsidR="00426480" w:rsidRDefault="00426480" w:rsidP="00426480">
      <w:pPr>
        <w:pStyle w:val="ListParagraph"/>
        <w:numPr>
          <w:ilvl w:val="0"/>
          <w:numId w:val="23"/>
        </w:numPr>
        <w:spacing w:before="240"/>
        <w:ind w:left="714" w:hanging="357"/>
        <w:contextualSpacing w:val="0"/>
        <w:rPr>
          <w:rFonts w:asciiTheme="minorHAnsi" w:eastAsiaTheme="minorEastAsia" w:hAnsiTheme="minorHAnsi"/>
          <w:szCs w:val="24"/>
        </w:rPr>
      </w:pPr>
      <w:r w:rsidRPr="3D79B536">
        <w:t>Increased monitoring of staff compliance</w:t>
      </w:r>
    </w:p>
    <w:p w:rsidR="00426480" w:rsidRPr="002D34EE" w:rsidRDefault="00426480" w:rsidP="00426480">
      <w:pPr>
        <w:pStyle w:val="ListParagraph"/>
        <w:numPr>
          <w:ilvl w:val="0"/>
          <w:numId w:val="23"/>
        </w:numPr>
        <w:spacing w:before="240"/>
        <w:ind w:left="714" w:hanging="357"/>
        <w:contextualSpacing w:val="0"/>
        <w:rPr>
          <w:rFonts w:asciiTheme="minorHAnsi" w:eastAsiaTheme="minorEastAsia" w:hAnsiTheme="minorHAnsi"/>
          <w:szCs w:val="24"/>
        </w:rPr>
      </w:pPr>
      <w:r w:rsidRPr="3D79B536">
        <w:t>Sharing outcomes with the rest of the Screening Division</w:t>
      </w:r>
    </w:p>
    <w:p w:rsidR="00426480" w:rsidRPr="00B712E0" w:rsidRDefault="00426480" w:rsidP="00426480">
      <w:pPr>
        <w:pStyle w:val="ListParagraph"/>
        <w:numPr>
          <w:ilvl w:val="0"/>
          <w:numId w:val="23"/>
        </w:numPr>
        <w:spacing w:before="240"/>
        <w:ind w:left="714" w:hanging="357"/>
        <w:contextualSpacing w:val="0"/>
        <w:rPr>
          <w:rFonts w:asciiTheme="minorHAnsi" w:eastAsiaTheme="minorEastAsia" w:hAnsiTheme="minorHAnsi"/>
        </w:rPr>
      </w:pPr>
      <w:r w:rsidRPr="00C63BAB">
        <w:t>Social distancing has been put in place in the main administrative areas</w:t>
      </w:r>
      <w:r>
        <w:t xml:space="preserve">. </w:t>
      </w:r>
      <w:r w:rsidRPr="00C63BAB">
        <w:t xml:space="preserve">Physical visits to </w:t>
      </w:r>
      <w:r>
        <w:t xml:space="preserve">all sites to discuss and assess measures in place as part of the Public Health Wales Building Risk Assessment Programme. Action plans have been put in place to implement the recommendations from the visits. </w:t>
      </w:r>
    </w:p>
    <w:p w:rsidR="00426480" w:rsidRPr="002D34EE" w:rsidRDefault="00426480" w:rsidP="00426480">
      <w:pPr>
        <w:pStyle w:val="ListParagraph"/>
        <w:numPr>
          <w:ilvl w:val="0"/>
          <w:numId w:val="23"/>
        </w:numPr>
        <w:spacing w:before="240"/>
        <w:ind w:left="714" w:hanging="357"/>
        <w:contextualSpacing w:val="0"/>
        <w:rPr>
          <w:rFonts w:asciiTheme="minorHAnsi" w:eastAsiaTheme="minorEastAsia" w:hAnsiTheme="minorHAnsi"/>
          <w:szCs w:val="24"/>
        </w:rPr>
      </w:pPr>
      <w:r>
        <w:t>R</w:t>
      </w:r>
      <w:r w:rsidRPr="3D79B536">
        <w:t xml:space="preserve">eview of Breast Test Wales mobile fleet in relation to Infection Prevention and Control improvements has taken place and the mobile units are now </w:t>
      </w:r>
      <w:r>
        <w:t>in use</w:t>
      </w:r>
      <w:r w:rsidRPr="3D79B536">
        <w:t xml:space="preserve"> at available locations</w:t>
      </w:r>
    </w:p>
    <w:p w:rsidR="00426480" w:rsidRPr="002D34EE" w:rsidRDefault="00426480" w:rsidP="00426480">
      <w:pPr>
        <w:pStyle w:val="ListParagraph"/>
        <w:numPr>
          <w:ilvl w:val="0"/>
          <w:numId w:val="23"/>
        </w:numPr>
        <w:spacing w:before="240"/>
        <w:ind w:left="714" w:hanging="357"/>
        <w:contextualSpacing w:val="0"/>
        <w:rPr>
          <w:rFonts w:asciiTheme="minorHAnsi" w:eastAsiaTheme="minorEastAsia" w:hAnsiTheme="minorHAnsi"/>
          <w:szCs w:val="24"/>
        </w:rPr>
      </w:pPr>
      <w:r w:rsidRPr="3D79B536">
        <w:lastRenderedPageBreak/>
        <w:t>Any training that is taking place is following guidance from People and Organisational Development and training is taking place virtually.</w:t>
      </w:r>
    </w:p>
    <w:p w:rsidR="00426480" w:rsidRDefault="00426480" w:rsidP="00426480">
      <w:pPr>
        <w:pStyle w:val="ListParagraph"/>
        <w:rPr>
          <w:rFonts w:asciiTheme="minorHAnsi" w:eastAsiaTheme="minorEastAsia" w:hAnsiTheme="minorHAnsi"/>
          <w:szCs w:val="24"/>
        </w:rPr>
      </w:pPr>
    </w:p>
    <w:p w:rsidR="00426480" w:rsidRPr="002D34EE" w:rsidRDefault="00426480" w:rsidP="00426480">
      <w:pPr>
        <w:pStyle w:val="ListParagraph"/>
        <w:numPr>
          <w:ilvl w:val="0"/>
          <w:numId w:val="23"/>
        </w:numPr>
        <w:rPr>
          <w:rFonts w:asciiTheme="minorHAnsi" w:eastAsiaTheme="minorEastAsia" w:hAnsiTheme="minorHAnsi"/>
        </w:rPr>
      </w:pPr>
      <w:r>
        <w:t>PPE use- For specified procedures in Breast Test Wales, the need for using FFP3 masks was identified. A working group was established to look at the delivery of Face Fit Testing across the Breast Test Wales programme for staff that have been identified as requiring a higher level of respiratory protection. The delivery of Face Fit Testing for identified staff in BTW was delivered in December 2020.</w:t>
      </w:r>
    </w:p>
    <w:p w:rsidR="00426480" w:rsidRDefault="00426480" w:rsidP="00426480">
      <w:pPr>
        <w:pStyle w:val="ListParagraph"/>
        <w:rPr>
          <w:rFonts w:asciiTheme="minorHAnsi" w:eastAsiaTheme="minorEastAsia" w:hAnsiTheme="minorHAnsi"/>
          <w:szCs w:val="24"/>
        </w:rPr>
      </w:pPr>
      <w:r w:rsidRPr="3D79B536">
        <w:t xml:space="preserve"> </w:t>
      </w:r>
    </w:p>
    <w:p w:rsidR="00426480" w:rsidRPr="002D34EE" w:rsidRDefault="00426480" w:rsidP="00426480">
      <w:pPr>
        <w:pStyle w:val="ListParagraph"/>
        <w:numPr>
          <w:ilvl w:val="0"/>
          <w:numId w:val="23"/>
        </w:numPr>
        <w:rPr>
          <w:rFonts w:asciiTheme="minorHAnsi" w:eastAsiaTheme="minorEastAsia" w:hAnsiTheme="minorHAnsi"/>
          <w:szCs w:val="24"/>
        </w:rPr>
      </w:pPr>
      <w:r w:rsidRPr="3D79B536">
        <w:t>We are experiencing continued issues with lack of venue availability from local Health Boards and the working group are looking at the viability of numerous alternative venues – Arts Council for Wales/Cardiff City Council/Optometry Wales/Mobile units etc. Costings and viability scenarios are being developed for Hub and Spoke and Service Continuity delivery. Whilst this is ongoing the number of venues available continue to increase albeit slowly. The working group is now focusing on the long term resolution of screening venues.</w:t>
      </w:r>
    </w:p>
    <w:p w:rsidR="00426480" w:rsidRDefault="00426480" w:rsidP="00426480">
      <w:pPr>
        <w:rPr>
          <w:b/>
          <w:bCs/>
        </w:rPr>
      </w:pPr>
    </w:p>
    <w:p w:rsidR="00426480" w:rsidRDefault="00426480" w:rsidP="00426480">
      <w:pPr>
        <w:jc w:val="both"/>
        <w:rPr>
          <w:bCs/>
        </w:rPr>
      </w:pPr>
      <w:r w:rsidRPr="605868F7">
        <w:rPr>
          <w:b/>
          <w:bCs/>
        </w:rPr>
        <w:t xml:space="preserve">Microbiology- </w:t>
      </w:r>
      <w:r w:rsidRPr="00BE4A04">
        <w:rPr>
          <w:bCs/>
        </w:rPr>
        <w:t xml:space="preserve">Over the last 12 months significant work has been undertaken across the Microbiology estate to ensure the safety of staff when working in the laboratory environment. Due to the nature of the work only 40 of 630 staff can work remotely which places significant pressure on the service to ensure it remains safe but also operational. </w:t>
      </w:r>
    </w:p>
    <w:p w:rsidR="003F2A18" w:rsidRPr="00BE4A04" w:rsidRDefault="003F2A18" w:rsidP="00426480">
      <w:pPr>
        <w:jc w:val="both"/>
        <w:rPr>
          <w:bCs/>
        </w:rPr>
      </w:pPr>
    </w:p>
    <w:p w:rsidR="003F2A18" w:rsidRDefault="00426480" w:rsidP="00426480">
      <w:pPr>
        <w:jc w:val="both"/>
      </w:pPr>
      <w:r>
        <w:t>During the last quarter reviews of legislation and existing protective documentation and policies regarding COVID guidance have been undertaken. COVID risk assessments are current for all existing laboratories.</w:t>
      </w:r>
    </w:p>
    <w:p w:rsidR="00426480" w:rsidRDefault="00426480" w:rsidP="00426480">
      <w:pPr>
        <w:jc w:val="both"/>
      </w:pPr>
      <w:r>
        <w:t xml:space="preserve"> </w:t>
      </w:r>
    </w:p>
    <w:p w:rsidR="00426480" w:rsidRDefault="00426480" w:rsidP="00426480">
      <w:pPr>
        <w:jc w:val="both"/>
        <w:rPr>
          <w:b/>
          <w:bCs/>
        </w:rPr>
      </w:pPr>
      <w:r>
        <w:t>Microbiology has moved as a division to enforce the use of facemasks designated as PPE (FRSM type IIR) for laboratory staff where social distancing is not possible despite workplace rearrangements and timetabling considerations. This has been influenced by the loss of staff due to identification as contacts (via TTP), a requirement to train safely, influx of staff recruited for Hot lab and IP5 sites, increased service delivery demand and increased anxiety experienced by staff. Social distancing has previously been acknowledged as hard to achieve in most network laboratories therefore masks are now common place. There is a Guidance document and risk assessment in place to support this move. Social distancing pressures at the UHW laboratory have been relieved by staff from the site being relocated to IP5</w:t>
      </w:r>
      <w:r w:rsidRPr="605868F7">
        <w:rPr>
          <w:b/>
          <w:bCs/>
        </w:rPr>
        <w:t>.</w:t>
      </w:r>
    </w:p>
    <w:p w:rsidR="00426480" w:rsidRDefault="00426480" w:rsidP="00426480">
      <w:pPr>
        <w:jc w:val="both"/>
      </w:pPr>
      <w:r>
        <w:t xml:space="preserve">Microbiology has been identified as front line staff and therefore as priority 2 in the COVID vaccination rollout. All sites have been contacted to organise vaccine appointments. Data is being collected from all sites to determine uptake, staff refusal and appointment pending statistics. Some staff are unable to access vaccination currently due to contra-indications, allergies, </w:t>
      </w:r>
      <w:r>
        <w:lastRenderedPageBreak/>
        <w:t>pregnancy or recent COVID infection. Agency staff have been vaccinated as they form a large supportive cohort of staff within the South East Region.</w:t>
      </w:r>
    </w:p>
    <w:p w:rsidR="003F2A18" w:rsidRDefault="003F2A18" w:rsidP="00426480">
      <w:pPr>
        <w:jc w:val="both"/>
      </w:pPr>
    </w:p>
    <w:p w:rsidR="00426480" w:rsidRDefault="00426480" w:rsidP="00426480">
      <w:r>
        <w:t>COVID testing is now live on all sites across the network including the hot labs and IP5. The three main Regional laboratories; UHW, Rhyl and Singleton are now running 24/7. Rhyl and Singleton are running the panama night shift system. A working group consisting of the wellbeing lead, Health and Safety team members and Operational Managers have collaborated to produce; a wellbeing package for the staff, regular staff health checks and trigger points for escalation of wellbeing concerns, annual check via occupational health and training for ESR managers and seniors implementing the health checks. Input has been sought from Occupational Health, Public Health England, current literature and case studies, Public Health Wales Wellbeing lead, Human Resources and Union resources.</w:t>
      </w:r>
    </w:p>
    <w:p w:rsidR="003F2A18" w:rsidRDefault="003F2A18" w:rsidP="00426480"/>
    <w:p w:rsidR="00426480" w:rsidRDefault="00426480" w:rsidP="00426480">
      <w:r>
        <w:t>A summary of government guidance re pregnancy and COVID has been distributed following queries from Operational Managers in response to staff queries and anxiety.</w:t>
      </w:r>
    </w:p>
    <w:p w:rsidR="00426480" w:rsidRPr="00AB7510" w:rsidRDefault="00426480" w:rsidP="00426480">
      <w:pPr>
        <w:pStyle w:val="Heading2"/>
        <w:keepLines w:val="0"/>
        <w:numPr>
          <w:ilvl w:val="1"/>
          <w:numId w:val="0"/>
        </w:numPr>
        <w:tabs>
          <w:tab w:val="num" w:pos="1008"/>
        </w:tabs>
        <w:spacing w:before="360"/>
        <w:ind w:left="1008" w:hanging="1008"/>
      </w:pPr>
      <w:r>
        <w:t xml:space="preserve">3.7 </w:t>
      </w:r>
      <w:r w:rsidRPr="00AB7510">
        <w:t>Provision of P</w:t>
      </w:r>
      <w:r>
        <w:t xml:space="preserve">ersonal </w:t>
      </w:r>
      <w:r w:rsidRPr="00AB7510">
        <w:t>P</w:t>
      </w:r>
      <w:r>
        <w:t xml:space="preserve">rotective </w:t>
      </w:r>
      <w:r w:rsidRPr="00AB7510">
        <w:t>E</w:t>
      </w:r>
      <w:r>
        <w:t>quipment (PPE)</w:t>
      </w:r>
      <w:r w:rsidRPr="00AB7510">
        <w:t xml:space="preserve"> and hand sanitizer</w:t>
      </w:r>
    </w:p>
    <w:p w:rsidR="00426480" w:rsidRDefault="00426480" w:rsidP="00426480">
      <w:r>
        <w:t>Estates and Health and Safety Division continue to work closely with Infection Prevention and Control (IP&amp;C) colleagues to manage the requests and advice on the provision of PPE across the organisation.</w:t>
      </w:r>
    </w:p>
    <w:p w:rsidR="003F2A18" w:rsidRDefault="003F2A18" w:rsidP="00426480"/>
    <w:p w:rsidR="00426480" w:rsidRDefault="00426480" w:rsidP="00426480">
      <w:r>
        <w:t xml:space="preserve">Current PPE requirements are low across the Trust however as Screening services have re-activated we are seeing increased demand for PPE. The Head of Estates and Health and Safety attends the bi-weekly National Executive PPE Leads Group meetings and stock levels currently remain adequate across the system. </w:t>
      </w:r>
    </w:p>
    <w:p w:rsidR="003F2A18" w:rsidRDefault="003F2A18" w:rsidP="00426480"/>
    <w:p w:rsidR="00426480" w:rsidRDefault="00426480" w:rsidP="00426480">
      <w:r>
        <w:t xml:space="preserve">Hand sanitizer stations/ wipes have been put in place across all sites and we continue to distribute hand sanitizer and wipes across the estate. Our Screening sites and laboratories already had these facilities in place. </w:t>
      </w:r>
    </w:p>
    <w:p w:rsidR="00426480" w:rsidRDefault="00426480" w:rsidP="00426480">
      <w:r>
        <w:t>As the guidance changes, this has also meant we have had to review PPE requirements. FFP3 masks are now being used for certain procedures within Screening. The Estates and Health and Safety Team, alongside colleagues in Infection Prevention &amp; Control are working collaboratively to ensure adequate arrangements are in place, including provision of FIT Testing training and stock.</w:t>
      </w:r>
    </w:p>
    <w:p w:rsidR="00426480" w:rsidRDefault="00426480" w:rsidP="00426480">
      <w:pPr>
        <w:pStyle w:val="Heading2"/>
        <w:keepLines w:val="0"/>
        <w:numPr>
          <w:ilvl w:val="1"/>
          <w:numId w:val="0"/>
        </w:numPr>
        <w:tabs>
          <w:tab w:val="num" w:pos="1008"/>
        </w:tabs>
        <w:spacing w:before="360"/>
        <w:ind w:left="1008" w:hanging="1008"/>
      </w:pPr>
      <w:r>
        <w:t xml:space="preserve">3.8 </w:t>
      </w:r>
      <w:r w:rsidRPr="3E7A91E4">
        <w:t>Covid-19 Vaccinations</w:t>
      </w:r>
    </w:p>
    <w:p w:rsidR="00426480" w:rsidRDefault="00426480" w:rsidP="00426480">
      <w:r>
        <w:t xml:space="preserve">Vaccinations for Covid-19 have been available for the first four priority groups since 08 December 2020. Working with health boards, staff have had access to the mass vaccination centres to receive their first dose of Pfizer vaccine and they will receive their second at eleven weeks. </w:t>
      </w:r>
      <w:proofErr w:type="gramStart"/>
      <w:r>
        <w:t>To  support</w:t>
      </w:r>
      <w:proofErr w:type="gramEnd"/>
      <w:r>
        <w:t xml:space="preserve"> the health boards,  Public Health Wales have established a small in house vaccination team using the Oxford AstraZeneca Vaccine, this commenced  on Monday 18 January 2021. The current priority is to vaccinate the first four priority groups, staff will receive their 2</w:t>
      </w:r>
      <w:r w:rsidRPr="00C86F07">
        <w:rPr>
          <w:vertAlign w:val="superscript"/>
        </w:rPr>
        <w:t>nd</w:t>
      </w:r>
      <w:r>
        <w:t xml:space="preserve"> dose </w:t>
      </w:r>
      <w:r>
        <w:lastRenderedPageBreak/>
        <w:t>vaccine on the eleventh week. Vaccinations are currently being provided at Capital Quarter 2 and Matrix House in Swansea. To comply with the relevant guidance and regulations a number of measures have been put in place to ensure staff can receive their vaccination safely and the process runs efficiently. This includes provision of information regarding access and moving around the site at the point of booking, safe storage of oxygen and secure storage of the COVID-19 vaccine. A risk assessment has been completed that covers our locations. Similar measures have been established for Matrix House, Swansea and sites in North Wales are currently being prepared, should they be required.</w:t>
      </w:r>
    </w:p>
    <w:p w:rsidR="00426480" w:rsidRDefault="00426480" w:rsidP="00426480">
      <w:pPr>
        <w:pStyle w:val="Heading2"/>
        <w:keepLines w:val="0"/>
        <w:numPr>
          <w:ilvl w:val="1"/>
          <w:numId w:val="0"/>
        </w:numPr>
        <w:tabs>
          <w:tab w:val="num" w:pos="1008"/>
        </w:tabs>
        <w:spacing w:before="360"/>
        <w:ind w:left="1008" w:hanging="1008"/>
      </w:pPr>
      <w:r>
        <w:t>3.9 Working with People and OD</w:t>
      </w:r>
    </w:p>
    <w:p w:rsidR="00426480" w:rsidRDefault="00426480" w:rsidP="00426480">
      <w:pPr>
        <w:spacing w:after="240"/>
        <w:rPr>
          <w:szCs w:val="24"/>
        </w:rPr>
      </w:pPr>
      <w:r>
        <w:rPr>
          <w:szCs w:val="24"/>
        </w:rPr>
        <w:t>The Estates and Health and Safety Team are working closely with colleagues in People and OD, Directorate/ Divisional managers and Communications to ensure staff are provided with the most up to date advice and guidance available. This has included:</w:t>
      </w:r>
    </w:p>
    <w:p w:rsidR="00426480" w:rsidRDefault="00426480" w:rsidP="00426480">
      <w:pPr>
        <w:pStyle w:val="ListParagraph"/>
        <w:numPr>
          <w:ilvl w:val="0"/>
          <w:numId w:val="25"/>
        </w:numPr>
        <w:jc w:val="both"/>
      </w:pPr>
      <w:r>
        <w:t xml:space="preserve">Risk assessments for vulnerable staff (succeeded by the All-Wales Individual Risk Assessments)  </w:t>
      </w:r>
    </w:p>
    <w:p w:rsidR="00426480" w:rsidRDefault="00426480" w:rsidP="00426480">
      <w:pPr>
        <w:pStyle w:val="ListParagraph"/>
        <w:numPr>
          <w:ilvl w:val="0"/>
          <w:numId w:val="25"/>
        </w:numPr>
        <w:spacing w:before="240"/>
        <w:ind w:left="714" w:hanging="357"/>
        <w:contextualSpacing w:val="0"/>
        <w:jc w:val="both"/>
      </w:pPr>
      <w:r>
        <w:t xml:space="preserve">Mental </w:t>
      </w:r>
      <w:r w:rsidR="003F2A18">
        <w:t xml:space="preserve">health </w:t>
      </w:r>
      <w:r>
        <w:t>resources including, but not limited to </w:t>
      </w:r>
      <w:proofErr w:type="spellStart"/>
      <w:r>
        <w:t>SilverCloud</w:t>
      </w:r>
      <w:proofErr w:type="spellEnd"/>
      <w:r>
        <w:t xml:space="preserve"> Wellness App,  Care First, access to Health for Healthcare Professionals and our own supplementary listening service and coaching offer for managers  </w:t>
      </w:r>
    </w:p>
    <w:p w:rsidR="00426480" w:rsidRDefault="00426480" w:rsidP="00426480">
      <w:pPr>
        <w:pStyle w:val="ListParagraph"/>
        <w:numPr>
          <w:ilvl w:val="0"/>
          <w:numId w:val="25"/>
        </w:numPr>
        <w:spacing w:before="240"/>
        <w:ind w:left="714" w:hanging="357"/>
        <w:contextualSpacing w:val="0"/>
        <w:jc w:val="both"/>
      </w:pPr>
      <w:r>
        <w:t>Our internal ‘Tell Us How You Are Doing’ wellbeing/engagement surveys, allowing colleagues to feedback on what’s working, what could be better and, importantly, their key concerns  so these can be acted upon as required.</w:t>
      </w:r>
    </w:p>
    <w:p w:rsidR="00426480" w:rsidRDefault="00426480" w:rsidP="00426480">
      <w:pPr>
        <w:pStyle w:val="ListParagraph"/>
        <w:spacing w:before="240"/>
        <w:ind w:left="714"/>
        <w:contextualSpacing w:val="0"/>
        <w:jc w:val="both"/>
      </w:pPr>
    </w:p>
    <w:p w:rsidR="00426480" w:rsidRDefault="00426480" w:rsidP="00426480">
      <w:pPr>
        <w:rPr>
          <w:rFonts w:ascii="Calibri" w:hAnsi="Calibri"/>
          <w:sz w:val="22"/>
        </w:rPr>
      </w:pPr>
      <w:r>
        <w:t>To support staff, People Support Plus has been up and running since 30 March 2020. This provides a one-stop-shop contact centre for staff queries, covering a range of topics including People and OD, Estates, Finance, Communications, Information Governance and Contact Centre Rotas.</w:t>
      </w:r>
      <w:r>
        <w:rPr>
          <w:rFonts w:ascii="Calibri" w:hAnsi="Calibri"/>
          <w:sz w:val="22"/>
        </w:rPr>
        <w:t xml:space="preserve"> </w:t>
      </w:r>
      <w:r>
        <w:rPr>
          <w:szCs w:val="24"/>
        </w:rPr>
        <w:t>If staff have any queries regarding social distancing guidance or PPE, they can contact the People Support Plus desk or Estates and Health and Safety Team.</w:t>
      </w:r>
    </w:p>
    <w:p w:rsidR="00426480" w:rsidRDefault="00426480" w:rsidP="00426480">
      <w:pPr>
        <w:pStyle w:val="Heading2"/>
        <w:keepLines w:val="0"/>
        <w:numPr>
          <w:ilvl w:val="1"/>
          <w:numId w:val="0"/>
        </w:numPr>
        <w:tabs>
          <w:tab w:val="num" w:pos="1008"/>
        </w:tabs>
        <w:spacing w:before="360"/>
        <w:ind w:left="1008" w:hanging="1008"/>
      </w:pPr>
      <w:r>
        <w:t>3.10 Engagement with staff</w:t>
      </w:r>
    </w:p>
    <w:p w:rsidR="00426480" w:rsidRDefault="00426480" w:rsidP="00426480">
      <w:r>
        <w:t>The Estates and Health and Safety Team continue to work closely with managers and staff to ensure that they are aware of the measures that are in place across the estate and to minimise the risk to themselves and others. Staff are encouraged to raise individual concerns either through their line managers, health and safety leads or directly with the Estates and Health and Safety team if they have any concerns regarding workplace safety.</w:t>
      </w:r>
    </w:p>
    <w:p w:rsidR="003F2A18" w:rsidRDefault="003F2A18" w:rsidP="00426480"/>
    <w:p w:rsidR="00426480" w:rsidRDefault="00426480" w:rsidP="00426480">
      <w:r>
        <w:lastRenderedPageBreak/>
        <w:t>Through the Well-being and Engagement Partnership Group we are able to update staff on specific actions that are being undertaken. This includes representatives from all Directorates and Divisions and also staff-side colleagues. Working closely with the Communications team, we have regular messages communicated to staff through the agreed communication channels. Recently posters have been developed to remind staff of the measures they are required to follow.</w:t>
      </w:r>
    </w:p>
    <w:p w:rsidR="00426480" w:rsidRPr="001C60B5" w:rsidRDefault="00426480" w:rsidP="002B712E">
      <w:pPr>
        <w:pStyle w:val="ListParagraph"/>
        <w:ind w:left="1080"/>
        <w:jc w:val="both"/>
        <w:rPr>
          <w:color w:val="FF0000"/>
          <w:szCs w:val="24"/>
        </w:rPr>
      </w:pPr>
    </w:p>
    <w:p w:rsidR="0046169C" w:rsidRPr="001C60B5" w:rsidRDefault="0046169C" w:rsidP="0046169C">
      <w:pPr>
        <w:rPr>
          <w:bCs/>
          <w:color w:val="FF0000"/>
          <w:szCs w:val="24"/>
        </w:rPr>
      </w:pPr>
    </w:p>
    <w:p w:rsidR="00E07F66" w:rsidRPr="00B54042" w:rsidRDefault="00E07F66" w:rsidP="00B54042">
      <w:pPr>
        <w:pStyle w:val="ListParagraph"/>
        <w:numPr>
          <w:ilvl w:val="0"/>
          <w:numId w:val="2"/>
        </w:numPr>
        <w:rPr>
          <w:b/>
          <w:szCs w:val="24"/>
        </w:rPr>
      </w:pPr>
      <w:bookmarkStart w:id="5" w:name="_GoBack"/>
      <w:bookmarkEnd w:id="5"/>
      <w:r w:rsidRPr="00B54042">
        <w:rPr>
          <w:b/>
          <w:szCs w:val="24"/>
        </w:rPr>
        <w:t>Recommendation</w:t>
      </w:r>
    </w:p>
    <w:p w:rsidR="00E07F66" w:rsidRPr="001C60B5" w:rsidRDefault="00E07F66" w:rsidP="00E07F66">
      <w:pPr>
        <w:rPr>
          <w:szCs w:val="24"/>
        </w:rPr>
      </w:pPr>
    </w:p>
    <w:p w:rsidR="00B54042" w:rsidRPr="009E343C" w:rsidRDefault="00B54042" w:rsidP="00B54042">
      <w:pPr>
        <w:rPr>
          <w:szCs w:val="24"/>
        </w:rPr>
      </w:pPr>
      <w:r w:rsidRPr="009E343C">
        <w:rPr>
          <w:szCs w:val="24"/>
        </w:rPr>
        <w:t xml:space="preserve">The Board is asked to: </w:t>
      </w:r>
    </w:p>
    <w:p w:rsidR="00B54042" w:rsidRPr="009E343C" w:rsidRDefault="00B54042" w:rsidP="00B54042">
      <w:pPr>
        <w:pStyle w:val="ListParagraph"/>
        <w:numPr>
          <w:ilvl w:val="0"/>
          <w:numId w:val="17"/>
        </w:numPr>
        <w:ind w:left="851" w:hanging="567"/>
        <w:rPr>
          <w:szCs w:val="24"/>
        </w:rPr>
      </w:pPr>
      <w:r w:rsidRPr="009E343C">
        <w:rPr>
          <w:b/>
          <w:szCs w:val="24"/>
        </w:rPr>
        <w:t xml:space="preserve">Note </w:t>
      </w:r>
      <w:r w:rsidRPr="009E343C">
        <w:rPr>
          <w:szCs w:val="24"/>
        </w:rPr>
        <w:t>the update</w:t>
      </w:r>
      <w:r w:rsidRPr="009E343C">
        <w:rPr>
          <w:b/>
          <w:szCs w:val="24"/>
        </w:rPr>
        <w:t xml:space="preserve"> </w:t>
      </w:r>
      <w:r w:rsidRPr="009E343C">
        <w:rPr>
          <w:szCs w:val="24"/>
        </w:rPr>
        <w:t>provided and take</w:t>
      </w:r>
      <w:r>
        <w:rPr>
          <w:b/>
          <w:szCs w:val="24"/>
        </w:rPr>
        <w:t xml:space="preserve"> assurance </w:t>
      </w:r>
      <w:r w:rsidRPr="009E343C">
        <w:t>on the measures undertaken to date to ensure the safety of our staff working both within our Estates and remotely.</w:t>
      </w:r>
    </w:p>
    <w:p w:rsidR="00506C55" w:rsidRPr="001C60B5" w:rsidRDefault="00506C55" w:rsidP="00680CAE">
      <w:pPr>
        <w:rPr>
          <w:color w:val="FF0000"/>
          <w:szCs w:val="24"/>
        </w:rPr>
      </w:pPr>
    </w:p>
    <w:sectPr w:rsidR="00506C55" w:rsidRPr="001C60B5"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F60" w:rsidRDefault="00ED7F60" w:rsidP="00497F39">
      <w:r>
        <w:separator/>
      </w:r>
    </w:p>
  </w:endnote>
  <w:endnote w:type="continuationSeparator" w:id="0">
    <w:p w:rsidR="00ED7F60" w:rsidRDefault="00ED7F60"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010"/>
      <w:gridCol w:w="2997"/>
    </w:tblGrid>
    <w:tr w:rsidR="007623DA" w:rsidRPr="00511AFF" w:rsidTr="003B7361">
      <w:tc>
        <w:tcPr>
          <w:tcW w:w="3100" w:type="dxa"/>
        </w:tcPr>
        <w:p w:rsidR="007623DA" w:rsidRPr="009E343C" w:rsidRDefault="007623DA" w:rsidP="009E343C">
          <w:pPr>
            <w:pStyle w:val="Footer"/>
            <w:tabs>
              <w:tab w:val="right" w:pos="9090"/>
            </w:tabs>
            <w:jc w:val="center"/>
            <w:rPr>
              <w:b/>
              <w:sz w:val="20"/>
            </w:rPr>
          </w:pPr>
          <w:r w:rsidRPr="009E343C">
            <w:rPr>
              <w:b/>
              <w:sz w:val="20"/>
            </w:rPr>
            <w:t xml:space="preserve">Date: </w:t>
          </w:r>
          <w:r w:rsidRPr="009E343C">
            <w:rPr>
              <w:sz w:val="20"/>
            </w:rPr>
            <w:t xml:space="preserve"> </w:t>
          </w:r>
          <w:r w:rsidR="009E343C" w:rsidRPr="009E343C">
            <w:rPr>
              <w:sz w:val="20"/>
            </w:rPr>
            <w:t>16 February 2021</w:t>
          </w:r>
        </w:p>
      </w:tc>
      <w:tc>
        <w:tcPr>
          <w:tcW w:w="3100" w:type="dxa"/>
        </w:tcPr>
        <w:p w:rsidR="007623DA" w:rsidRPr="009E343C" w:rsidRDefault="007623DA" w:rsidP="009E343C">
          <w:pPr>
            <w:pStyle w:val="Footer"/>
            <w:tabs>
              <w:tab w:val="center" w:pos="1433"/>
              <w:tab w:val="right" w:pos="2866"/>
              <w:tab w:val="right" w:pos="9090"/>
            </w:tabs>
            <w:jc w:val="center"/>
            <w:rPr>
              <w:b/>
              <w:sz w:val="20"/>
            </w:rPr>
          </w:pPr>
          <w:r w:rsidRPr="009E343C">
            <w:rPr>
              <w:b/>
              <w:sz w:val="20"/>
            </w:rPr>
            <w:t>Version:</w:t>
          </w:r>
          <w:r w:rsidRPr="009E343C">
            <w:rPr>
              <w:sz w:val="20"/>
            </w:rPr>
            <w:t xml:space="preserve"> </w:t>
          </w:r>
          <w:r w:rsidR="009E343C" w:rsidRPr="009E343C">
            <w:rPr>
              <w:sz w:val="20"/>
            </w:rPr>
            <w:t>1</w:t>
          </w:r>
        </w:p>
      </w:tc>
      <w:tc>
        <w:tcPr>
          <w:tcW w:w="3101" w:type="dxa"/>
        </w:tcPr>
        <w:p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B54042">
            <w:rPr>
              <w:rStyle w:val="PageNumber"/>
              <w:noProof/>
              <w:sz w:val="20"/>
            </w:rPr>
            <w:t>12</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B54042">
            <w:rPr>
              <w:rStyle w:val="PageNumber"/>
              <w:noProof/>
              <w:sz w:val="20"/>
            </w:rPr>
            <w:t>12</w:t>
          </w:r>
          <w:r w:rsidRPr="00511AFF">
            <w:rPr>
              <w:rStyle w:val="PageNumber"/>
              <w:sz w:val="20"/>
            </w:rPr>
            <w:fldChar w:fldCharType="end"/>
          </w:r>
        </w:p>
      </w:tc>
    </w:tr>
  </w:tbl>
  <w:p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F60" w:rsidRDefault="00ED7F60" w:rsidP="00497F39">
      <w:r>
        <w:separator/>
      </w:r>
    </w:p>
  </w:footnote>
  <w:footnote w:type="continuationSeparator" w:id="0">
    <w:p w:rsidR="00ED7F60" w:rsidRDefault="00ED7F60"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64659"/>
    <w:multiLevelType w:val="hybridMultilevel"/>
    <w:tmpl w:val="217E2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865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139CD"/>
    <w:multiLevelType w:val="hybridMultilevel"/>
    <w:tmpl w:val="5BDC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1" w15:restartNumberingAfterBreak="0">
    <w:nsid w:val="727A0653"/>
    <w:multiLevelType w:val="hybridMultilevel"/>
    <w:tmpl w:val="AC8E3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2B0266F"/>
    <w:multiLevelType w:val="hybridMultilevel"/>
    <w:tmpl w:val="43046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82F7134"/>
    <w:multiLevelType w:val="hybridMultilevel"/>
    <w:tmpl w:val="3000B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24"/>
  </w:num>
  <w:num w:numId="4">
    <w:abstractNumId w:val="13"/>
  </w:num>
  <w:num w:numId="5">
    <w:abstractNumId w:val="0"/>
  </w:num>
  <w:num w:numId="6">
    <w:abstractNumId w:val="6"/>
  </w:num>
  <w:num w:numId="7">
    <w:abstractNumId w:val="5"/>
  </w:num>
  <w:num w:numId="8">
    <w:abstractNumId w:val="12"/>
  </w:num>
  <w:num w:numId="9">
    <w:abstractNumId w:val="15"/>
  </w:num>
  <w:num w:numId="10">
    <w:abstractNumId w:val="4"/>
  </w:num>
  <w:num w:numId="11">
    <w:abstractNumId w:val="16"/>
  </w:num>
  <w:num w:numId="12">
    <w:abstractNumId w:val="3"/>
  </w:num>
  <w:num w:numId="13">
    <w:abstractNumId w:val="9"/>
  </w:num>
  <w:num w:numId="14">
    <w:abstractNumId w:val="11"/>
  </w:num>
  <w:num w:numId="15">
    <w:abstractNumId w:val="2"/>
  </w:num>
  <w:num w:numId="16">
    <w:abstractNumId w:val="20"/>
  </w:num>
  <w:num w:numId="17">
    <w:abstractNumId w:val="14"/>
  </w:num>
  <w:num w:numId="18">
    <w:abstractNumId w:val="18"/>
  </w:num>
  <w:num w:numId="19">
    <w:abstractNumId w:val="17"/>
  </w:num>
  <w:num w:numId="20">
    <w:abstractNumId w:val="1"/>
  </w:num>
  <w:num w:numId="21">
    <w:abstractNumId w:val="22"/>
  </w:num>
  <w:num w:numId="22">
    <w:abstractNumId w:val="19"/>
  </w:num>
  <w:num w:numId="23">
    <w:abstractNumId w:val="23"/>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51CDC"/>
    <w:rsid w:val="00051E74"/>
    <w:rsid w:val="0005502D"/>
    <w:rsid w:val="00057CFB"/>
    <w:rsid w:val="00097ACD"/>
    <w:rsid w:val="000B306B"/>
    <w:rsid w:val="000C06C9"/>
    <w:rsid w:val="000F46F4"/>
    <w:rsid w:val="000F5A72"/>
    <w:rsid w:val="001107EE"/>
    <w:rsid w:val="00121679"/>
    <w:rsid w:val="00123FD2"/>
    <w:rsid w:val="00126327"/>
    <w:rsid w:val="001272F6"/>
    <w:rsid w:val="0013075E"/>
    <w:rsid w:val="00133373"/>
    <w:rsid w:val="00141FC5"/>
    <w:rsid w:val="001B2A97"/>
    <w:rsid w:val="001B3428"/>
    <w:rsid w:val="001C02C6"/>
    <w:rsid w:val="001C305C"/>
    <w:rsid w:val="001C60B5"/>
    <w:rsid w:val="001E5B78"/>
    <w:rsid w:val="00202AB8"/>
    <w:rsid w:val="00211B9D"/>
    <w:rsid w:val="00214BA4"/>
    <w:rsid w:val="0022713F"/>
    <w:rsid w:val="00250088"/>
    <w:rsid w:val="00257CD2"/>
    <w:rsid w:val="00273D26"/>
    <w:rsid w:val="002B0BC9"/>
    <w:rsid w:val="002B712E"/>
    <w:rsid w:val="002C0A83"/>
    <w:rsid w:val="002C170B"/>
    <w:rsid w:val="002D11B1"/>
    <w:rsid w:val="002E6258"/>
    <w:rsid w:val="003018F5"/>
    <w:rsid w:val="00304FD0"/>
    <w:rsid w:val="00305721"/>
    <w:rsid w:val="00322D2E"/>
    <w:rsid w:val="00326EC6"/>
    <w:rsid w:val="00337864"/>
    <w:rsid w:val="00345CAF"/>
    <w:rsid w:val="003461AF"/>
    <w:rsid w:val="00371966"/>
    <w:rsid w:val="003A3414"/>
    <w:rsid w:val="003B40BB"/>
    <w:rsid w:val="003B7361"/>
    <w:rsid w:val="003B7B09"/>
    <w:rsid w:val="003C6952"/>
    <w:rsid w:val="003F2A18"/>
    <w:rsid w:val="003F3D59"/>
    <w:rsid w:val="003F3E7F"/>
    <w:rsid w:val="0040037A"/>
    <w:rsid w:val="00407604"/>
    <w:rsid w:val="00426480"/>
    <w:rsid w:val="00427779"/>
    <w:rsid w:val="004375CA"/>
    <w:rsid w:val="0046169C"/>
    <w:rsid w:val="00480353"/>
    <w:rsid w:val="004939C2"/>
    <w:rsid w:val="00497F39"/>
    <w:rsid w:val="004A4626"/>
    <w:rsid w:val="004A6253"/>
    <w:rsid w:val="004B31A5"/>
    <w:rsid w:val="004D632B"/>
    <w:rsid w:val="004F24A1"/>
    <w:rsid w:val="00504A87"/>
    <w:rsid w:val="00506C55"/>
    <w:rsid w:val="0052328C"/>
    <w:rsid w:val="00536FA4"/>
    <w:rsid w:val="00544C9E"/>
    <w:rsid w:val="00554429"/>
    <w:rsid w:val="0055720E"/>
    <w:rsid w:val="00564789"/>
    <w:rsid w:val="005767ED"/>
    <w:rsid w:val="00577744"/>
    <w:rsid w:val="00590736"/>
    <w:rsid w:val="005B4E75"/>
    <w:rsid w:val="005C7D40"/>
    <w:rsid w:val="005D5FC4"/>
    <w:rsid w:val="005E33CB"/>
    <w:rsid w:val="00607476"/>
    <w:rsid w:val="00611958"/>
    <w:rsid w:val="006310BB"/>
    <w:rsid w:val="00657B25"/>
    <w:rsid w:val="00660772"/>
    <w:rsid w:val="00672175"/>
    <w:rsid w:val="00680248"/>
    <w:rsid w:val="00680CAE"/>
    <w:rsid w:val="0068275A"/>
    <w:rsid w:val="0068334E"/>
    <w:rsid w:val="006C4A51"/>
    <w:rsid w:val="006D0542"/>
    <w:rsid w:val="006F654D"/>
    <w:rsid w:val="00737008"/>
    <w:rsid w:val="00754449"/>
    <w:rsid w:val="00756049"/>
    <w:rsid w:val="007623DA"/>
    <w:rsid w:val="007774C7"/>
    <w:rsid w:val="007A47F5"/>
    <w:rsid w:val="007D01C9"/>
    <w:rsid w:val="007D03B8"/>
    <w:rsid w:val="007D04C7"/>
    <w:rsid w:val="007D79E4"/>
    <w:rsid w:val="007E45DA"/>
    <w:rsid w:val="007F7EA7"/>
    <w:rsid w:val="008036D5"/>
    <w:rsid w:val="00805FAF"/>
    <w:rsid w:val="00824D05"/>
    <w:rsid w:val="008524C0"/>
    <w:rsid w:val="00857182"/>
    <w:rsid w:val="008653E0"/>
    <w:rsid w:val="00872DD5"/>
    <w:rsid w:val="0087331D"/>
    <w:rsid w:val="00880111"/>
    <w:rsid w:val="008902AA"/>
    <w:rsid w:val="00890A9D"/>
    <w:rsid w:val="00893619"/>
    <w:rsid w:val="008A2D5F"/>
    <w:rsid w:val="008C12E0"/>
    <w:rsid w:val="008C745A"/>
    <w:rsid w:val="008D0162"/>
    <w:rsid w:val="008D4CCD"/>
    <w:rsid w:val="008F1F7E"/>
    <w:rsid w:val="00911572"/>
    <w:rsid w:val="00912C7B"/>
    <w:rsid w:val="00916053"/>
    <w:rsid w:val="00921F72"/>
    <w:rsid w:val="009233B4"/>
    <w:rsid w:val="00923A14"/>
    <w:rsid w:val="009328E2"/>
    <w:rsid w:val="00961E2C"/>
    <w:rsid w:val="00980587"/>
    <w:rsid w:val="00980F99"/>
    <w:rsid w:val="0098365C"/>
    <w:rsid w:val="009878C1"/>
    <w:rsid w:val="00987E54"/>
    <w:rsid w:val="009B2519"/>
    <w:rsid w:val="009C0B0C"/>
    <w:rsid w:val="009E343C"/>
    <w:rsid w:val="009F7F6B"/>
    <w:rsid w:val="00A06B87"/>
    <w:rsid w:val="00A250EA"/>
    <w:rsid w:val="00A25B36"/>
    <w:rsid w:val="00A279F5"/>
    <w:rsid w:val="00A34009"/>
    <w:rsid w:val="00A435F1"/>
    <w:rsid w:val="00A56D26"/>
    <w:rsid w:val="00A60C7E"/>
    <w:rsid w:val="00A60D6C"/>
    <w:rsid w:val="00AB112A"/>
    <w:rsid w:val="00AC45EB"/>
    <w:rsid w:val="00AC5841"/>
    <w:rsid w:val="00AD7227"/>
    <w:rsid w:val="00AE3D01"/>
    <w:rsid w:val="00AF3146"/>
    <w:rsid w:val="00B00419"/>
    <w:rsid w:val="00B47936"/>
    <w:rsid w:val="00B509E3"/>
    <w:rsid w:val="00B52B29"/>
    <w:rsid w:val="00B54042"/>
    <w:rsid w:val="00B80218"/>
    <w:rsid w:val="00B936DE"/>
    <w:rsid w:val="00B94BB0"/>
    <w:rsid w:val="00BA3E2A"/>
    <w:rsid w:val="00BC39AE"/>
    <w:rsid w:val="00BC5B9C"/>
    <w:rsid w:val="00BF3E39"/>
    <w:rsid w:val="00C05D9F"/>
    <w:rsid w:val="00C1444B"/>
    <w:rsid w:val="00C17DDB"/>
    <w:rsid w:val="00C84EE5"/>
    <w:rsid w:val="00C87F23"/>
    <w:rsid w:val="00C9163D"/>
    <w:rsid w:val="00CA4D3A"/>
    <w:rsid w:val="00CA4DA9"/>
    <w:rsid w:val="00CA5841"/>
    <w:rsid w:val="00CA7E0D"/>
    <w:rsid w:val="00CB0E6B"/>
    <w:rsid w:val="00CC764D"/>
    <w:rsid w:val="00CE6807"/>
    <w:rsid w:val="00CE6EB8"/>
    <w:rsid w:val="00CF7674"/>
    <w:rsid w:val="00D25D84"/>
    <w:rsid w:val="00D26E48"/>
    <w:rsid w:val="00D34F08"/>
    <w:rsid w:val="00D41503"/>
    <w:rsid w:val="00D45A01"/>
    <w:rsid w:val="00D55785"/>
    <w:rsid w:val="00D60F40"/>
    <w:rsid w:val="00D64BA8"/>
    <w:rsid w:val="00D713DC"/>
    <w:rsid w:val="00D74461"/>
    <w:rsid w:val="00D87080"/>
    <w:rsid w:val="00DA2383"/>
    <w:rsid w:val="00DC594E"/>
    <w:rsid w:val="00DE2218"/>
    <w:rsid w:val="00DE7DF5"/>
    <w:rsid w:val="00E01426"/>
    <w:rsid w:val="00E02A10"/>
    <w:rsid w:val="00E07F66"/>
    <w:rsid w:val="00E11F44"/>
    <w:rsid w:val="00E24001"/>
    <w:rsid w:val="00E263D4"/>
    <w:rsid w:val="00E333F3"/>
    <w:rsid w:val="00E343B1"/>
    <w:rsid w:val="00E371EA"/>
    <w:rsid w:val="00E37B54"/>
    <w:rsid w:val="00E56DBB"/>
    <w:rsid w:val="00E805CD"/>
    <w:rsid w:val="00EA23FA"/>
    <w:rsid w:val="00EA4379"/>
    <w:rsid w:val="00EA452A"/>
    <w:rsid w:val="00EB0841"/>
    <w:rsid w:val="00EC6188"/>
    <w:rsid w:val="00ED7F60"/>
    <w:rsid w:val="00EE1810"/>
    <w:rsid w:val="00EE7097"/>
    <w:rsid w:val="00EF229F"/>
    <w:rsid w:val="00F2582A"/>
    <w:rsid w:val="00F31C10"/>
    <w:rsid w:val="00F47896"/>
    <w:rsid w:val="00F479A1"/>
    <w:rsid w:val="00F95B15"/>
    <w:rsid w:val="00FA62CB"/>
    <w:rsid w:val="00FA7943"/>
    <w:rsid w:val="00FB67EB"/>
    <w:rsid w:val="00FC2859"/>
    <w:rsid w:val="00FC7FAE"/>
    <w:rsid w:val="00FD1D43"/>
    <w:rsid w:val="00FF1936"/>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ED956D"/>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link w:val="ListParagraphChar"/>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character" w:customStyle="1" w:styleId="ListParagraphChar">
    <w:name w:val="List Paragraph Char"/>
    <w:basedOn w:val="DefaultParagraphFont"/>
    <w:link w:val="ListParagraph"/>
    <w:uiPriority w:val="34"/>
    <w:locked/>
    <w:rsid w:val="00426480"/>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wis.wales.nhs.uk/sitesplus/888/page/6454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E19A39A2DC34427782303866B501EF52"/>
        <w:category>
          <w:name w:val="General"/>
          <w:gallery w:val="placeholder"/>
        </w:category>
        <w:types>
          <w:type w:val="bbPlcHdr"/>
        </w:types>
        <w:behaviors>
          <w:behavior w:val="content"/>
        </w:behaviors>
        <w:guid w:val="{F7EC3352-105C-477C-838D-AD061A4E5EC1}"/>
      </w:docPartPr>
      <w:docPartBody>
        <w:p w:rsidR="00CF449E" w:rsidRDefault="004838BF" w:rsidP="004838BF">
          <w:pPr>
            <w:pStyle w:val="E19A39A2DC34427782303866B501EF52"/>
          </w:pPr>
          <w:r w:rsidRPr="0013075E">
            <w:rPr>
              <w:rStyle w:val="PlaceholderText"/>
              <w:szCs w:val="24"/>
            </w:rPr>
            <w:t>Choose an item.</w:t>
          </w:r>
        </w:p>
      </w:docPartBody>
    </w:docPart>
    <w:docPart>
      <w:docPartPr>
        <w:name w:val="4037A60F381647269327C3491F818BF7"/>
        <w:category>
          <w:name w:val="General"/>
          <w:gallery w:val="placeholder"/>
        </w:category>
        <w:types>
          <w:type w:val="bbPlcHdr"/>
        </w:types>
        <w:behaviors>
          <w:behavior w:val="content"/>
        </w:behaviors>
        <w:guid w:val="{DEAF250B-3D28-4BAE-AC23-C8CCE9FB5415}"/>
      </w:docPartPr>
      <w:docPartBody>
        <w:p w:rsidR="00CF449E" w:rsidRDefault="004838BF" w:rsidP="004838BF">
          <w:pPr>
            <w:pStyle w:val="4037A60F381647269327C3491F818BF7"/>
          </w:pPr>
          <w:r w:rsidRPr="0013075E">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42F3C"/>
    <w:rsid w:val="0031449F"/>
    <w:rsid w:val="003D3909"/>
    <w:rsid w:val="0045397F"/>
    <w:rsid w:val="004838BF"/>
    <w:rsid w:val="005A164A"/>
    <w:rsid w:val="00760EAF"/>
    <w:rsid w:val="00884126"/>
    <w:rsid w:val="00894350"/>
    <w:rsid w:val="00895D61"/>
    <w:rsid w:val="00942F3C"/>
    <w:rsid w:val="0098440F"/>
    <w:rsid w:val="00A12BED"/>
    <w:rsid w:val="00AA293F"/>
    <w:rsid w:val="00B518DF"/>
    <w:rsid w:val="00B661DB"/>
    <w:rsid w:val="00CF449E"/>
    <w:rsid w:val="00E861E6"/>
    <w:rsid w:val="00F66F0C"/>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8B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5725F11CA3AB4BF7861CEAA56AA1D24C">
    <w:name w:val="5725F11CA3AB4BF7861CEAA56AA1D24C"/>
    <w:rsid w:val="0045397F"/>
    <w:pPr>
      <w:spacing w:after="160" w:line="259" w:lineRule="auto"/>
    </w:pPr>
  </w:style>
  <w:style w:type="paragraph" w:customStyle="1" w:styleId="7F00E96D11CF4307AC6771E4BB14B953">
    <w:name w:val="7F00E96D11CF4307AC6771E4BB14B953"/>
    <w:rsid w:val="0045397F"/>
    <w:pPr>
      <w:spacing w:after="160" w:line="259" w:lineRule="auto"/>
    </w:pPr>
  </w:style>
  <w:style w:type="paragraph" w:customStyle="1" w:styleId="5A753FB1D9E14086A408EB643958D1AA">
    <w:name w:val="5A753FB1D9E14086A408EB643958D1AA"/>
    <w:rsid w:val="004838BF"/>
    <w:pPr>
      <w:spacing w:after="160" w:line="259" w:lineRule="auto"/>
    </w:pPr>
  </w:style>
  <w:style w:type="paragraph" w:customStyle="1" w:styleId="F93CAFC8B8E34EB6A8C84A0546774BB5">
    <w:name w:val="F93CAFC8B8E34EB6A8C84A0546774BB5"/>
    <w:rsid w:val="004838BF"/>
    <w:pPr>
      <w:spacing w:after="160" w:line="259" w:lineRule="auto"/>
    </w:pPr>
  </w:style>
  <w:style w:type="paragraph" w:customStyle="1" w:styleId="E19A39A2DC34427782303866B501EF52">
    <w:name w:val="E19A39A2DC34427782303866B501EF52"/>
    <w:rsid w:val="004838BF"/>
    <w:pPr>
      <w:spacing w:after="160" w:line="259" w:lineRule="auto"/>
    </w:pPr>
  </w:style>
  <w:style w:type="paragraph" w:customStyle="1" w:styleId="4037A60F381647269327C3491F818BF7">
    <w:name w:val="4037A60F381647269327C3491F818BF7"/>
    <w:rsid w:val="004838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936CDCDE8F8418920914B3BFFF19C" ma:contentTypeVersion="12" ma:contentTypeDescription="Create a new document." ma:contentTypeScope="" ma:versionID="7763b160b87bd733fb0887bc5cf6660c">
  <xsd:schema xmlns:xsd="http://www.w3.org/2001/XMLSchema" xmlns:xs="http://www.w3.org/2001/XMLSchema" xmlns:p="http://schemas.microsoft.com/office/2006/metadata/properties" xmlns:ns3="f30bebb2-c01f-48d0-81da-dc8b123879c2" xmlns:ns4="b7e247b7-cca8-429f-8688-16f83c8fba5f" targetNamespace="http://schemas.microsoft.com/office/2006/metadata/properties" ma:root="true" ma:fieldsID="99c61f5222f8d6314cbbd835e64b8ba0" ns3:_="" ns4:_="">
    <xsd:import namespace="f30bebb2-c01f-48d0-81da-dc8b123879c2"/>
    <xsd:import namespace="b7e247b7-cca8-429f-8688-16f83c8fba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bebb2-c01f-48d0-81da-dc8b1238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e247b7-cca8-429f-8688-16f83c8fba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E4FD6-408B-48BD-A088-9C453C496D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3833E2-D76D-45F5-AF5F-E12B4E90B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bebb2-c01f-48d0-81da-dc8b123879c2"/>
    <ds:schemaRef ds:uri="b7e247b7-cca8-429f-8688-16f83c8f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5BFB1-DBC1-4C9C-BF71-FDBD58C908F8}">
  <ds:schemaRefs>
    <ds:schemaRef ds:uri="http://schemas.microsoft.com/sharepoint/v3/contenttype/forms"/>
  </ds:schemaRefs>
</ds:datastoreItem>
</file>

<file path=customXml/itemProps4.xml><?xml version="1.0" encoding="utf-8"?>
<ds:datastoreItem xmlns:ds="http://schemas.openxmlformats.org/officeDocument/2006/customXml" ds:itemID="{218B87A4-C844-4FDC-959B-85CED6EC0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3631</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Board and Committe template 2019</vt:lpstr>
    </vt:vector>
  </TitlesOfParts>
  <Company>Public Health Wales</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and Committe template 2019</dc:title>
  <dc:creator>Cathie Steele</dc:creator>
  <cp:keywords>board committee</cp:keywords>
  <cp:lastModifiedBy>Helen Bushell (Public Health Wales - No. 2 Capital Quarter)</cp:lastModifiedBy>
  <cp:revision>5</cp:revision>
  <cp:lastPrinted>2017-10-16T08:46:00Z</cp:lastPrinted>
  <dcterms:created xsi:type="dcterms:W3CDTF">2021-02-18T16:09:00Z</dcterms:created>
  <dcterms:modified xsi:type="dcterms:W3CDTF">2021-02-18T16:27:00Z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0x01010072F936CDCDE8F8418920914B3BFFF19C</vt:lpwstr>
  </property>
  <property fmtid="{D5CDD505-2E9C-101B-9397-08002B2CF9AE}" pid="3" name="_dlc_DocIdItemGuid">
    <vt:lpwstr>a1c43624-a7f3-40e9-a413-8921fd834b29</vt:lpwstr>
  </property>
  <property fmtid="{D5CDD505-2E9C-101B-9397-08002B2CF9AE}" pid="4" name="TaxKeyword">
    <vt:lpwstr>12;#board committee|4c59d375-e8fe-4895-99f7-de1ea7bd2bf6</vt:lpwstr>
  </property>
</Properties>
</file>