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F87" w:rsidRDefault="00CB1F87" w:rsidP="00CB1F87">
      <w:pPr>
        <w:autoSpaceDE w:val="0"/>
        <w:autoSpaceDN w:val="0"/>
        <w:rPr>
          <w:sz w:val="24"/>
          <w:szCs w:val="24"/>
          <w:lang w:eastAsia="en-GB"/>
        </w:rPr>
      </w:pPr>
    </w:p>
    <w:p w:rsidR="00CB1F87" w:rsidRPr="00CB1F87" w:rsidRDefault="00CB1F87" w:rsidP="00CB1F87">
      <w:pPr>
        <w:autoSpaceDE w:val="0"/>
        <w:autoSpaceDN w:val="0"/>
        <w:rPr>
          <w:rFonts w:ascii="Verdana" w:hAnsi="Verdana"/>
          <w:b/>
        </w:rPr>
      </w:pPr>
      <w:r w:rsidRPr="00CB1F87">
        <w:rPr>
          <w:rFonts w:ascii="Verdana" w:hAnsi="Verdana"/>
          <w:b/>
        </w:rPr>
        <w:t xml:space="preserve">National Assembly for Wales Accountability and Audit Report </w:t>
      </w:r>
    </w:p>
    <w:p w:rsidR="00CB1F87" w:rsidRPr="00CB1F87" w:rsidRDefault="00CB1F87" w:rsidP="00CB1F87">
      <w:pPr>
        <w:autoSpaceDE w:val="0"/>
        <w:autoSpaceDN w:val="0"/>
        <w:rPr>
          <w:rFonts w:ascii="Verdana" w:hAnsi="Verdana"/>
        </w:rPr>
      </w:pPr>
    </w:p>
    <w:p w:rsidR="00CB1F87" w:rsidRPr="00CB1F87" w:rsidRDefault="00CB1F87" w:rsidP="00CB1F87">
      <w:pPr>
        <w:autoSpaceDE w:val="0"/>
        <w:autoSpaceDN w:val="0"/>
        <w:jc w:val="both"/>
        <w:rPr>
          <w:rFonts w:ascii="Verdana" w:hAnsi="Verdana"/>
          <w:sz w:val="24"/>
          <w:szCs w:val="24"/>
          <w:lang w:eastAsia="en-GB"/>
        </w:rPr>
      </w:pPr>
      <w:r w:rsidRPr="00CB1F87">
        <w:rPr>
          <w:rFonts w:ascii="Verdana" w:hAnsi="Verdana"/>
          <w:sz w:val="24"/>
          <w:szCs w:val="24"/>
          <w:lang w:eastAsia="en-GB"/>
        </w:rPr>
        <w:t>Expenditure is compliant with the relevant legislation. Charges for services provided by public sector organisations pass on the full cost of providing those services. We ensure public funds are used appropriately and to deliver the intended objectives.</w:t>
      </w:r>
    </w:p>
    <w:p w:rsidR="00CB1F87" w:rsidRPr="00CB1F87" w:rsidRDefault="00CB1F87" w:rsidP="00CB1F87">
      <w:pPr>
        <w:autoSpaceDE w:val="0"/>
        <w:autoSpaceDN w:val="0"/>
        <w:jc w:val="both"/>
        <w:rPr>
          <w:rFonts w:ascii="Verdana" w:hAnsi="Verdana"/>
          <w:sz w:val="24"/>
          <w:szCs w:val="24"/>
          <w:lang w:eastAsia="en-GB"/>
        </w:rPr>
      </w:pPr>
    </w:p>
    <w:p w:rsidR="00CB1F87" w:rsidRPr="00CB1F87" w:rsidRDefault="00CB1F87" w:rsidP="00CB1F87">
      <w:pPr>
        <w:autoSpaceDE w:val="0"/>
        <w:autoSpaceDN w:val="0"/>
        <w:jc w:val="both"/>
        <w:rPr>
          <w:rFonts w:ascii="Verdana" w:hAnsi="Verdana"/>
          <w:sz w:val="24"/>
          <w:szCs w:val="24"/>
          <w:lang w:eastAsia="en-GB"/>
        </w:rPr>
      </w:pPr>
      <w:r w:rsidRPr="00CB1F87">
        <w:rPr>
          <w:rFonts w:ascii="Verdana" w:hAnsi="Verdana"/>
          <w:sz w:val="24"/>
          <w:szCs w:val="24"/>
          <w:lang w:eastAsia="en-GB"/>
        </w:rPr>
        <w:t>Where we undertake activities that are not funded directly by the Welsh Government we re</w:t>
      </w:r>
      <w:bookmarkStart w:id="0" w:name="_GoBack"/>
      <w:bookmarkEnd w:id="0"/>
      <w:r w:rsidRPr="00CB1F87">
        <w:rPr>
          <w:rFonts w:ascii="Verdana" w:hAnsi="Verdana"/>
          <w:sz w:val="24"/>
          <w:szCs w:val="24"/>
          <w:lang w:eastAsia="en-GB"/>
        </w:rPr>
        <w:t>ceive income to cover our costs. Further detail of income received is published in the annual accounts; within note 4 headed ‘other operating revenue’.</w:t>
      </w:r>
    </w:p>
    <w:p w:rsidR="00CB1F87" w:rsidRPr="00CB1F87" w:rsidRDefault="00CB1F87" w:rsidP="00CB1F87">
      <w:pPr>
        <w:autoSpaceDE w:val="0"/>
        <w:autoSpaceDN w:val="0"/>
        <w:jc w:val="both"/>
        <w:rPr>
          <w:rFonts w:ascii="Verdana" w:hAnsi="Verdana"/>
          <w:sz w:val="24"/>
          <w:szCs w:val="24"/>
          <w:lang w:eastAsia="en-GB"/>
        </w:rPr>
      </w:pPr>
    </w:p>
    <w:p w:rsidR="00CB1F87" w:rsidRPr="00CB1F87" w:rsidRDefault="00CB1F87" w:rsidP="00CB1F87">
      <w:pPr>
        <w:autoSpaceDE w:val="0"/>
        <w:autoSpaceDN w:val="0"/>
        <w:jc w:val="both"/>
        <w:rPr>
          <w:rFonts w:ascii="Verdana" w:hAnsi="Verdana"/>
          <w:sz w:val="24"/>
          <w:szCs w:val="24"/>
          <w:lang w:eastAsia="en-GB"/>
        </w:rPr>
      </w:pPr>
      <w:r w:rsidRPr="00CB1F87">
        <w:rPr>
          <w:rFonts w:ascii="Verdana" w:hAnsi="Verdana"/>
          <w:sz w:val="24"/>
          <w:szCs w:val="24"/>
          <w:lang w:eastAsia="en-GB"/>
        </w:rPr>
        <w:t>We confirm we have complied with cost allocation and the charging requirements set out in HM Treasury guidance during the year.</w:t>
      </w:r>
    </w:p>
    <w:p w:rsidR="00CB1F87" w:rsidRPr="00CB1F87" w:rsidRDefault="00CB1F87" w:rsidP="00CB1F87">
      <w:pPr>
        <w:autoSpaceDE w:val="0"/>
        <w:autoSpaceDN w:val="0"/>
        <w:jc w:val="both"/>
        <w:rPr>
          <w:rFonts w:ascii="Verdana" w:hAnsi="Verdana"/>
          <w:sz w:val="24"/>
          <w:szCs w:val="24"/>
          <w:lang w:eastAsia="en-GB"/>
        </w:rPr>
      </w:pPr>
    </w:p>
    <w:p w:rsidR="00CB1F87" w:rsidRPr="00CB1F87" w:rsidRDefault="00CB1F87" w:rsidP="00CB1F87">
      <w:pPr>
        <w:autoSpaceDE w:val="0"/>
        <w:autoSpaceDN w:val="0"/>
        <w:jc w:val="both"/>
        <w:rPr>
          <w:rFonts w:ascii="Verdana" w:hAnsi="Verdana"/>
          <w:sz w:val="24"/>
          <w:szCs w:val="24"/>
          <w:lang w:eastAsia="en-GB"/>
        </w:rPr>
      </w:pPr>
      <w:r w:rsidRPr="00CB1F87">
        <w:rPr>
          <w:rFonts w:ascii="Verdana" w:hAnsi="Verdana"/>
          <w:sz w:val="24"/>
          <w:szCs w:val="24"/>
          <w:lang w:eastAsia="en-GB"/>
        </w:rPr>
        <w:t>We have been informed by our legal advisors that £3,613,000 of claims for alleged medical or employer negligence against us have been assessed as having a remote chance of succeeding. If the claims were to succeed against us, £3,463,000 of this figure would be recoverable from the Welsh Risk Pool. Therefore, the net liability to Public Health Wales NHS Trust is £150,000</w:t>
      </w:r>
    </w:p>
    <w:p w:rsidR="00805415" w:rsidRPr="00CB1F87" w:rsidRDefault="00805415" w:rsidP="00CB1F87">
      <w:pPr>
        <w:jc w:val="both"/>
        <w:rPr>
          <w:rFonts w:ascii="Verdana" w:hAnsi="Verdana"/>
        </w:rPr>
      </w:pPr>
    </w:p>
    <w:sectPr w:rsidR="00805415" w:rsidRPr="00CB1F8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F87" w:rsidRDefault="00CB1F87" w:rsidP="00CB1F87">
      <w:r>
        <w:separator/>
      </w:r>
    </w:p>
  </w:endnote>
  <w:endnote w:type="continuationSeparator" w:id="0">
    <w:p w:rsidR="00CB1F87" w:rsidRDefault="00CB1F87" w:rsidP="00CB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F87" w:rsidRDefault="00CB1F87" w:rsidP="00CB1F87">
      <w:r>
        <w:separator/>
      </w:r>
    </w:p>
  </w:footnote>
  <w:footnote w:type="continuationSeparator" w:id="0">
    <w:p w:rsidR="00CB1F87" w:rsidRDefault="00CB1F87" w:rsidP="00CB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87" w:rsidRPr="00CB1F87" w:rsidRDefault="00CB1F87" w:rsidP="00CB1F87">
    <w:pPr>
      <w:pStyle w:val="Header"/>
      <w:jc w:val="right"/>
      <w:rPr>
        <w:b/>
      </w:rPr>
    </w:pPr>
    <w:r w:rsidRPr="00CB1F87">
      <w:rPr>
        <w:b/>
      </w:rPr>
      <w:t xml:space="preserve">Annex 6 – National Assembly for Wales Accountability and Audit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87"/>
    <w:rsid w:val="00805415"/>
    <w:rsid w:val="00CB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E928"/>
  <w15:chartTrackingRefBased/>
  <w15:docId w15:val="{7660AC10-1E5F-4A08-90B9-A780BC47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F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F87"/>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CB1F87"/>
  </w:style>
  <w:style w:type="paragraph" w:styleId="Footer">
    <w:name w:val="footer"/>
    <w:basedOn w:val="Normal"/>
    <w:link w:val="FooterChar"/>
    <w:uiPriority w:val="99"/>
    <w:unhideWhenUsed/>
    <w:rsid w:val="00CB1F87"/>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CB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Blayney (Public Health Wales - No. 2 Capital Quarter)</dc:creator>
  <cp:keywords/>
  <dc:description/>
  <cp:lastModifiedBy>Liz Blayney (Public Health Wales - No. 2 Capital Quarter)</cp:lastModifiedBy>
  <cp:revision>1</cp:revision>
  <dcterms:created xsi:type="dcterms:W3CDTF">2020-06-16T09:35:00Z</dcterms:created>
  <dcterms:modified xsi:type="dcterms:W3CDTF">2020-06-16T09:37:00Z</dcterms:modified>
</cp:coreProperties>
</file>