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5107"/>
      </w:tblGrid>
      <w:tr w:rsidR="006723FA" w:rsidRPr="00083596" w14:paraId="0F89D47E" w14:textId="77777777" w:rsidTr="001A1533">
        <w:trPr>
          <w:jc w:val="center"/>
        </w:trPr>
        <w:tc>
          <w:tcPr>
            <w:tcW w:w="5360" w:type="dxa"/>
            <w:shd w:val="clear" w:color="auto" w:fill="auto"/>
            <w:vAlign w:val="center"/>
          </w:tcPr>
          <w:p w14:paraId="79F93744" w14:textId="13E6C417" w:rsidR="00083596" w:rsidRPr="004A1D4A" w:rsidRDefault="008F40A0" w:rsidP="008A0832">
            <w:pPr>
              <w:rPr>
                <w:b/>
                <w:szCs w:val="24"/>
              </w:rPr>
            </w:pPr>
            <w:r w:rsidRPr="004A1D4A">
              <w:rPr>
                <w:b/>
                <w:noProof/>
                <w:lang w:eastAsia="en-GB"/>
              </w:rPr>
              <w:drawing>
                <wp:inline distT="0" distB="0" distL="0" distR="0" wp14:anchorId="54087BBF" wp14:editId="50FCF8EF">
                  <wp:extent cx="2975610" cy="717550"/>
                  <wp:effectExtent l="0" t="0" r="0" b="0"/>
                  <wp:docPr id="85" name="Picture 85"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ompressed Public Health Wal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5610" cy="717550"/>
                          </a:xfrm>
                          <a:prstGeom prst="rect">
                            <a:avLst/>
                          </a:prstGeom>
                          <a:noFill/>
                          <a:ln>
                            <a:noFill/>
                          </a:ln>
                        </pic:spPr>
                      </pic:pic>
                    </a:graphicData>
                  </a:graphic>
                </wp:inline>
              </w:drawing>
            </w:r>
          </w:p>
        </w:tc>
        <w:tc>
          <w:tcPr>
            <w:tcW w:w="5107" w:type="dxa"/>
            <w:shd w:val="clear" w:color="auto" w:fill="auto"/>
            <w:vAlign w:val="center"/>
          </w:tcPr>
          <w:p w14:paraId="68CA3319" w14:textId="77777777" w:rsidR="006723FA" w:rsidRPr="004A1D4A" w:rsidRDefault="006723FA" w:rsidP="00E01371">
            <w:pPr>
              <w:jc w:val="right"/>
              <w:rPr>
                <w:szCs w:val="24"/>
              </w:rPr>
            </w:pPr>
            <w:r w:rsidRPr="004A1D4A">
              <w:rPr>
                <w:b/>
                <w:szCs w:val="24"/>
              </w:rPr>
              <w:t>Reference Number:</w:t>
            </w:r>
            <w:r w:rsidR="00561A27" w:rsidRPr="004A1D4A">
              <w:rPr>
                <w:b/>
                <w:szCs w:val="24"/>
              </w:rPr>
              <w:t xml:space="preserve"> </w:t>
            </w:r>
            <w:r w:rsidR="00643E1A" w:rsidRPr="004A1D4A">
              <w:rPr>
                <w:szCs w:val="24"/>
              </w:rPr>
              <w:t>PHW05</w:t>
            </w:r>
          </w:p>
          <w:p w14:paraId="3017289D" w14:textId="5DED5BC1" w:rsidR="006723FA" w:rsidRPr="004A1D4A" w:rsidRDefault="006723FA" w:rsidP="004017B1">
            <w:pPr>
              <w:jc w:val="right"/>
              <w:rPr>
                <w:b/>
                <w:szCs w:val="24"/>
              </w:rPr>
            </w:pPr>
            <w:r w:rsidRPr="004A1D4A">
              <w:rPr>
                <w:b/>
                <w:szCs w:val="24"/>
              </w:rPr>
              <w:t>Version Number:</w:t>
            </w:r>
            <w:r w:rsidR="00561A27" w:rsidRPr="004A1D4A">
              <w:rPr>
                <w:b/>
                <w:szCs w:val="24"/>
              </w:rPr>
              <w:t xml:space="preserve"> </w:t>
            </w:r>
            <w:r w:rsidR="00061B44" w:rsidRPr="004A1D4A">
              <w:rPr>
                <w:szCs w:val="24"/>
              </w:rPr>
              <w:t>v4</w:t>
            </w:r>
          </w:p>
          <w:p w14:paraId="037DE369" w14:textId="78639709" w:rsidR="008E6497" w:rsidRPr="004A1D4A" w:rsidRDefault="008E6497" w:rsidP="00A92081">
            <w:pPr>
              <w:jc w:val="right"/>
              <w:rPr>
                <w:b/>
                <w:szCs w:val="24"/>
              </w:rPr>
            </w:pPr>
            <w:r w:rsidRPr="004A1D4A">
              <w:rPr>
                <w:b/>
                <w:szCs w:val="24"/>
              </w:rPr>
              <w:t xml:space="preserve">Date of </w:t>
            </w:r>
            <w:r w:rsidR="00852772" w:rsidRPr="004A1D4A">
              <w:rPr>
                <w:b/>
                <w:szCs w:val="24"/>
              </w:rPr>
              <w:t>n</w:t>
            </w:r>
            <w:r w:rsidRPr="004A1D4A">
              <w:rPr>
                <w:b/>
                <w:szCs w:val="24"/>
              </w:rPr>
              <w:t xml:space="preserve">ext review: </w:t>
            </w:r>
            <w:r w:rsidR="00A92081" w:rsidRPr="004A1D4A">
              <w:rPr>
                <w:szCs w:val="24"/>
              </w:rPr>
              <w:t>25 March</w:t>
            </w:r>
            <w:r w:rsidR="00061B44" w:rsidRPr="004A1D4A">
              <w:rPr>
                <w:szCs w:val="24"/>
              </w:rPr>
              <w:t xml:space="preserve"> 202</w:t>
            </w:r>
            <w:r w:rsidR="00A92081" w:rsidRPr="004A1D4A">
              <w:rPr>
                <w:szCs w:val="24"/>
              </w:rPr>
              <w:t>4</w:t>
            </w:r>
          </w:p>
        </w:tc>
      </w:tr>
      <w:tr w:rsidR="006723FA" w:rsidRPr="00083596" w14:paraId="33C9FAD9" w14:textId="77777777" w:rsidTr="001A1533">
        <w:trPr>
          <w:jc w:val="center"/>
        </w:trPr>
        <w:tc>
          <w:tcPr>
            <w:tcW w:w="10467" w:type="dxa"/>
            <w:gridSpan w:val="2"/>
            <w:shd w:val="clear" w:color="auto" w:fill="auto"/>
            <w:vAlign w:val="center"/>
          </w:tcPr>
          <w:p w14:paraId="35A992BB" w14:textId="77777777" w:rsidR="006723FA" w:rsidRPr="004A1D4A" w:rsidRDefault="006723FA" w:rsidP="00E01371">
            <w:pPr>
              <w:jc w:val="center"/>
              <w:rPr>
                <w:b/>
                <w:szCs w:val="24"/>
              </w:rPr>
            </w:pPr>
          </w:p>
          <w:p w14:paraId="4AF423A3" w14:textId="05277051" w:rsidR="006723FA" w:rsidRPr="004A1D4A" w:rsidRDefault="009B0541" w:rsidP="00594EFD">
            <w:pPr>
              <w:jc w:val="center"/>
              <w:rPr>
                <w:rFonts w:cs="Arial"/>
                <w:b/>
                <w:szCs w:val="24"/>
              </w:rPr>
            </w:pPr>
            <w:r w:rsidRPr="004A1D4A">
              <w:rPr>
                <w:rFonts w:cs="Arial"/>
                <w:b/>
                <w:szCs w:val="24"/>
              </w:rPr>
              <w:t>STANDARDS OF BEHAVIOUR</w:t>
            </w:r>
            <w:r w:rsidR="00A50729" w:rsidRPr="004A1D4A">
              <w:rPr>
                <w:rFonts w:cs="Arial"/>
                <w:b/>
                <w:szCs w:val="24"/>
              </w:rPr>
              <w:t xml:space="preserve"> POLICY </w:t>
            </w:r>
          </w:p>
          <w:p w14:paraId="234A0EA4" w14:textId="77777777" w:rsidR="003F6570" w:rsidRPr="004A1D4A" w:rsidRDefault="003F6570" w:rsidP="003F6570">
            <w:pPr>
              <w:autoSpaceDE w:val="0"/>
              <w:autoSpaceDN w:val="0"/>
              <w:adjustRightInd w:val="0"/>
              <w:rPr>
                <w:rFonts w:cs="Verdana"/>
                <w:szCs w:val="24"/>
                <w:lang w:eastAsia="en-GB"/>
              </w:rPr>
            </w:pPr>
          </w:p>
          <w:p w14:paraId="550C7B10" w14:textId="3F5767C4" w:rsidR="003F6570" w:rsidRPr="004A1D4A" w:rsidRDefault="003F6570" w:rsidP="003F6570">
            <w:pPr>
              <w:jc w:val="center"/>
              <w:rPr>
                <w:rFonts w:cs="Arial"/>
                <w:b/>
                <w:szCs w:val="24"/>
              </w:rPr>
            </w:pPr>
            <w:r w:rsidRPr="004A1D4A">
              <w:rPr>
                <w:rFonts w:cs="Verdana"/>
                <w:szCs w:val="24"/>
                <w:lang w:eastAsia="en-GB"/>
              </w:rPr>
              <w:t xml:space="preserve"> </w:t>
            </w:r>
            <w:r w:rsidRPr="004A1D4A">
              <w:rPr>
                <w:rFonts w:cs="Verdana"/>
                <w:b/>
                <w:szCs w:val="24"/>
                <w:lang w:eastAsia="en-GB"/>
              </w:rPr>
              <w:t>(</w:t>
            </w:r>
            <w:r w:rsidRPr="004A1D4A">
              <w:rPr>
                <w:rFonts w:cs="Arial"/>
                <w:b/>
                <w:szCs w:val="24"/>
              </w:rPr>
              <w:t>incorporating Declarations of Interest, Gifts, Hospitality and Sponsorship)</w:t>
            </w:r>
          </w:p>
          <w:p w14:paraId="1307F836" w14:textId="77777777" w:rsidR="00594EFD" w:rsidRPr="004A1D4A" w:rsidRDefault="00594EFD" w:rsidP="00594EFD">
            <w:pPr>
              <w:jc w:val="center"/>
              <w:rPr>
                <w:rFonts w:cs="Arial"/>
                <w:szCs w:val="24"/>
              </w:rPr>
            </w:pPr>
          </w:p>
        </w:tc>
      </w:tr>
      <w:tr w:rsidR="00561D4E" w:rsidRPr="00174090" w14:paraId="3CD909BD" w14:textId="77777777" w:rsidTr="001A1533">
        <w:trPr>
          <w:jc w:val="center"/>
        </w:trPr>
        <w:tc>
          <w:tcPr>
            <w:tcW w:w="10467" w:type="dxa"/>
            <w:gridSpan w:val="2"/>
            <w:tcBorders>
              <w:bottom w:val="single" w:sz="4" w:space="0" w:color="auto"/>
            </w:tcBorders>
          </w:tcPr>
          <w:p w14:paraId="0019B210" w14:textId="77777777" w:rsidR="00561D4E" w:rsidRPr="004A1D4A" w:rsidRDefault="002B56F0" w:rsidP="00E01371">
            <w:pPr>
              <w:rPr>
                <w:b/>
                <w:sz w:val="22"/>
                <w:szCs w:val="22"/>
              </w:rPr>
            </w:pPr>
            <w:r w:rsidRPr="004A1D4A">
              <w:rPr>
                <w:b/>
                <w:sz w:val="22"/>
                <w:szCs w:val="22"/>
              </w:rPr>
              <w:t>Policy Statement</w:t>
            </w:r>
          </w:p>
          <w:p w14:paraId="23216E21" w14:textId="24D44E35" w:rsidR="009B0541" w:rsidRPr="004A1D4A" w:rsidRDefault="009B0541" w:rsidP="00B7765C">
            <w:pPr>
              <w:jc w:val="both"/>
              <w:rPr>
                <w:sz w:val="22"/>
                <w:szCs w:val="22"/>
              </w:rPr>
            </w:pPr>
          </w:p>
          <w:p w14:paraId="679E1D19" w14:textId="1D94F3AB" w:rsidR="0066537D" w:rsidRPr="004A1D4A" w:rsidRDefault="009B0541" w:rsidP="0066537D">
            <w:pPr>
              <w:rPr>
                <w:kern w:val="28"/>
                <w:sz w:val="22"/>
                <w:szCs w:val="22"/>
                <w:lang w:eastAsia="en-GB"/>
              </w:rPr>
            </w:pPr>
            <w:r w:rsidRPr="004A1D4A">
              <w:rPr>
                <w:sz w:val="22"/>
                <w:szCs w:val="22"/>
              </w:rPr>
              <w:t xml:space="preserve">The </w:t>
            </w:r>
            <w:r w:rsidR="00360828" w:rsidRPr="004A1D4A">
              <w:rPr>
                <w:sz w:val="22"/>
                <w:szCs w:val="22"/>
              </w:rPr>
              <w:t xml:space="preserve">Public Health Wales (PHW) </w:t>
            </w:r>
            <w:r w:rsidRPr="004A1D4A">
              <w:rPr>
                <w:sz w:val="22"/>
                <w:szCs w:val="22"/>
              </w:rPr>
              <w:t xml:space="preserve">Board is strongly committed to PHW being driven by the highest standards of public life and behaviours, including openness, honesty, integrity and accountability. </w:t>
            </w:r>
            <w:r w:rsidR="0066537D" w:rsidRPr="004A1D4A">
              <w:rPr>
                <w:sz w:val="22"/>
                <w:szCs w:val="22"/>
              </w:rPr>
              <w:t xml:space="preserve"> </w:t>
            </w:r>
            <w:r w:rsidR="0066537D" w:rsidRPr="004A1D4A">
              <w:rPr>
                <w:kern w:val="28"/>
                <w:sz w:val="22"/>
                <w:szCs w:val="22"/>
                <w:lang w:eastAsia="en-GB"/>
              </w:rPr>
              <w:t>The Board expects all employees and Non-Executive Directors to practice high standards of corporate and personal conduct, based on the recognition that the needs of Service Users must come first.</w:t>
            </w:r>
          </w:p>
          <w:p w14:paraId="1CEBC3AC" w14:textId="77777777" w:rsidR="00360828" w:rsidRPr="004A1D4A" w:rsidRDefault="00360828" w:rsidP="00360828">
            <w:pPr>
              <w:rPr>
                <w:sz w:val="22"/>
                <w:szCs w:val="22"/>
              </w:rPr>
            </w:pPr>
          </w:p>
          <w:p w14:paraId="60F28D8D" w14:textId="41FE4081" w:rsidR="009B0541" w:rsidRPr="004A1D4A" w:rsidRDefault="00360828" w:rsidP="009B0541">
            <w:pPr>
              <w:autoSpaceDE w:val="0"/>
              <w:autoSpaceDN w:val="0"/>
              <w:adjustRightInd w:val="0"/>
              <w:rPr>
                <w:sz w:val="22"/>
                <w:szCs w:val="22"/>
              </w:rPr>
            </w:pPr>
            <w:r w:rsidRPr="004A1D4A">
              <w:rPr>
                <w:sz w:val="22"/>
                <w:szCs w:val="22"/>
              </w:rPr>
              <w:t xml:space="preserve">All Public Health Wales (PHW) employees and Non-Executive Directors must practice the highest standards of conduct and behaviour.  </w:t>
            </w:r>
          </w:p>
          <w:p w14:paraId="51FD5C92" w14:textId="360B15E5" w:rsidR="00360828" w:rsidRPr="004A1D4A" w:rsidRDefault="00360828" w:rsidP="009B0541">
            <w:pPr>
              <w:autoSpaceDE w:val="0"/>
              <w:autoSpaceDN w:val="0"/>
              <w:adjustRightInd w:val="0"/>
              <w:rPr>
                <w:sz w:val="22"/>
                <w:szCs w:val="22"/>
              </w:rPr>
            </w:pPr>
          </w:p>
          <w:p w14:paraId="7F05CD55" w14:textId="7B124E0F" w:rsidR="00360828" w:rsidRPr="004A1D4A" w:rsidRDefault="00360828" w:rsidP="00360828">
            <w:pPr>
              <w:autoSpaceDE w:val="0"/>
              <w:autoSpaceDN w:val="0"/>
              <w:adjustRightInd w:val="0"/>
              <w:rPr>
                <w:sz w:val="22"/>
                <w:szCs w:val="22"/>
              </w:rPr>
            </w:pPr>
            <w:r w:rsidRPr="004A1D4A">
              <w:rPr>
                <w:sz w:val="22"/>
                <w:szCs w:val="22"/>
              </w:rPr>
              <w:t xml:space="preserve">PHW has a zero tolerance policy on bribery and corruption. </w:t>
            </w:r>
          </w:p>
          <w:p w14:paraId="08498120" w14:textId="06EB5CDB" w:rsidR="0066537D" w:rsidRPr="004A1D4A" w:rsidRDefault="0066537D" w:rsidP="00360828">
            <w:pPr>
              <w:autoSpaceDE w:val="0"/>
              <w:autoSpaceDN w:val="0"/>
              <w:adjustRightInd w:val="0"/>
              <w:rPr>
                <w:sz w:val="22"/>
                <w:szCs w:val="22"/>
              </w:rPr>
            </w:pPr>
          </w:p>
          <w:p w14:paraId="45970D7E" w14:textId="16F4C6C6" w:rsidR="0066537D" w:rsidRPr="004A1D4A" w:rsidRDefault="003F6570" w:rsidP="0066537D">
            <w:pPr>
              <w:autoSpaceDE w:val="0"/>
              <w:autoSpaceDN w:val="0"/>
              <w:adjustRightInd w:val="0"/>
              <w:rPr>
                <w:sz w:val="22"/>
                <w:szCs w:val="22"/>
              </w:rPr>
            </w:pPr>
            <w:r w:rsidRPr="004A1D4A">
              <w:rPr>
                <w:sz w:val="22"/>
                <w:szCs w:val="22"/>
              </w:rPr>
              <w:t>It is</w:t>
            </w:r>
            <w:r w:rsidR="0066537D" w:rsidRPr="004A1D4A">
              <w:rPr>
                <w:sz w:val="22"/>
                <w:szCs w:val="22"/>
              </w:rPr>
              <w:t xml:space="preserve"> the responsibility of each individual employee of PHW to ensure that they are familiar with the requirements of the policy and supporting guidance. The relevance of this information will vary depending on the individual’s role, the </w:t>
            </w:r>
            <w:hyperlink r:id="rId10" w:history="1">
              <w:r w:rsidR="0066537D" w:rsidRPr="004A1D4A">
                <w:rPr>
                  <w:sz w:val="22"/>
                  <w:szCs w:val="22"/>
                  <w:u w:val="single"/>
                </w:rPr>
                <w:t>Board Secretary</w:t>
              </w:r>
            </w:hyperlink>
            <w:r w:rsidR="0066537D" w:rsidRPr="004A1D4A">
              <w:rPr>
                <w:sz w:val="22"/>
                <w:szCs w:val="22"/>
              </w:rPr>
              <w:t xml:space="preserve"> can provide specific advice if needed. </w:t>
            </w:r>
          </w:p>
          <w:p w14:paraId="7F9972E0" w14:textId="5B08A358" w:rsidR="009B0541" w:rsidRPr="004A1D4A" w:rsidRDefault="009B0541" w:rsidP="00883515">
            <w:pPr>
              <w:rPr>
                <w:sz w:val="22"/>
                <w:szCs w:val="22"/>
              </w:rPr>
            </w:pPr>
          </w:p>
        </w:tc>
      </w:tr>
      <w:tr w:rsidR="004A1D4A" w:rsidRPr="004A1D4A" w14:paraId="52A82761" w14:textId="77777777" w:rsidTr="001A1533">
        <w:trPr>
          <w:jc w:val="center"/>
        </w:trPr>
        <w:tc>
          <w:tcPr>
            <w:tcW w:w="10467" w:type="dxa"/>
            <w:gridSpan w:val="2"/>
            <w:tcBorders>
              <w:bottom w:val="single" w:sz="4" w:space="0" w:color="auto"/>
            </w:tcBorders>
          </w:tcPr>
          <w:p w14:paraId="273AB050" w14:textId="77777777" w:rsidR="00883515" w:rsidRPr="004A1D4A" w:rsidRDefault="00883515" w:rsidP="00883515">
            <w:pPr>
              <w:rPr>
                <w:b/>
                <w:sz w:val="22"/>
                <w:szCs w:val="22"/>
              </w:rPr>
            </w:pPr>
            <w:r w:rsidRPr="004A1D4A">
              <w:rPr>
                <w:b/>
                <w:sz w:val="22"/>
                <w:szCs w:val="22"/>
              </w:rPr>
              <w:t>Policy Commitment</w:t>
            </w:r>
          </w:p>
          <w:p w14:paraId="118AB359" w14:textId="77777777" w:rsidR="00883515" w:rsidRPr="004A1D4A" w:rsidRDefault="00883515" w:rsidP="00883515">
            <w:pPr>
              <w:rPr>
                <w:rFonts w:cs="Arial"/>
                <w:sz w:val="22"/>
                <w:szCs w:val="22"/>
              </w:rPr>
            </w:pPr>
          </w:p>
          <w:p w14:paraId="110F1F59" w14:textId="77777777" w:rsidR="00883515" w:rsidRPr="004A1D4A" w:rsidRDefault="00883515" w:rsidP="00883515">
            <w:pPr>
              <w:rPr>
                <w:rFonts w:cs="Arial"/>
                <w:sz w:val="22"/>
                <w:szCs w:val="22"/>
              </w:rPr>
            </w:pPr>
            <w:r w:rsidRPr="004A1D4A">
              <w:rPr>
                <w:rFonts w:cs="Arial"/>
                <w:sz w:val="22"/>
                <w:szCs w:val="22"/>
              </w:rPr>
              <w:t>Under this policy, Public Health Wales is required to outline the standards of conduct expected of all Public Health Wales all employees and Non-Executive Directors, regarding private interests and their interface with public service duties;</w:t>
            </w:r>
          </w:p>
          <w:p w14:paraId="160072CB" w14:textId="3BF6161A" w:rsidR="00883515" w:rsidRPr="004A1D4A" w:rsidRDefault="00883515" w:rsidP="00883515">
            <w:pPr>
              <w:autoSpaceDE w:val="0"/>
              <w:autoSpaceDN w:val="0"/>
              <w:adjustRightInd w:val="0"/>
              <w:rPr>
                <w:sz w:val="22"/>
                <w:szCs w:val="22"/>
              </w:rPr>
            </w:pPr>
          </w:p>
          <w:p w14:paraId="6ABAB45E" w14:textId="1408C7A6" w:rsidR="00883515" w:rsidRPr="004A1D4A" w:rsidRDefault="00883515" w:rsidP="00883515">
            <w:pPr>
              <w:autoSpaceDE w:val="0"/>
              <w:autoSpaceDN w:val="0"/>
              <w:adjustRightInd w:val="0"/>
              <w:rPr>
                <w:b/>
                <w:sz w:val="22"/>
                <w:szCs w:val="22"/>
              </w:rPr>
            </w:pPr>
            <w:r w:rsidRPr="004A1D4A">
              <w:rPr>
                <w:b/>
                <w:sz w:val="22"/>
                <w:szCs w:val="22"/>
              </w:rPr>
              <w:t>Aims of the Policy</w:t>
            </w:r>
          </w:p>
          <w:p w14:paraId="7E6C53A2" w14:textId="42E2E88E" w:rsidR="00883515" w:rsidRPr="004A1D4A" w:rsidRDefault="00883515" w:rsidP="00883515">
            <w:pPr>
              <w:autoSpaceDE w:val="0"/>
              <w:autoSpaceDN w:val="0"/>
              <w:adjustRightInd w:val="0"/>
              <w:rPr>
                <w:sz w:val="22"/>
                <w:szCs w:val="22"/>
              </w:rPr>
            </w:pPr>
            <w:r w:rsidRPr="004A1D4A">
              <w:rPr>
                <w:sz w:val="22"/>
                <w:szCs w:val="22"/>
              </w:rPr>
              <w:t>The aims of this policy are:</w:t>
            </w:r>
          </w:p>
          <w:p w14:paraId="28610D74" w14:textId="77777777" w:rsidR="00883515" w:rsidRPr="004A1D4A" w:rsidRDefault="00883515" w:rsidP="00174090">
            <w:pPr>
              <w:pStyle w:val="ListParagraph"/>
              <w:numPr>
                <w:ilvl w:val="0"/>
                <w:numId w:val="26"/>
              </w:numPr>
              <w:spacing w:before="120"/>
              <w:ind w:left="589" w:hanging="425"/>
              <w:contextualSpacing w:val="0"/>
              <w:rPr>
                <w:rFonts w:cs="Arial"/>
                <w:sz w:val="22"/>
                <w:szCs w:val="22"/>
              </w:rPr>
            </w:pPr>
            <w:r w:rsidRPr="004A1D4A">
              <w:rPr>
                <w:rFonts w:cs="Arial"/>
                <w:sz w:val="22"/>
                <w:szCs w:val="22"/>
              </w:rPr>
              <w:t xml:space="preserve">To ensure that Public Health Wales is open, transparent and honest in the way it conducts its business; </w:t>
            </w:r>
          </w:p>
          <w:p w14:paraId="2E4DEC37" w14:textId="77777777" w:rsidR="00883515" w:rsidRPr="004A1D4A" w:rsidRDefault="00883515" w:rsidP="00174090">
            <w:pPr>
              <w:pStyle w:val="ListParagraph"/>
              <w:numPr>
                <w:ilvl w:val="0"/>
                <w:numId w:val="26"/>
              </w:numPr>
              <w:spacing w:before="120"/>
              <w:ind w:left="589" w:hanging="425"/>
              <w:contextualSpacing w:val="0"/>
              <w:rPr>
                <w:rFonts w:cs="Arial"/>
                <w:sz w:val="22"/>
                <w:szCs w:val="22"/>
              </w:rPr>
            </w:pPr>
            <w:r w:rsidRPr="004A1D4A">
              <w:rPr>
                <w:rFonts w:cs="Arial"/>
                <w:sz w:val="22"/>
                <w:szCs w:val="22"/>
              </w:rPr>
              <w:t xml:space="preserve">To ensure that Public Health Wales safeguards against conflict or potential conflict between private interests and public duties all employees and Non-Executive Directors; </w:t>
            </w:r>
          </w:p>
          <w:p w14:paraId="7E6BC1FC" w14:textId="77777777" w:rsidR="00883515" w:rsidRPr="004A1D4A" w:rsidRDefault="00883515" w:rsidP="00174090">
            <w:pPr>
              <w:pStyle w:val="ListParagraph"/>
              <w:numPr>
                <w:ilvl w:val="0"/>
                <w:numId w:val="26"/>
              </w:numPr>
              <w:spacing w:before="120"/>
              <w:ind w:left="589" w:hanging="425"/>
              <w:contextualSpacing w:val="0"/>
              <w:rPr>
                <w:rFonts w:cs="Arial"/>
                <w:sz w:val="22"/>
                <w:szCs w:val="22"/>
              </w:rPr>
            </w:pPr>
            <w:r w:rsidRPr="004A1D4A">
              <w:rPr>
                <w:rFonts w:cs="Arial"/>
                <w:sz w:val="22"/>
                <w:szCs w:val="22"/>
              </w:rPr>
              <w:t xml:space="preserve">To </w:t>
            </w:r>
            <w:r w:rsidRPr="004A1D4A">
              <w:rPr>
                <w:sz w:val="22"/>
                <w:szCs w:val="22"/>
              </w:rPr>
              <w:t xml:space="preserve">provide supporting information, and signpost the reader to related guidance, so that all employees and Non-Executive Directors are appropriately supported in delivering the requirements. </w:t>
            </w:r>
          </w:p>
          <w:p w14:paraId="06FDCFBF" w14:textId="77777777" w:rsidR="00883515" w:rsidRPr="004A1D4A" w:rsidRDefault="00883515" w:rsidP="00174090">
            <w:pPr>
              <w:pStyle w:val="ListParagraph"/>
              <w:numPr>
                <w:ilvl w:val="0"/>
                <w:numId w:val="26"/>
              </w:numPr>
              <w:spacing w:before="120"/>
              <w:ind w:left="589" w:hanging="425"/>
              <w:contextualSpacing w:val="0"/>
              <w:rPr>
                <w:rFonts w:cs="Arial"/>
                <w:sz w:val="22"/>
                <w:szCs w:val="22"/>
              </w:rPr>
            </w:pPr>
            <w:r w:rsidRPr="004A1D4A">
              <w:rPr>
                <w:sz w:val="22"/>
                <w:szCs w:val="22"/>
              </w:rPr>
              <w:t>To clearly outline the roles and responsibilities of those employed by the organisation;</w:t>
            </w:r>
          </w:p>
          <w:p w14:paraId="521774C7" w14:textId="353DE5EC" w:rsidR="00883515" w:rsidRPr="004A1D4A" w:rsidRDefault="00883515" w:rsidP="00174090">
            <w:pPr>
              <w:pStyle w:val="ListParagraph"/>
              <w:numPr>
                <w:ilvl w:val="0"/>
                <w:numId w:val="26"/>
              </w:numPr>
              <w:spacing w:before="120"/>
              <w:ind w:left="589" w:hanging="425"/>
              <w:contextualSpacing w:val="0"/>
              <w:rPr>
                <w:rFonts w:cs="Arial"/>
                <w:sz w:val="22"/>
                <w:szCs w:val="22"/>
              </w:rPr>
            </w:pPr>
            <w:r w:rsidRPr="004A1D4A">
              <w:rPr>
                <w:sz w:val="22"/>
                <w:szCs w:val="22"/>
              </w:rPr>
              <w:t>To outline the</w:t>
            </w:r>
            <w:r w:rsidRPr="004A1D4A">
              <w:rPr>
                <w:kern w:val="28"/>
                <w:sz w:val="22"/>
                <w:szCs w:val="22"/>
                <w:lang w:eastAsia="en-GB"/>
              </w:rPr>
              <w:t xml:space="preserve"> arrangements in place for ensuring that declarations can be made, and guide the individual to the correct process for making a declaration.</w:t>
            </w:r>
          </w:p>
          <w:p w14:paraId="0AB16624" w14:textId="366F385E" w:rsidR="00883515" w:rsidRPr="004A1D4A" w:rsidRDefault="00883515" w:rsidP="00883515">
            <w:pPr>
              <w:ind w:left="165"/>
              <w:rPr>
                <w:rFonts w:cs="Arial"/>
                <w:sz w:val="22"/>
                <w:szCs w:val="22"/>
              </w:rPr>
            </w:pPr>
          </w:p>
        </w:tc>
      </w:tr>
      <w:tr w:rsidR="004A1D4A" w:rsidRPr="004A1D4A" w14:paraId="60CF870C" w14:textId="77777777" w:rsidTr="009C20ED">
        <w:trPr>
          <w:jc w:val="center"/>
        </w:trPr>
        <w:tc>
          <w:tcPr>
            <w:tcW w:w="10467" w:type="dxa"/>
            <w:gridSpan w:val="2"/>
            <w:tcBorders>
              <w:bottom w:val="single" w:sz="4" w:space="0" w:color="auto"/>
            </w:tcBorders>
          </w:tcPr>
          <w:p w14:paraId="2FD7DAFC" w14:textId="54C0028F" w:rsidR="00883515" w:rsidRPr="004A1D4A" w:rsidRDefault="00883515" w:rsidP="00883515">
            <w:pPr>
              <w:rPr>
                <w:rFonts w:cs="Arial"/>
                <w:b/>
                <w:sz w:val="22"/>
                <w:szCs w:val="22"/>
              </w:rPr>
            </w:pPr>
            <w:r w:rsidRPr="004A1D4A">
              <w:rPr>
                <w:rFonts w:cs="Arial"/>
                <w:b/>
                <w:sz w:val="22"/>
                <w:szCs w:val="22"/>
              </w:rPr>
              <w:t>Standards of Behaviours:</w:t>
            </w:r>
          </w:p>
          <w:p w14:paraId="652F13B2" w14:textId="77777777" w:rsidR="00174090" w:rsidRPr="004A1D4A" w:rsidRDefault="00174090" w:rsidP="00883515">
            <w:pPr>
              <w:rPr>
                <w:rFonts w:cs="Arial"/>
                <w:b/>
                <w:sz w:val="22"/>
                <w:szCs w:val="22"/>
              </w:rPr>
            </w:pPr>
          </w:p>
          <w:p w14:paraId="06F8C559" w14:textId="77777777" w:rsidR="00883515" w:rsidRPr="004A1D4A" w:rsidRDefault="00883515" w:rsidP="00883515">
            <w:pPr>
              <w:rPr>
                <w:rFonts w:cs="Arial"/>
                <w:sz w:val="22"/>
                <w:szCs w:val="22"/>
              </w:rPr>
            </w:pPr>
            <w:r w:rsidRPr="004A1D4A">
              <w:rPr>
                <w:rFonts w:cs="Arial"/>
                <w:sz w:val="22"/>
                <w:szCs w:val="22"/>
              </w:rPr>
              <w:t>This policy outlines principles of expected behaviour with regard to:</w:t>
            </w:r>
          </w:p>
          <w:p w14:paraId="10B7ABF8" w14:textId="77777777" w:rsidR="00883515" w:rsidRPr="004A1D4A" w:rsidRDefault="00883515" w:rsidP="00174090">
            <w:pPr>
              <w:pStyle w:val="ListParagraph"/>
              <w:numPr>
                <w:ilvl w:val="0"/>
                <w:numId w:val="25"/>
              </w:numPr>
              <w:ind w:left="714" w:hanging="357"/>
              <w:contextualSpacing w:val="0"/>
              <w:rPr>
                <w:rFonts w:cs="Arial"/>
                <w:sz w:val="22"/>
                <w:szCs w:val="22"/>
              </w:rPr>
            </w:pPr>
            <w:r w:rsidRPr="004A1D4A">
              <w:rPr>
                <w:rFonts w:cs="Arial"/>
                <w:sz w:val="22"/>
                <w:szCs w:val="22"/>
              </w:rPr>
              <w:t xml:space="preserve">to the acceptance of, and giving of, gifts and hospitality; </w:t>
            </w:r>
          </w:p>
          <w:p w14:paraId="714D0B41" w14:textId="4F0CC674" w:rsidR="00883515" w:rsidRPr="004A1D4A" w:rsidRDefault="00883515" w:rsidP="00174090">
            <w:pPr>
              <w:pStyle w:val="ListParagraph"/>
              <w:numPr>
                <w:ilvl w:val="0"/>
                <w:numId w:val="25"/>
              </w:numPr>
              <w:ind w:left="714" w:hanging="357"/>
              <w:contextualSpacing w:val="0"/>
              <w:rPr>
                <w:rFonts w:cs="Arial"/>
                <w:sz w:val="22"/>
                <w:szCs w:val="22"/>
              </w:rPr>
            </w:pPr>
            <w:r w:rsidRPr="004A1D4A">
              <w:rPr>
                <w:rFonts w:cs="Arial"/>
                <w:sz w:val="22"/>
                <w:szCs w:val="22"/>
              </w:rPr>
              <w:t>honoraria and sponsorship</w:t>
            </w:r>
            <w:r w:rsidR="00174090" w:rsidRPr="004A1D4A">
              <w:rPr>
                <w:rFonts w:cs="Arial"/>
                <w:sz w:val="22"/>
                <w:szCs w:val="22"/>
              </w:rPr>
              <w:t>;</w:t>
            </w:r>
          </w:p>
          <w:p w14:paraId="33B5A55D" w14:textId="381FED73" w:rsidR="00883515" w:rsidRPr="004A1D4A" w:rsidRDefault="00883515" w:rsidP="00174090">
            <w:pPr>
              <w:pStyle w:val="ListParagraph"/>
              <w:numPr>
                <w:ilvl w:val="0"/>
                <w:numId w:val="25"/>
              </w:numPr>
              <w:ind w:left="714" w:hanging="357"/>
              <w:contextualSpacing w:val="0"/>
              <w:rPr>
                <w:rFonts w:cs="Arial"/>
                <w:sz w:val="22"/>
                <w:szCs w:val="22"/>
              </w:rPr>
            </w:pPr>
            <w:r w:rsidRPr="004A1D4A">
              <w:rPr>
                <w:rFonts w:cs="Arial"/>
                <w:sz w:val="22"/>
                <w:szCs w:val="22"/>
              </w:rPr>
              <w:lastRenderedPageBreak/>
              <w:t>preferential treatment in private transactions</w:t>
            </w:r>
            <w:r w:rsidR="00174090" w:rsidRPr="004A1D4A">
              <w:rPr>
                <w:rFonts w:cs="Arial"/>
                <w:sz w:val="22"/>
                <w:szCs w:val="22"/>
              </w:rPr>
              <w:t>;</w:t>
            </w:r>
          </w:p>
          <w:p w14:paraId="5A95B83A" w14:textId="423C1FB2" w:rsidR="00883515" w:rsidRPr="004A1D4A" w:rsidRDefault="00883515" w:rsidP="00174090">
            <w:pPr>
              <w:pStyle w:val="ListParagraph"/>
              <w:numPr>
                <w:ilvl w:val="0"/>
                <w:numId w:val="25"/>
              </w:numPr>
              <w:ind w:left="714" w:hanging="357"/>
              <w:contextualSpacing w:val="0"/>
              <w:rPr>
                <w:rFonts w:cs="Arial"/>
                <w:sz w:val="22"/>
                <w:szCs w:val="22"/>
              </w:rPr>
            </w:pPr>
            <w:r w:rsidRPr="004A1D4A">
              <w:rPr>
                <w:rFonts w:cs="Arial"/>
                <w:sz w:val="22"/>
                <w:szCs w:val="22"/>
              </w:rPr>
              <w:t>loyalty schemes as an incentive for entering into business transactions</w:t>
            </w:r>
            <w:r w:rsidR="00174090" w:rsidRPr="004A1D4A">
              <w:rPr>
                <w:rFonts w:cs="Arial"/>
                <w:sz w:val="22"/>
                <w:szCs w:val="22"/>
              </w:rPr>
              <w:t>;</w:t>
            </w:r>
          </w:p>
          <w:p w14:paraId="3CC961F0" w14:textId="008ACD57" w:rsidR="00883515" w:rsidRPr="004A1D4A" w:rsidRDefault="00174090" w:rsidP="00174090">
            <w:pPr>
              <w:pStyle w:val="ListParagraph"/>
              <w:numPr>
                <w:ilvl w:val="0"/>
                <w:numId w:val="25"/>
              </w:numPr>
              <w:ind w:left="714" w:hanging="357"/>
              <w:contextualSpacing w:val="0"/>
              <w:rPr>
                <w:rFonts w:cs="Arial"/>
                <w:sz w:val="22"/>
                <w:szCs w:val="22"/>
              </w:rPr>
            </w:pPr>
            <w:r w:rsidRPr="004A1D4A">
              <w:rPr>
                <w:rFonts w:cs="Arial"/>
                <w:sz w:val="22"/>
                <w:szCs w:val="22"/>
              </w:rPr>
              <w:t>E</w:t>
            </w:r>
            <w:r w:rsidR="00883515" w:rsidRPr="004A1D4A">
              <w:rPr>
                <w:rFonts w:cs="Arial"/>
                <w:sz w:val="22"/>
                <w:szCs w:val="22"/>
              </w:rPr>
              <w:t>lections campaigns and political interests</w:t>
            </w:r>
            <w:r w:rsidRPr="004A1D4A">
              <w:rPr>
                <w:rFonts w:cs="Arial"/>
                <w:sz w:val="22"/>
                <w:szCs w:val="22"/>
              </w:rPr>
              <w:t>;</w:t>
            </w:r>
          </w:p>
          <w:p w14:paraId="52610F3E" w14:textId="73F65C98" w:rsidR="00883515" w:rsidRPr="004A1D4A" w:rsidRDefault="003F6570" w:rsidP="00174090">
            <w:pPr>
              <w:pStyle w:val="ListParagraph"/>
              <w:numPr>
                <w:ilvl w:val="0"/>
                <w:numId w:val="25"/>
              </w:numPr>
              <w:ind w:left="714" w:hanging="357"/>
              <w:contextualSpacing w:val="0"/>
              <w:rPr>
                <w:rFonts w:cs="Arial"/>
                <w:sz w:val="22"/>
                <w:szCs w:val="22"/>
              </w:rPr>
            </w:pPr>
            <w:r w:rsidRPr="004A1D4A">
              <w:rPr>
                <w:rFonts w:cs="Arial"/>
                <w:sz w:val="22"/>
                <w:szCs w:val="22"/>
              </w:rPr>
              <w:t>Confidentiality</w:t>
            </w:r>
            <w:r w:rsidR="00883515" w:rsidRPr="004A1D4A">
              <w:rPr>
                <w:rFonts w:cs="Arial"/>
                <w:sz w:val="22"/>
                <w:szCs w:val="22"/>
              </w:rPr>
              <w:t>.</w:t>
            </w:r>
          </w:p>
          <w:p w14:paraId="3333AF0E" w14:textId="0F01C7F7" w:rsidR="00061B44" w:rsidRPr="004A1D4A" w:rsidRDefault="00061B44" w:rsidP="00061B44">
            <w:pPr>
              <w:pStyle w:val="ListParagraph"/>
              <w:rPr>
                <w:rFonts w:cs="Arial"/>
                <w:sz w:val="22"/>
                <w:szCs w:val="22"/>
              </w:rPr>
            </w:pPr>
          </w:p>
        </w:tc>
      </w:tr>
      <w:tr w:rsidR="004A1D4A" w:rsidRPr="004A1D4A" w14:paraId="58CBE498" w14:textId="77777777" w:rsidTr="009C20ED">
        <w:trPr>
          <w:jc w:val="center"/>
        </w:trPr>
        <w:tc>
          <w:tcPr>
            <w:tcW w:w="10467" w:type="dxa"/>
            <w:gridSpan w:val="2"/>
            <w:tcBorders>
              <w:bottom w:val="single" w:sz="4" w:space="0" w:color="auto"/>
            </w:tcBorders>
          </w:tcPr>
          <w:p w14:paraId="63ADED96" w14:textId="26CF7CC0" w:rsidR="00883515" w:rsidRPr="004A1D4A" w:rsidRDefault="00883515" w:rsidP="00883515">
            <w:pPr>
              <w:rPr>
                <w:rFonts w:cs="Arial"/>
                <w:b/>
                <w:sz w:val="22"/>
                <w:szCs w:val="22"/>
              </w:rPr>
            </w:pPr>
            <w:r w:rsidRPr="004A1D4A">
              <w:rPr>
                <w:rFonts w:cs="Arial"/>
                <w:b/>
                <w:sz w:val="22"/>
                <w:szCs w:val="22"/>
              </w:rPr>
              <w:lastRenderedPageBreak/>
              <w:t>Supporting Procedure</w:t>
            </w:r>
          </w:p>
          <w:p w14:paraId="0F9DA66D" w14:textId="61961A33" w:rsidR="00883515" w:rsidRPr="004A1D4A" w:rsidRDefault="00883515" w:rsidP="00883515">
            <w:pPr>
              <w:rPr>
                <w:rFonts w:cs="Arial"/>
                <w:sz w:val="22"/>
                <w:szCs w:val="22"/>
              </w:rPr>
            </w:pPr>
            <w:r w:rsidRPr="004A1D4A">
              <w:rPr>
                <w:rFonts w:cs="Arial"/>
                <w:sz w:val="22"/>
                <w:szCs w:val="22"/>
              </w:rPr>
              <w:t>Within the supporting procedure (</w:t>
            </w:r>
            <w:hyperlink r:id="rId11" w:history="1">
              <w:r w:rsidRPr="004A1D4A">
                <w:rPr>
                  <w:rStyle w:val="Hyperlink"/>
                  <w:rFonts w:cs="Arial"/>
                  <w:color w:val="auto"/>
                  <w:sz w:val="22"/>
                  <w:szCs w:val="22"/>
                </w:rPr>
                <w:t>Declarations of Interest, Gifts, Hospitality, honoraria and sponsorship procedure</w:t>
              </w:r>
            </w:hyperlink>
            <w:r w:rsidR="00174090" w:rsidRPr="004A1D4A">
              <w:rPr>
                <w:rFonts w:cs="Arial"/>
                <w:sz w:val="22"/>
                <w:szCs w:val="22"/>
              </w:rPr>
              <w:t xml:space="preserve"> (PHW-05-tp01</w:t>
            </w:r>
            <w:r w:rsidR="00061B44" w:rsidRPr="004A1D4A">
              <w:rPr>
                <w:rFonts w:cs="Arial"/>
                <w:sz w:val="22"/>
                <w:szCs w:val="22"/>
              </w:rPr>
              <w:t xml:space="preserve">) should be read in conjunction with this policy. </w:t>
            </w:r>
          </w:p>
          <w:p w14:paraId="5D16C6E3" w14:textId="2FE0FE46" w:rsidR="00061B44" w:rsidRPr="004A1D4A" w:rsidRDefault="00061B44" w:rsidP="00883515">
            <w:pPr>
              <w:rPr>
                <w:rFonts w:cs="Arial"/>
                <w:sz w:val="22"/>
                <w:szCs w:val="22"/>
              </w:rPr>
            </w:pPr>
          </w:p>
          <w:p w14:paraId="2E065294" w14:textId="64E3B8B0" w:rsidR="00883515" w:rsidRPr="004A1D4A" w:rsidRDefault="00061B44" w:rsidP="00883515">
            <w:pPr>
              <w:rPr>
                <w:rFonts w:cs="Arial"/>
                <w:sz w:val="22"/>
                <w:szCs w:val="22"/>
              </w:rPr>
            </w:pPr>
            <w:r w:rsidRPr="004A1D4A">
              <w:rPr>
                <w:rFonts w:cs="Arial"/>
                <w:sz w:val="22"/>
                <w:szCs w:val="22"/>
              </w:rPr>
              <w:t>The procedure ensures that PHW:</w:t>
            </w:r>
          </w:p>
          <w:p w14:paraId="7ED766E4" w14:textId="2A9BF81C" w:rsidR="00061B44" w:rsidRPr="004A1D4A" w:rsidRDefault="003F6570" w:rsidP="00061B44">
            <w:pPr>
              <w:pStyle w:val="ListParagraph"/>
              <w:numPr>
                <w:ilvl w:val="0"/>
                <w:numId w:val="4"/>
              </w:numPr>
              <w:rPr>
                <w:rFonts w:cs="Arial"/>
                <w:sz w:val="22"/>
                <w:szCs w:val="22"/>
              </w:rPr>
            </w:pPr>
            <w:r w:rsidRPr="004A1D4A">
              <w:rPr>
                <w:sz w:val="22"/>
                <w:szCs w:val="22"/>
              </w:rPr>
              <w:t>Guidance</w:t>
            </w:r>
            <w:r w:rsidR="00061B44" w:rsidRPr="004A1D4A">
              <w:rPr>
                <w:sz w:val="22"/>
                <w:szCs w:val="22"/>
              </w:rPr>
              <w:t xml:space="preserve"> on the</w:t>
            </w:r>
            <w:r w:rsidR="00061B44" w:rsidRPr="004A1D4A">
              <w:rPr>
                <w:kern w:val="28"/>
                <w:sz w:val="22"/>
                <w:szCs w:val="22"/>
                <w:lang w:eastAsia="en-GB"/>
              </w:rPr>
              <w:t xml:space="preserve"> arrangements in place for ensuring that declarations can be made, and guide the individual to the correct process for making a declaration.</w:t>
            </w:r>
          </w:p>
          <w:p w14:paraId="439ACD55" w14:textId="77777777" w:rsidR="00883515" w:rsidRPr="004A1D4A" w:rsidRDefault="00883515" w:rsidP="00061B44">
            <w:pPr>
              <w:numPr>
                <w:ilvl w:val="0"/>
                <w:numId w:val="4"/>
              </w:numPr>
              <w:rPr>
                <w:rFonts w:cs="Arial"/>
                <w:sz w:val="22"/>
                <w:szCs w:val="22"/>
              </w:rPr>
            </w:pPr>
            <w:r w:rsidRPr="004A1D4A">
              <w:rPr>
                <w:rFonts w:cs="Arial"/>
                <w:sz w:val="22"/>
                <w:szCs w:val="22"/>
              </w:rPr>
              <w:t>Provide a mechanism for interests to be declared, recorded and monitored;</w:t>
            </w:r>
          </w:p>
          <w:p w14:paraId="24C4205B" w14:textId="77777777" w:rsidR="00883515" w:rsidRPr="004A1D4A" w:rsidRDefault="00883515" w:rsidP="00061B44">
            <w:pPr>
              <w:numPr>
                <w:ilvl w:val="0"/>
                <w:numId w:val="4"/>
              </w:numPr>
              <w:rPr>
                <w:rFonts w:cs="Arial"/>
                <w:sz w:val="22"/>
                <w:szCs w:val="22"/>
              </w:rPr>
            </w:pPr>
            <w:r w:rsidRPr="004A1D4A">
              <w:rPr>
                <w:rFonts w:cs="Arial"/>
                <w:sz w:val="22"/>
                <w:szCs w:val="22"/>
              </w:rPr>
              <w:t>Provide a mechanism for declaring, recording and monitoring gifts, hospitality honoraria and sponsorship;</w:t>
            </w:r>
          </w:p>
          <w:p w14:paraId="2D9B6D19" w14:textId="77777777" w:rsidR="006A4EA7" w:rsidRPr="004A1D4A" w:rsidRDefault="00883515" w:rsidP="00061B44">
            <w:pPr>
              <w:numPr>
                <w:ilvl w:val="0"/>
                <w:numId w:val="4"/>
              </w:numPr>
              <w:rPr>
                <w:rFonts w:cs="Arial"/>
                <w:sz w:val="22"/>
                <w:szCs w:val="22"/>
              </w:rPr>
            </w:pPr>
            <w:r w:rsidRPr="004A1D4A">
              <w:rPr>
                <w:rFonts w:cs="Arial"/>
                <w:sz w:val="22"/>
                <w:szCs w:val="22"/>
              </w:rPr>
              <w:t>Provide a mechanism for declaring and recording sponsorship of corporate events; and</w:t>
            </w:r>
          </w:p>
          <w:p w14:paraId="2581AE10" w14:textId="01B8E7A6" w:rsidR="00883515" w:rsidRPr="004A1D4A" w:rsidRDefault="00883515" w:rsidP="00061B44">
            <w:pPr>
              <w:numPr>
                <w:ilvl w:val="0"/>
                <w:numId w:val="4"/>
              </w:numPr>
              <w:rPr>
                <w:rFonts w:cs="Arial"/>
                <w:sz w:val="22"/>
                <w:szCs w:val="22"/>
              </w:rPr>
            </w:pPr>
            <w:r w:rsidRPr="004A1D4A">
              <w:rPr>
                <w:rFonts w:cs="Arial"/>
                <w:sz w:val="22"/>
                <w:szCs w:val="22"/>
              </w:rPr>
              <w:t>Ensure that the declaration of interests register is regularly updated and published in accordance with the requirements of the Freedom of Information Act.</w:t>
            </w:r>
          </w:p>
          <w:p w14:paraId="2AA6B71F" w14:textId="1D7FFE0D" w:rsidR="00883515" w:rsidRPr="004A1D4A" w:rsidRDefault="00883515" w:rsidP="009C20ED">
            <w:pPr>
              <w:jc w:val="both"/>
              <w:rPr>
                <w:rFonts w:cs="Arial"/>
                <w:sz w:val="22"/>
                <w:szCs w:val="22"/>
              </w:rPr>
            </w:pPr>
          </w:p>
        </w:tc>
      </w:tr>
      <w:tr w:rsidR="004A1D4A" w:rsidRPr="004A1D4A" w14:paraId="4A25B287" w14:textId="77777777" w:rsidTr="001A1533">
        <w:trPr>
          <w:jc w:val="center"/>
        </w:trPr>
        <w:tc>
          <w:tcPr>
            <w:tcW w:w="10467" w:type="dxa"/>
            <w:gridSpan w:val="2"/>
            <w:tcBorders>
              <w:bottom w:val="single" w:sz="4" w:space="0" w:color="auto"/>
            </w:tcBorders>
          </w:tcPr>
          <w:p w14:paraId="5241FFC1" w14:textId="77777777" w:rsidR="00883515" w:rsidRPr="004A1D4A" w:rsidRDefault="00883515" w:rsidP="00883515">
            <w:pPr>
              <w:rPr>
                <w:b/>
                <w:sz w:val="22"/>
                <w:szCs w:val="22"/>
              </w:rPr>
            </w:pPr>
            <w:r w:rsidRPr="004A1D4A">
              <w:rPr>
                <w:b/>
                <w:sz w:val="22"/>
                <w:szCs w:val="22"/>
              </w:rPr>
              <w:t>Scope</w:t>
            </w:r>
          </w:p>
          <w:p w14:paraId="48FD7072" w14:textId="77777777" w:rsidR="00883515" w:rsidRPr="004A1D4A" w:rsidRDefault="00883515" w:rsidP="00883515">
            <w:pPr>
              <w:rPr>
                <w:sz w:val="22"/>
                <w:szCs w:val="22"/>
              </w:rPr>
            </w:pPr>
          </w:p>
          <w:p w14:paraId="3DCF9D61" w14:textId="77777777" w:rsidR="00883515" w:rsidRPr="004A1D4A" w:rsidRDefault="00883515" w:rsidP="00883515">
            <w:pPr>
              <w:rPr>
                <w:sz w:val="22"/>
                <w:szCs w:val="22"/>
              </w:rPr>
            </w:pPr>
            <w:r w:rsidRPr="004A1D4A">
              <w:rPr>
                <w:sz w:val="22"/>
                <w:szCs w:val="22"/>
              </w:rPr>
              <w:t>The requirement to comply with this procedure extends to all employees of Public Health Wales, this includes:</w:t>
            </w:r>
          </w:p>
          <w:p w14:paraId="60D57584" w14:textId="419CD497" w:rsidR="00883515" w:rsidRPr="004A1D4A" w:rsidRDefault="00061B44" w:rsidP="00883515">
            <w:pPr>
              <w:numPr>
                <w:ilvl w:val="0"/>
                <w:numId w:val="24"/>
              </w:numPr>
              <w:ind w:left="799" w:hanging="357"/>
              <w:jc w:val="both"/>
              <w:rPr>
                <w:rFonts w:cs="Arial"/>
                <w:sz w:val="22"/>
                <w:szCs w:val="22"/>
              </w:rPr>
            </w:pPr>
            <w:r w:rsidRPr="004A1D4A">
              <w:rPr>
                <w:rFonts w:cs="Arial"/>
                <w:sz w:val="22"/>
                <w:szCs w:val="22"/>
              </w:rPr>
              <w:t>Non-Executive</w:t>
            </w:r>
            <w:r w:rsidR="00883515" w:rsidRPr="004A1D4A">
              <w:rPr>
                <w:rFonts w:cs="Arial"/>
                <w:sz w:val="22"/>
                <w:szCs w:val="22"/>
              </w:rPr>
              <w:t xml:space="preserve"> Directors;</w:t>
            </w:r>
          </w:p>
          <w:p w14:paraId="780A3CA4" w14:textId="77777777" w:rsidR="00883515" w:rsidRPr="004A1D4A" w:rsidRDefault="00883515" w:rsidP="00883515">
            <w:pPr>
              <w:numPr>
                <w:ilvl w:val="0"/>
                <w:numId w:val="24"/>
              </w:numPr>
              <w:ind w:left="799" w:hanging="357"/>
              <w:jc w:val="both"/>
              <w:rPr>
                <w:rFonts w:cs="Arial"/>
                <w:sz w:val="22"/>
                <w:szCs w:val="22"/>
              </w:rPr>
            </w:pPr>
            <w:r w:rsidRPr="004A1D4A">
              <w:rPr>
                <w:rFonts w:cs="Arial"/>
                <w:sz w:val="22"/>
                <w:szCs w:val="22"/>
              </w:rPr>
              <w:t>Secondees;</w:t>
            </w:r>
          </w:p>
          <w:p w14:paraId="3BC54ACD" w14:textId="77777777" w:rsidR="00883515" w:rsidRPr="004A1D4A" w:rsidRDefault="00883515" w:rsidP="00883515">
            <w:pPr>
              <w:numPr>
                <w:ilvl w:val="0"/>
                <w:numId w:val="24"/>
              </w:numPr>
              <w:ind w:left="799" w:hanging="357"/>
              <w:jc w:val="both"/>
              <w:rPr>
                <w:rFonts w:cs="Arial"/>
                <w:sz w:val="22"/>
                <w:szCs w:val="22"/>
              </w:rPr>
            </w:pPr>
            <w:r w:rsidRPr="004A1D4A">
              <w:rPr>
                <w:rFonts w:cs="Arial"/>
                <w:sz w:val="22"/>
                <w:szCs w:val="22"/>
              </w:rPr>
              <w:t>Agency workers;</w:t>
            </w:r>
          </w:p>
          <w:p w14:paraId="1AD3719E" w14:textId="77777777" w:rsidR="00883515" w:rsidRPr="004A1D4A" w:rsidRDefault="00883515" w:rsidP="00883515">
            <w:pPr>
              <w:numPr>
                <w:ilvl w:val="0"/>
                <w:numId w:val="24"/>
              </w:numPr>
              <w:ind w:left="799" w:hanging="357"/>
              <w:jc w:val="both"/>
              <w:rPr>
                <w:rFonts w:cs="Arial"/>
                <w:sz w:val="22"/>
                <w:szCs w:val="22"/>
              </w:rPr>
            </w:pPr>
            <w:r w:rsidRPr="004A1D4A">
              <w:rPr>
                <w:rFonts w:cs="Arial"/>
                <w:sz w:val="22"/>
                <w:szCs w:val="22"/>
              </w:rPr>
              <w:t>Those with honorary contracts;</w:t>
            </w:r>
          </w:p>
          <w:p w14:paraId="3CBA7764" w14:textId="77777777" w:rsidR="00883515" w:rsidRPr="004A1D4A" w:rsidRDefault="00883515" w:rsidP="00883515">
            <w:pPr>
              <w:numPr>
                <w:ilvl w:val="0"/>
                <w:numId w:val="24"/>
              </w:numPr>
              <w:ind w:left="799" w:hanging="357"/>
              <w:jc w:val="both"/>
              <w:rPr>
                <w:rFonts w:cs="Arial"/>
                <w:sz w:val="22"/>
                <w:szCs w:val="22"/>
              </w:rPr>
            </w:pPr>
            <w:r w:rsidRPr="004A1D4A">
              <w:rPr>
                <w:rFonts w:cs="Arial"/>
                <w:sz w:val="22"/>
                <w:szCs w:val="22"/>
              </w:rPr>
              <w:t>Those working in, or with bodies hosted by Public Health Wales;</w:t>
            </w:r>
          </w:p>
          <w:p w14:paraId="58830B9F" w14:textId="77777777" w:rsidR="00883515" w:rsidRPr="004A1D4A" w:rsidRDefault="00883515" w:rsidP="00883515">
            <w:pPr>
              <w:numPr>
                <w:ilvl w:val="0"/>
                <w:numId w:val="24"/>
              </w:numPr>
              <w:ind w:left="799" w:hanging="357"/>
              <w:jc w:val="both"/>
              <w:rPr>
                <w:rFonts w:cs="Arial"/>
                <w:sz w:val="22"/>
                <w:szCs w:val="22"/>
              </w:rPr>
            </w:pPr>
            <w:r w:rsidRPr="004A1D4A">
              <w:rPr>
                <w:rFonts w:cs="Arial"/>
                <w:sz w:val="22"/>
                <w:szCs w:val="22"/>
              </w:rPr>
              <w:t xml:space="preserve">Advisors to the Board, Committees and other decision making bodies. </w:t>
            </w:r>
          </w:p>
          <w:p w14:paraId="3661B9DD" w14:textId="77777777" w:rsidR="00883515" w:rsidRPr="004A1D4A" w:rsidRDefault="00883515" w:rsidP="00883515">
            <w:pPr>
              <w:jc w:val="both"/>
              <w:rPr>
                <w:rFonts w:cs="Arial"/>
                <w:sz w:val="22"/>
                <w:szCs w:val="22"/>
              </w:rPr>
            </w:pPr>
          </w:p>
          <w:p w14:paraId="207BD84D" w14:textId="5E242ABA" w:rsidR="00883515" w:rsidRPr="004A1D4A" w:rsidRDefault="00883515" w:rsidP="00883515">
            <w:pPr>
              <w:rPr>
                <w:b/>
                <w:sz w:val="22"/>
                <w:szCs w:val="22"/>
              </w:rPr>
            </w:pPr>
            <w:r w:rsidRPr="004A1D4A">
              <w:rPr>
                <w:rFonts w:cs="Arial"/>
                <w:sz w:val="22"/>
                <w:szCs w:val="22"/>
              </w:rPr>
              <w:t>For the purpose of this procedure, the term ‘all employees and Non-Executive Directors’ is used to cover the list above.</w:t>
            </w:r>
          </w:p>
        </w:tc>
      </w:tr>
    </w:tbl>
    <w:p w14:paraId="63029AA6" w14:textId="77777777" w:rsidR="00360828" w:rsidRPr="004A1D4A" w:rsidRDefault="00360828">
      <w:pPr>
        <w:rPr>
          <w:sz w:val="22"/>
          <w:szCs w:val="22"/>
        </w:rPr>
      </w:pPr>
      <w:r w:rsidRPr="004A1D4A">
        <w:rPr>
          <w:sz w:val="22"/>
          <w:szCs w:val="22"/>
        </w:rPr>
        <w:br w:type="page"/>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7"/>
      </w:tblGrid>
      <w:tr w:rsidR="004A1D4A" w:rsidRPr="004A1D4A" w14:paraId="1D1B2799" w14:textId="77777777" w:rsidTr="001A1533">
        <w:trPr>
          <w:jc w:val="center"/>
        </w:trPr>
        <w:tc>
          <w:tcPr>
            <w:tcW w:w="10467" w:type="dxa"/>
            <w:tcBorders>
              <w:bottom w:val="single" w:sz="4" w:space="0" w:color="auto"/>
            </w:tcBorders>
          </w:tcPr>
          <w:p w14:paraId="3535D72D" w14:textId="4979DC3B" w:rsidR="006615EB" w:rsidRPr="004A1D4A" w:rsidRDefault="006615EB" w:rsidP="005E087A">
            <w:pPr>
              <w:jc w:val="both"/>
              <w:rPr>
                <w:rFonts w:cs="Arial"/>
                <w:b/>
                <w:kern w:val="28"/>
                <w:sz w:val="22"/>
                <w:szCs w:val="22"/>
                <w:lang w:eastAsia="en-GB"/>
              </w:rPr>
            </w:pPr>
          </w:p>
          <w:p w14:paraId="7C81E240" w14:textId="02092DFC" w:rsidR="005E087A" w:rsidRPr="004A1D4A" w:rsidRDefault="005E087A" w:rsidP="005E087A">
            <w:pPr>
              <w:jc w:val="both"/>
              <w:rPr>
                <w:rFonts w:cs="Arial"/>
                <w:b/>
                <w:kern w:val="28"/>
                <w:sz w:val="22"/>
                <w:szCs w:val="22"/>
                <w:lang w:eastAsia="en-GB"/>
              </w:rPr>
            </w:pPr>
            <w:r w:rsidRPr="004A1D4A">
              <w:rPr>
                <w:rFonts w:cs="Arial"/>
                <w:b/>
                <w:kern w:val="28"/>
                <w:sz w:val="22"/>
                <w:szCs w:val="22"/>
                <w:lang w:eastAsia="en-GB"/>
              </w:rPr>
              <w:t>Chief Executive Statement in support of anti-bribery</w:t>
            </w:r>
          </w:p>
          <w:p w14:paraId="2039D3BA" w14:textId="77777777" w:rsidR="006615EB" w:rsidRPr="004A1D4A" w:rsidRDefault="006615EB" w:rsidP="005E087A">
            <w:pPr>
              <w:jc w:val="both"/>
              <w:rPr>
                <w:rFonts w:cs="Arial"/>
                <w:kern w:val="28"/>
                <w:sz w:val="22"/>
                <w:szCs w:val="22"/>
                <w:lang w:eastAsia="en-GB"/>
              </w:rPr>
            </w:pPr>
          </w:p>
          <w:p w14:paraId="113279A6" w14:textId="70D46BD6" w:rsidR="005E087A" w:rsidRPr="004A1D4A" w:rsidRDefault="008B583F" w:rsidP="005E087A">
            <w:pPr>
              <w:jc w:val="both"/>
              <w:rPr>
                <w:rFonts w:cs="Arial"/>
                <w:kern w:val="28"/>
                <w:sz w:val="22"/>
                <w:szCs w:val="22"/>
                <w:lang w:eastAsia="en-GB"/>
              </w:rPr>
            </w:pPr>
            <w:r w:rsidRPr="004A1D4A">
              <w:rPr>
                <w:b/>
                <w:noProof/>
                <w:sz w:val="22"/>
                <w:szCs w:val="22"/>
                <w:lang w:eastAsia="en-GB"/>
              </w:rPr>
              <w:drawing>
                <wp:anchor distT="0" distB="0" distL="114300" distR="114300" simplePos="0" relativeHeight="251663872" behindDoc="0" locked="0" layoutInCell="1" allowOverlap="1" wp14:anchorId="230D7450" wp14:editId="354C9309">
                  <wp:simplePos x="0" y="0"/>
                  <wp:positionH relativeFrom="column">
                    <wp:posOffset>4677410</wp:posOffset>
                  </wp:positionH>
                  <wp:positionV relativeFrom="paragraph">
                    <wp:posOffset>64135</wp:posOffset>
                  </wp:positionV>
                  <wp:extent cx="1494845" cy="1252179"/>
                  <wp:effectExtent l="0" t="0" r="0" b="0"/>
                  <wp:wrapSquare wrapText="bothSides"/>
                  <wp:docPr id="2" name="Picture 0" descr="Bribery 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bery Ac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4845" cy="1252179"/>
                          </a:xfrm>
                          <a:prstGeom prst="rect">
                            <a:avLst/>
                          </a:prstGeom>
                        </pic:spPr>
                      </pic:pic>
                    </a:graphicData>
                  </a:graphic>
                  <wp14:sizeRelH relativeFrom="page">
                    <wp14:pctWidth>0</wp14:pctWidth>
                  </wp14:sizeRelH>
                  <wp14:sizeRelV relativeFrom="page">
                    <wp14:pctHeight>0</wp14:pctHeight>
                  </wp14:sizeRelV>
                </wp:anchor>
              </w:drawing>
            </w:r>
            <w:r w:rsidR="005E087A" w:rsidRPr="004A1D4A">
              <w:rPr>
                <w:rFonts w:cs="Arial"/>
                <w:kern w:val="28"/>
                <w:sz w:val="22"/>
                <w:szCs w:val="22"/>
                <w:lang w:eastAsia="en-GB"/>
              </w:rPr>
              <w:t xml:space="preserve">Public Health Wales operates the highest standards of conduct and integrity and has a </w:t>
            </w:r>
            <w:r w:rsidR="005E087A" w:rsidRPr="004A1D4A">
              <w:rPr>
                <w:rFonts w:cs="Arial"/>
                <w:b/>
                <w:kern w:val="28"/>
                <w:sz w:val="22"/>
                <w:szCs w:val="22"/>
                <w:u w:val="single"/>
                <w:lang w:eastAsia="en-GB"/>
              </w:rPr>
              <w:t>zero tolerance</w:t>
            </w:r>
            <w:r w:rsidR="005E087A" w:rsidRPr="004A1D4A">
              <w:rPr>
                <w:rFonts w:cs="Arial"/>
                <w:b/>
                <w:kern w:val="28"/>
                <w:sz w:val="22"/>
                <w:szCs w:val="22"/>
                <w:lang w:eastAsia="en-GB"/>
              </w:rPr>
              <w:t xml:space="preserve"> </w:t>
            </w:r>
            <w:r w:rsidR="005E087A" w:rsidRPr="004A1D4A">
              <w:rPr>
                <w:rFonts w:cs="Arial"/>
                <w:kern w:val="28"/>
                <w:sz w:val="22"/>
                <w:szCs w:val="22"/>
                <w:lang w:eastAsia="en-GB"/>
              </w:rPr>
              <w:t>policy on bribery and corruption.</w:t>
            </w:r>
          </w:p>
          <w:p w14:paraId="58718EB3" w14:textId="77777777" w:rsidR="005E087A" w:rsidRPr="004A1D4A" w:rsidRDefault="005E087A" w:rsidP="005E087A">
            <w:pPr>
              <w:rPr>
                <w:sz w:val="22"/>
                <w:szCs w:val="22"/>
              </w:rPr>
            </w:pPr>
          </w:p>
          <w:p w14:paraId="177C481D" w14:textId="77777777" w:rsidR="005E087A" w:rsidRPr="004A1D4A" w:rsidRDefault="005E087A" w:rsidP="005E087A">
            <w:pPr>
              <w:jc w:val="both"/>
              <w:rPr>
                <w:rFonts w:cs="Arial"/>
                <w:bCs/>
                <w:iCs/>
                <w:kern w:val="28"/>
                <w:sz w:val="22"/>
                <w:szCs w:val="22"/>
                <w:lang w:eastAsia="en-GB"/>
              </w:rPr>
            </w:pPr>
            <w:r w:rsidRPr="004A1D4A">
              <w:rPr>
                <w:rFonts w:cs="Arial"/>
                <w:b/>
                <w:bCs/>
                <w:i/>
                <w:iCs/>
                <w:kern w:val="28"/>
                <w:sz w:val="22"/>
                <w:szCs w:val="22"/>
                <w:lang w:eastAsia="en-GB"/>
              </w:rPr>
              <w:t>The Bribery Act 2010</w:t>
            </w:r>
            <w:r w:rsidRPr="004A1D4A">
              <w:rPr>
                <w:rFonts w:cs="Arial"/>
                <w:bCs/>
                <w:iCs/>
                <w:kern w:val="28"/>
                <w:sz w:val="22"/>
                <w:szCs w:val="22"/>
                <w:lang w:eastAsia="en-GB"/>
              </w:rPr>
              <w:t xml:space="preserve"> makes it a criminal offence to “give, promise or offer a bribe and to request, agree to receive or accept a bribe either at home or abroad”. The maximum penalty for bribery is 10 years imprisonment, with an unlimited fine. </w:t>
            </w:r>
          </w:p>
          <w:p w14:paraId="15E74745" w14:textId="77777777" w:rsidR="005E087A" w:rsidRPr="004A1D4A" w:rsidRDefault="005E087A" w:rsidP="005E087A">
            <w:pPr>
              <w:jc w:val="both"/>
              <w:rPr>
                <w:rFonts w:cs="Arial"/>
                <w:bCs/>
                <w:iCs/>
                <w:kern w:val="28"/>
                <w:sz w:val="22"/>
                <w:szCs w:val="22"/>
                <w:lang w:eastAsia="en-GB"/>
              </w:rPr>
            </w:pPr>
          </w:p>
          <w:p w14:paraId="64A5E786" w14:textId="77777777" w:rsidR="005E087A" w:rsidRPr="004A1D4A" w:rsidRDefault="005E087A" w:rsidP="005E087A">
            <w:pPr>
              <w:jc w:val="both"/>
              <w:rPr>
                <w:rFonts w:cs="Arial"/>
                <w:bCs/>
                <w:iCs/>
                <w:kern w:val="28"/>
                <w:sz w:val="22"/>
                <w:szCs w:val="22"/>
                <w:lang w:eastAsia="en-GB"/>
              </w:rPr>
            </w:pPr>
            <w:r w:rsidRPr="004A1D4A">
              <w:rPr>
                <w:rFonts w:cs="Arial"/>
                <w:bCs/>
                <w:iCs/>
                <w:kern w:val="28"/>
                <w:sz w:val="22"/>
                <w:szCs w:val="22"/>
                <w:lang w:eastAsia="en-GB"/>
              </w:rPr>
              <w:t>This policy and the supporting procedure help to guard against the ‘corporate offence’ of failing to prevent bribery by the organisation through not having procedures in place. Public Health Wales may avoid conviction if it can show that it had such procedures in place.</w:t>
            </w:r>
          </w:p>
          <w:p w14:paraId="4BAFE821" w14:textId="77777777" w:rsidR="005E087A" w:rsidRPr="004A1D4A" w:rsidRDefault="005E087A" w:rsidP="005E087A">
            <w:pPr>
              <w:jc w:val="both"/>
              <w:rPr>
                <w:rFonts w:cs="Arial"/>
                <w:bCs/>
                <w:iCs/>
                <w:kern w:val="28"/>
                <w:sz w:val="22"/>
                <w:szCs w:val="22"/>
                <w:lang w:eastAsia="en-GB"/>
              </w:rPr>
            </w:pPr>
          </w:p>
          <w:p w14:paraId="36691BC5" w14:textId="77777777" w:rsidR="005E087A" w:rsidRPr="004A1D4A" w:rsidRDefault="005E087A" w:rsidP="005E087A">
            <w:pPr>
              <w:jc w:val="both"/>
              <w:rPr>
                <w:rFonts w:cs="Arial"/>
                <w:bCs/>
                <w:iCs/>
                <w:kern w:val="28"/>
                <w:sz w:val="22"/>
                <w:szCs w:val="22"/>
                <w:lang w:eastAsia="en-GB"/>
              </w:rPr>
            </w:pPr>
            <w:r w:rsidRPr="004A1D4A">
              <w:rPr>
                <w:rFonts w:cs="Arial"/>
                <w:bCs/>
                <w:iCs/>
                <w:kern w:val="28"/>
                <w:sz w:val="22"/>
                <w:szCs w:val="22"/>
                <w:lang w:eastAsia="en-GB"/>
              </w:rPr>
              <w:t>The ‘corporate offence’ is not a standalone offence, but always follows from a bribery and/or corruption offence committed by an individual associated with the organisation in question.</w:t>
            </w:r>
          </w:p>
          <w:p w14:paraId="795B2FFA" w14:textId="77777777" w:rsidR="005E087A" w:rsidRPr="004A1D4A" w:rsidRDefault="005E087A" w:rsidP="005E087A">
            <w:pPr>
              <w:jc w:val="both"/>
              <w:rPr>
                <w:rFonts w:cs="Arial"/>
                <w:kern w:val="28"/>
                <w:sz w:val="22"/>
                <w:szCs w:val="22"/>
                <w:lang w:eastAsia="en-GB"/>
              </w:rPr>
            </w:pPr>
          </w:p>
          <w:p w14:paraId="554C7629" w14:textId="77777777" w:rsidR="005865B6" w:rsidRPr="004A1D4A" w:rsidRDefault="005E087A" w:rsidP="005E087A">
            <w:pPr>
              <w:rPr>
                <w:rFonts w:cs="Arial"/>
                <w:kern w:val="28"/>
                <w:sz w:val="22"/>
                <w:szCs w:val="22"/>
                <w:lang w:eastAsia="en-GB"/>
              </w:rPr>
            </w:pPr>
            <w:r w:rsidRPr="004A1D4A">
              <w:rPr>
                <w:rFonts w:cs="Arial"/>
                <w:kern w:val="28"/>
                <w:sz w:val="22"/>
                <w:szCs w:val="22"/>
                <w:lang w:eastAsia="en-GB"/>
              </w:rPr>
              <w:t>Bribery does not have to involve cash or an actual payment exchanging hands and can take many forms such as a gift, lavish treatment during a business trip or tickets to an event.</w:t>
            </w:r>
          </w:p>
          <w:p w14:paraId="46D2B94A" w14:textId="0AAACB78" w:rsidR="001B4459" w:rsidRPr="004A1D4A" w:rsidRDefault="001B4459" w:rsidP="005E087A">
            <w:pPr>
              <w:rPr>
                <w:rFonts w:cs="Arial"/>
                <w:kern w:val="28"/>
                <w:sz w:val="22"/>
                <w:szCs w:val="22"/>
                <w:lang w:eastAsia="en-GB"/>
              </w:rPr>
            </w:pPr>
          </w:p>
        </w:tc>
      </w:tr>
      <w:tr w:rsidR="004A1D4A" w:rsidRPr="004A1D4A" w14:paraId="4EA20C62" w14:textId="77777777" w:rsidTr="001A1533">
        <w:trPr>
          <w:jc w:val="center"/>
        </w:trPr>
        <w:tc>
          <w:tcPr>
            <w:tcW w:w="10467" w:type="dxa"/>
            <w:tcBorders>
              <w:bottom w:val="single" w:sz="4" w:space="0" w:color="auto"/>
            </w:tcBorders>
          </w:tcPr>
          <w:p w14:paraId="6D6F9137" w14:textId="77777777" w:rsidR="006615EB" w:rsidRPr="004A1D4A" w:rsidRDefault="006615EB" w:rsidP="005E087A">
            <w:pPr>
              <w:rPr>
                <w:b/>
                <w:sz w:val="22"/>
                <w:szCs w:val="22"/>
              </w:rPr>
            </w:pPr>
          </w:p>
          <w:p w14:paraId="774BBA7A" w14:textId="6B3F10AC" w:rsidR="005E087A" w:rsidRPr="004A1D4A" w:rsidRDefault="005E087A" w:rsidP="005E087A">
            <w:pPr>
              <w:rPr>
                <w:b/>
                <w:sz w:val="22"/>
                <w:szCs w:val="22"/>
              </w:rPr>
            </w:pPr>
            <w:r w:rsidRPr="004A1D4A">
              <w:rPr>
                <w:b/>
                <w:sz w:val="22"/>
                <w:szCs w:val="22"/>
              </w:rPr>
              <w:t>Standards of behaviour</w:t>
            </w:r>
          </w:p>
          <w:p w14:paraId="424811F8" w14:textId="77777777" w:rsidR="006615EB" w:rsidRPr="004A1D4A" w:rsidRDefault="006615EB" w:rsidP="005E087A">
            <w:pPr>
              <w:rPr>
                <w:kern w:val="28"/>
                <w:sz w:val="22"/>
                <w:szCs w:val="22"/>
                <w:lang w:eastAsia="en-GB"/>
              </w:rPr>
            </w:pPr>
          </w:p>
          <w:p w14:paraId="73DDEDE0" w14:textId="061DDA30" w:rsidR="005E087A" w:rsidRPr="004A1D4A" w:rsidRDefault="005E087A" w:rsidP="005E087A">
            <w:pPr>
              <w:rPr>
                <w:kern w:val="28"/>
                <w:sz w:val="22"/>
                <w:szCs w:val="22"/>
                <w:lang w:eastAsia="en-GB"/>
              </w:rPr>
            </w:pPr>
            <w:r w:rsidRPr="004A1D4A">
              <w:rPr>
                <w:kern w:val="28"/>
                <w:sz w:val="22"/>
                <w:szCs w:val="22"/>
                <w:lang w:eastAsia="en-GB"/>
              </w:rPr>
              <w:t xml:space="preserve">The Welsh Government’s </w:t>
            </w:r>
            <w:r w:rsidRPr="004A1D4A">
              <w:rPr>
                <w:i/>
                <w:kern w:val="28"/>
                <w:sz w:val="22"/>
                <w:szCs w:val="22"/>
                <w:lang w:eastAsia="en-GB"/>
              </w:rPr>
              <w:t xml:space="preserve">Citizen-Centred Governance Principles </w:t>
            </w:r>
            <w:r w:rsidRPr="004A1D4A">
              <w:rPr>
                <w:kern w:val="28"/>
                <w:sz w:val="22"/>
                <w:szCs w:val="22"/>
                <w:lang w:eastAsia="en-GB"/>
              </w:rPr>
              <w:t>apply to all public bodies in Wales.  These principles integrate all aspects of governance and embody the values and standards of behaviour expected at all levels of public services in Wales.</w:t>
            </w:r>
          </w:p>
          <w:p w14:paraId="23FB8F3B" w14:textId="77777777" w:rsidR="005E087A" w:rsidRPr="004A1D4A" w:rsidRDefault="005E087A" w:rsidP="003F6570">
            <w:pPr>
              <w:jc w:val="center"/>
              <w:rPr>
                <w:kern w:val="28"/>
                <w:sz w:val="22"/>
                <w:szCs w:val="22"/>
                <w:lang w:eastAsia="en-GB"/>
              </w:rPr>
            </w:pPr>
          </w:p>
          <w:p w14:paraId="04B290CC" w14:textId="77777777" w:rsidR="005E087A" w:rsidRPr="004A1D4A" w:rsidRDefault="005E087A" w:rsidP="003F6570">
            <w:pPr>
              <w:jc w:val="center"/>
              <w:rPr>
                <w:b/>
                <w:kern w:val="28"/>
                <w:sz w:val="22"/>
                <w:szCs w:val="22"/>
                <w:lang w:eastAsia="en-GB"/>
              </w:rPr>
            </w:pPr>
            <w:r w:rsidRPr="004A1D4A">
              <w:rPr>
                <w:b/>
                <w:kern w:val="28"/>
                <w:sz w:val="22"/>
                <w:szCs w:val="22"/>
                <w:lang w:eastAsia="en-GB"/>
              </w:rPr>
              <w:t>“Public service values and associated behaviours are, and must be at the heart of the NHS in Wales.”</w:t>
            </w:r>
          </w:p>
          <w:p w14:paraId="516984BA" w14:textId="77777777" w:rsidR="005E087A" w:rsidRPr="004A1D4A" w:rsidRDefault="005E087A" w:rsidP="005E087A">
            <w:pPr>
              <w:rPr>
                <w:b/>
                <w:kern w:val="28"/>
                <w:sz w:val="22"/>
                <w:szCs w:val="22"/>
                <w:lang w:eastAsia="en-GB"/>
              </w:rPr>
            </w:pPr>
          </w:p>
          <w:p w14:paraId="5815AA43" w14:textId="1299A43A" w:rsidR="005E087A" w:rsidRPr="004A1D4A" w:rsidRDefault="005E087A" w:rsidP="005E087A">
            <w:pPr>
              <w:rPr>
                <w:kern w:val="28"/>
                <w:sz w:val="22"/>
                <w:szCs w:val="22"/>
                <w:lang w:eastAsia="en-GB"/>
              </w:rPr>
            </w:pPr>
            <w:r w:rsidRPr="004A1D4A">
              <w:rPr>
                <w:kern w:val="28"/>
                <w:sz w:val="22"/>
                <w:szCs w:val="22"/>
                <w:lang w:eastAsia="en-GB"/>
              </w:rPr>
              <w:t xml:space="preserve">The Board is strongly committed to Public Health Wales being value-driven, rooted in the </w:t>
            </w:r>
            <w:r w:rsidRPr="004A1D4A">
              <w:rPr>
                <w:i/>
                <w:kern w:val="28"/>
                <w:sz w:val="22"/>
                <w:szCs w:val="22"/>
                <w:lang w:eastAsia="en-GB"/>
              </w:rPr>
              <w:t>Seven Principles of Public Life</w:t>
            </w:r>
            <w:r w:rsidRPr="004A1D4A">
              <w:rPr>
                <w:kern w:val="28"/>
                <w:sz w:val="22"/>
                <w:szCs w:val="22"/>
                <w:lang w:eastAsia="en-GB"/>
              </w:rPr>
              <w:t xml:space="preserve">. The </w:t>
            </w:r>
            <w:r w:rsidRPr="004A1D4A">
              <w:rPr>
                <w:i/>
                <w:kern w:val="28"/>
                <w:sz w:val="22"/>
                <w:szCs w:val="22"/>
                <w:lang w:eastAsia="en-GB"/>
              </w:rPr>
              <w:t>Seven Principles of Public Life</w:t>
            </w:r>
            <w:r w:rsidRPr="004A1D4A">
              <w:rPr>
                <w:kern w:val="28"/>
                <w:sz w:val="22"/>
                <w:szCs w:val="22"/>
                <w:lang w:eastAsia="en-GB"/>
              </w:rPr>
              <w:t xml:space="preserve">, also known as </w:t>
            </w:r>
            <w:r w:rsidRPr="004A1D4A">
              <w:rPr>
                <w:i/>
                <w:kern w:val="28"/>
                <w:sz w:val="22"/>
                <w:szCs w:val="22"/>
                <w:lang w:eastAsia="en-GB"/>
              </w:rPr>
              <w:t>The Nolan Principles</w:t>
            </w:r>
            <w:r w:rsidRPr="004A1D4A">
              <w:rPr>
                <w:kern w:val="28"/>
                <w:sz w:val="22"/>
                <w:szCs w:val="22"/>
                <w:lang w:eastAsia="en-GB"/>
              </w:rPr>
              <w:t>, form the basis of Public Health Wales’ Standards of Behaviour requirements for its Board members and staff.</w:t>
            </w:r>
          </w:p>
          <w:p w14:paraId="6548859D" w14:textId="77777777" w:rsidR="00A061F7" w:rsidRPr="004A1D4A" w:rsidRDefault="00A061F7" w:rsidP="00A061F7">
            <w:pPr>
              <w:jc w:val="both"/>
              <w:rPr>
                <w:b/>
                <w:noProof/>
                <w:sz w:val="22"/>
                <w:szCs w:val="22"/>
                <w:lang w:eastAsia="en-GB"/>
              </w:rPr>
            </w:pPr>
          </w:p>
          <w:p w14:paraId="2A3AC8CE" w14:textId="77777777" w:rsidR="00A061F7" w:rsidRPr="004A1D4A" w:rsidRDefault="00A061F7" w:rsidP="00A061F7">
            <w:pPr>
              <w:jc w:val="both"/>
              <w:rPr>
                <w:kern w:val="28"/>
                <w:sz w:val="22"/>
                <w:szCs w:val="22"/>
                <w:lang w:eastAsia="en-GB"/>
              </w:rPr>
            </w:pPr>
            <w:r w:rsidRPr="004A1D4A">
              <w:rPr>
                <w:kern w:val="28"/>
                <w:sz w:val="22"/>
                <w:szCs w:val="22"/>
                <w:lang w:eastAsia="en-GB"/>
              </w:rPr>
              <w:t>The Board expects all employees and Non-Executive Directors to practice high standards of corporate and personal conduct, based on the recognition that the needs of Service Users must come first.</w:t>
            </w:r>
          </w:p>
          <w:p w14:paraId="2B3DF5ED" w14:textId="77777777" w:rsidR="00A061F7" w:rsidRPr="004A1D4A" w:rsidRDefault="00A061F7" w:rsidP="005E087A">
            <w:pPr>
              <w:rPr>
                <w:kern w:val="28"/>
                <w:sz w:val="22"/>
                <w:szCs w:val="22"/>
                <w:lang w:eastAsia="en-GB"/>
              </w:rPr>
            </w:pPr>
          </w:p>
          <w:p w14:paraId="2D2AEB36" w14:textId="77777777" w:rsidR="00A061F7" w:rsidRPr="004A1D4A" w:rsidRDefault="005E087A" w:rsidP="00A061F7">
            <w:pPr>
              <w:autoSpaceDE w:val="0"/>
              <w:autoSpaceDN w:val="0"/>
              <w:adjustRightInd w:val="0"/>
              <w:jc w:val="both"/>
              <w:rPr>
                <w:rFonts w:cs="Verdana"/>
                <w:sz w:val="22"/>
                <w:szCs w:val="22"/>
                <w:lang w:eastAsia="en-GB"/>
              </w:rPr>
            </w:pPr>
            <w:r w:rsidRPr="004A1D4A">
              <w:rPr>
                <w:kern w:val="28"/>
                <w:sz w:val="22"/>
                <w:szCs w:val="22"/>
                <w:lang w:eastAsia="en-GB"/>
              </w:rPr>
              <w:t xml:space="preserve">  </w:t>
            </w:r>
            <w:r w:rsidR="00A061F7" w:rsidRPr="004A1D4A">
              <w:rPr>
                <w:rFonts w:cs="Verdana"/>
                <w:sz w:val="22"/>
                <w:szCs w:val="22"/>
                <w:lang w:eastAsia="en-GB"/>
              </w:rPr>
              <w:t xml:space="preserve">Public Health Wales (PHW) has described its vision that underpin the way that services are provided and to support this, all employees must ensure that they carry out their roles with dedication and commitment to PHW and its core values. </w:t>
            </w:r>
          </w:p>
          <w:p w14:paraId="628E35B4" w14:textId="77777777" w:rsidR="00A061F7" w:rsidRPr="004A1D4A" w:rsidRDefault="00A061F7" w:rsidP="00A061F7">
            <w:pPr>
              <w:autoSpaceDE w:val="0"/>
              <w:autoSpaceDN w:val="0"/>
              <w:adjustRightInd w:val="0"/>
              <w:jc w:val="both"/>
              <w:rPr>
                <w:rFonts w:cs="Verdana"/>
                <w:sz w:val="22"/>
                <w:szCs w:val="22"/>
                <w:lang w:eastAsia="en-GB"/>
              </w:rPr>
            </w:pPr>
          </w:p>
          <w:p w14:paraId="04AF3859" w14:textId="2A7F363A" w:rsidR="00A061F7" w:rsidRPr="004A1D4A" w:rsidRDefault="00A061F7" w:rsidP="00A061F7">
            <w:pPr>
              <w:autoSpaceDE w:val="0"/>
              <w:autoSpaceDN w:val="0"/>
              <w:adjustRightInd w:val="0"/>
              <w:jc w:val="both"/>
              <w:rPr>
                <w:rFonts w:cs="Verdana"/>
                <w:sz w:val="22"/>
                <w:szCs w:val="22"/>
                <w:lang w:eastAsia="en-GB"/>
              </w:rPr>
            </w:pPr>
            <w:r w:rsidRPr="004A1D4A">
              <w:rPr>
                <w:rFonts w:cs="Verdana"/>
                <w:sz w:val="22"/>
                <w:szCs w:val="22"/>
                <w:lang w:eastAsia="en-GB"/>
              </w:rPr>
              <w:t xml:space="preserve">All staff must have the highest standards of corporate and personal conduct and behave in an exemplary manner based on the following </w:t>
            </w:r>
            <w:hyperlink r:id="rId13" w:history="1">
              <w:r w:rsidRPr="004A1D4A">
                <w:rPr>
                  <w:rStyle w:val="Hyperlink"/>
                  <w:rFonts w:cs="Verdana"/>
                  <w:color w:val="auto"/>
                  <w:sz w:val="22"/>
                  <w:szCs w:val="22"/>
                  <w:lang w:eastAsia="en-GB"/>
                </w:rPr>
                <w:t>Seven Principles of Public Life</w:t>
              </w:r>
            </w:hyperlink>
            <w:r w:rsidRPr="004A1D4A">
              <w:rPr>
                <w:rFonts w:cs="Verdana"/>
                <w:sz w:val="22"/>
                <w:szCs w:val="22"/>
                <w:lang w:eastAsia="en-GB"/>
              </w:rPr>
              <w:t xml:space="preserve">: </w:t>
            </w:r>
          </w:p>
          <w:p w14:paraId="1C9D055B" w14:textId="77777777" w:rsidR="00A061F7" w:rsidRPr="004A1D4A" w:rsidRDefault="00A061F7" w:rsidP="00A061F7">
            <w:pPr>
              <w:jc w:val="both"/>
              <w:rPr>
                <w:kern w:val="28"/>
                <w:sz w:val="22"/>
                <w:szCs w:val="22"/>
                <w:lang w:eastAsia="en-GB"/>
              </w:rPr>
            </w:pPr>
          </w:p>
          <w:p w14:paraId="24D35D80" w14:textId="77777777" w:rsidR="00A061F7" w:rsidRPr="004A1D4A" w:rsidRDefault="00A061F7" w:rsidP="00174090">
            <w:pPr>
              <w:tabs>
                <w:tab w:val="left" w:pos="2410"/>
              </w:tabs>
              <w:autoSpaceDE w:val="0"/>
              <w:autoSpaceDN w:val="0"/>
              <w:adjustRightInd w:val="0"/>
              <w:spacing w:before="120" w:after="120"/>
              <w:ind w:left="2410" w:hanging="2410"/>
              <w:jc w:val="both"/>
              <w:rPr>
                <w:rFonts w:cs="Verdana"/>
                <w:sz w:val="22"/>
                <w:szCs w:val="22"/>
                <w:lang w:eastAsia="en-GB"/>
              </w:rPr>
            </w:pPr>
            <w:r w:rsidRPr="004A1D4A">
              <w:rPr>
                <w:rFonts w:cs="Verdana"/>
                <w:b/>
                <w:bCs/>
                <w:sz w:val="22"/>
                <w:szCs w:val="22"/>
                <w:lang w:eastAsia="en-GB"/>
              </w:rPr>
              <w:t xml:space="preserve">Selflessness </w:t>
            </w:r>
            <w:r w:rsidRPr="004A1D4A">
              <w:rPr>
                <w:rFonts w:cs="Verdana"/>
                <w:sz w:val="22"/>
                <w:szCs w:val="22"/>
                <w:lang w:eastAsia="en-GB"/>
              </w:rPr>
              <w:t xml:space="preserve">– </w:t>
            </w:r>
            <w:r w:rsidRPr="004A1D4A">
              <w:rPr>
                <w:rFonts w:cs="Verdana"/>
                <w:sz w:val="22"/>
                <w:szCs w:val="22"/>
                <w:lang w:eastAsia="en-GB"/>
              </w:rPr>
              <w:tab/>
              <w:t xml:space="preserve">Individuals should act solely in terms of the public interest. They should not do so in order to gain financial or other benefits for themselves, their family or friends; </w:t>
            </w:r>
          </w:p>
          <w:p w14:paraId="0C1D0FBA" w14:textId="77777777" w:rsidR="00A061F7" w:rsidRPr="004A1D4A" w:rsidRDefault="00A061F7" w:rsidP="001B4459">
            <w:pPr>
              <w:tabs>
                <w:tab w:val="left" w:pos="2410"/>
              </w:tabs>
              <w:autoSpaceDE w:val="0"/>
              <w:autoSpaceDN w:val="0"/>
              <w:adjustRightInd w:val="0"/>
              <w:spacing w:before="120" w:after="120"/>
              <w:ind w:left="2410" w:hanging="2236"/>
              <w:jc w:val="both"/>
              <w:rPr>
                <w:rFonts w:cs="Verdana"/>
                <w:sz w:val="22"/>
                <w:szCs w:val="22"/>
                <w:lang w:eastAsia="en-GB"/>
              </w:rPr>
            </w:pPr>
            <w:r w:rsidRPr="004A1D4A">
              <w:rPr>
                <w:rFonts w:cs="Verdana"/>
                <w:b/>
                <w:bCs/>
                <w:sz w:val="22"/>
                <w:szCs w:val="22"/>
                <w:lang w:eastAsia="en-GB"/>
              </w:rPr>
              <w:lastRenderedPageBreak/>
              <w:t xml:space="preserve">Integrity </w:t>
            </w:r>
            <w:r w:rsidRPr="004A1D4A">
              <w:rPr>
                <w:rFonts w:cs="Verdana"/>
                <w:sz w:val="22"/>
                <w:szCs w:val="22"/>
                <w:lang w:eastAsia="en-GB"/>
              </w:rPr>
              <w:t xml:space="preserve">– </w:t>
            </w:r>
            <w:r w:rsidRPr="004A1D4A">
              <w:rPr>
                <w:rFonts w:cs="Verdana"/>
                <w:sz w:val="22"/>
                <w:szCs w:val="22"/>
                <w:lang w:eastAsia="en-GB"/>
              </w:rPr>
              <w:tab/>
              <w:t xml:space="preserve">Individuals should not place themselves under any financial or other obligation to outside individuals or organisations that might seek to influence them in the performance of their official duties; </w:t>
            </w:r>
          </w:p>
          <w:p w14:paraId="2514BC75" w14:textId="77777777" w:rsidR="00A061F7" w:rsidRPr="004A1D4A" w:rsidRDefault="00A061F7" w:rsidP="001B4459">
            <w:pPr>
              <w:tabs>
                <w:tab w:val="left" w:pos="2410"/>
              </w:tabs>
              <w:autoSpaceDE w:val="0"/>
              <w:autoSpaceDN w:val="0"/>
              <w:adjustRightInd w:val="0"/>
              <w:spacing w:before="120" w:after="120"/>
              <w:ind w:left="2410" w:hanging="2236"/>
              <w:jc w:val="both"/>
              <w:rPr>
                <w:rFonts w:cs="Verdana"/>
                <w:sz w:val="22"/>
                <w:szCs w:val="22"/>
                <w:lang w:eastAsia="en-GB"/>
              </w:rPr>
            </w:pPr>
            <w:r w:rsidRPr="004A1D4A">
              <w:rPr>
                <w:rFonts w:cs="Verdana"/>
                <w:b/>
                <w:bCs/>
                <w:sz w:val="22"/>
                <w:szCs w:val="22"/>
                <w:lang w:eastAsia="en-GB"/>
              </w:rPr>
              <w:t xml:space="preserve">Objectivity </w:t>
            </w:r>
            <w:r w:rsidRPr="004A1D4A">
              <w:rPr>
                <w:rFonts w:cs="Verdana"/>
                <w:sz w:val="22"/>
                <w:szCs w:val="22"/>
                <w:lang w:eastAsia="en-GB"/>
              </w:rPr>
              <w:t xml:space="preserve">– </w:t>
            </w:r>
            <w:r w:rsidRPr="004A1D4A">
              <w:rPr>
                <w:rFonts w:cs="Verdana"/>
                <w:sz w:val="22"/>
                <w:szCs w:val="22"/>
                <w:lang w:eastAsia="en-GB"/>
              </w:rPr>
              <w:tab/>
              <w:t xml:space="preserve">In carrying out public business, including making public appointments, awarding contracts, recommending individuals for rewards and benefits, choices should be made on merit; </w:t>
            </w:r>
          </w:p>
          <w:p w14:paraId="25A3F016" w14:textId="77777777" w:rsidR="00A061F7" w:rsidRPr="004A1D4A" w:rsidRDefault="00A061F7" w:rsidP="001B4459">
            <w:pPr>
              <w:tabs>
                <w:tab w:val="left" w:pos="2410"/>
              </w:tabs>
              <w:autoSpaceDE w:val="0"/>
              <w:autoSpaceDN w:val="0"/>
              <w:adjustRightInd w:val="0"/>
              <w:spacing w:before="120" w:after="120"/>
              <w:ind w:left="2410" w:hanging="2236"/>
              <w:jc w:val="both"/>
              <w:rPr>
                <w:rFonts w:cs="Verdana"/>
                <w:sz w:val="22"/>
                <w:szCs w:val="22"/>
                <w:lang w:eastAsia="en-GB"/>
              </w:rPr>
            </w:pPr>
            <w:r w:rsidRPr="004A1D4A">
              <w:rPr>
                <w:rFonts w:cs="Verdana"/>
                <w:b/>
                <w:bCs/>
                <w:sz w:val="22"/>
                <w:szCs w:val="22"/>
                <w:lang w:eastAsia="en-GB"/>
              </w:rPr>
              <w:t xml:space="preserve">Accountability </w:t>
            </w:r>
            <w:r w:rsidRPr="004A1D4A">
              <w:rPr>
                <w:rFonts w:cs="Verdana"/>
                <w:sz w:val="22"/>
                <w:szCs w:val="22"/>
                <w:lang w:eastAsia="en-GB"/>
              </w:rPr>
              <w:t xml:space="preserve">– </w:t>
            </w:r>
            <w:r w:rsidRPr="004A1D4A">
              <w:rPr>
                <w:rFonts w:cs="Verdana"/>
                <w:sz w:val="22"/>
                <w:szCs w:val="22"/>
                <w:lang w:eastAsia="en-GB"/>
              </w:rPr>
              <w:tab/>
              <w:t xml:space="preserve">Individuals are accountable for their decisions and actions to the public and must submit themselves to whatever scrutiny is appropriate for their position; </w:t>
            </w:r>
          </w:p>
          <w:p w14:paraId="775C2CFE" w14:textId="77777777" w:rsidR="00A061F7" w:rsidRPr="004A1D4A" w:rsidRDefault="00A061F7" w:rsidP="001B4459">
            <w:pPr>
              <w:tabs>
                <w:tab w:val="left" w:pos="2410"/>
              </w:tabs>
              <w:autoSpaceDE w:val="0"/>
              <w:autoSpaceDN w:val="0"/>
              <w:adjustRightInd w:val="0"/>
              <w:spacing w:before="120" w:after="120"/>
              <w:ind w:left="2410" w:hanging="2236"/>
              <w:jc w:val="both"/>
              <w:rPr>
                <w:rFonts w:cs="Verdana"/>
                <w:sz w:val="22"/>
                <w:szCs w:val="22"/>
                <w:lang w:eastAsia="en-GB"/>
              </w:rPr>
            </w:pPr>
            <w:r w:rsidRPr="004A1D4A">
              <w:rPr>
                <w:rFonts w:cs="Verdana"/>
                <w:b/>
                <w:bCs/>
                <w:sz w:val="22"/>
                <w:szCs w:val="22"/>
                <w:lang w:eastAsia="en-GB"/>
              </w:rPr>
              <w:t xml:space="preserve">Openness </w:t>
            </w:r>
            <w:r w:rsidRPr="004A1D4A">
              <w:rPr>
                <w:rFonts w:cs="Verdana"/>
                <w:sz w:val="22"/>
                <w:szCs w:val="22"/>
                <w:lang w:eastAsia="en-GB"/>
              </w:rPr>
              <w:t xml:space="preserve">– </w:t>
            </w:r>
            <w:r w:rsidRPr="004A1D4A">
              <w:rPr>
                <w:rFonts w:cs="Verdana"/>
                <w:sz w:val="22"/>
                <w:szCs w:val="22"/>
                <w:lang w:eastAsia="en-GB"/>
              </w:rPr>
              <w:tab/>
              <w:t xml:space="preserve">Individuals should be as open as possible about all the decisions and actions they take. They should give reasons for their decisions and restrict information only when the wider public interest clearly demands it; </w:t>
            </w:r>
          </w:p>
          <w:p w14:paraId="28CC974F" w14:textId="77777777" w:rsidR="00A061F7" w:rsidRPr="004A1D4A" w:rsidRDefault="00A061F7" w:rsidP="001B4459">
            <w:pPr>
              <w:tabs>
                <w:tab w:val="left" w:pos="2410"/>
              </w:tabs>
              <w:autoSpaceDE w:val="0"/>
              <w:autoSpaceDN w:val="0"/>
              <w:adjustRightInd w:val="0"/>
              <w:spacing w:before="120" w:after="120"/>
              <w:ind w:left="2410" w:hanging="2236"/>
              <w:jc w:val="both"/>
              <w:rPr>
                <w:rFonts w:cs="Verdana"/>
                <w:sz w:val="22"/>
                <w:szCs w:val="22"/>
                <w:lang w:eastAsia="en-GB"/>
              </w:rPr>
            </w:pPr>
            <w:r w:rsidRPr="004A1D4A">
              <w:rPr>
                <w:rFonts w:cs="Verdana"/>
                <w:b/>
                <w:sz w:val="22"/>
                <w:szCs w:val="22"/>
                <w:lang w:eastAsia="en-GB"/>
              </w:rPr>
              <w:t>Honesty –</w:t>
            </w:r>
            <w:r w:rsidRPr="004A1D4A">
              <w:rPr>
                <w:rFonts w:cs="Verdana"/>
                <w:sz w:val="22"/>
                <w:szCs w:val="22"/>
                <w:lang w:eastAsia="en-GB"/>
              </w:rPr>
              <w:t xml:space="preserve"> </w:t>
            </w:r>
            <w:r w:rsidRPr="004A1D4A">
              <w:rPr>
                <w:rFonts w:cs="Verdana"/>
                <w:sz w:val="22"/>
                <w:szCs w:val="22"/>
                <w:lang w:eastAsia="en-GB"/>
              </w:rPr>
              <w:tab/>
              <w:t xml:space="preserve">Individuals have a duty to declare any private interests relating to their duties and to take steps to resolve any conflicts arising in a way that protects the public interest, and; </w:t>
            </w:r>
          </w:p>
          <w:p w14:paraId="566BCBF0" w14:textId="77777777" w:rsidR="00A061F7" w:rsidRPr="004A1D4A" w:rsidRDefault="00A061F7" w:rsidP="001B4459">
            <w:pPr>
              <w:tabs>
                <w:tab w:val="left" w:pos="2410"/>
              </w:tabs>
              <w:autoSpaceDE w:val="0"/>
              <w:autoSpaceDN w:val="0"/>
              <w:adjustRightInd w:val="0"/>
              <w:spacing w:before="120" w:after="120"/>
              <w:ind w:left="2410" w:hanging="2236"/>
              <w:jc w:val="both"/>
              <w:rPr>
                <w:rFonts w:cs="Verdana"/>
                <w:sz w:val="22"/>
                <w:szCs w:val="22"/>
                <w:lang w:eastAsia="en-GB"/>
              </w:rPr>
            </w:pPr>
            <w:r w:rsidRPr="004A1D4A">
              <w:rPr>
                <w:rFonts w:cs="Verdana"/>
                <w:b/>
                <w:sz w:val="22"/>
                <w:szCs w:val="22"/>
                <w:lang w:eastAsia="en-GB"/>
              </w:rPr>
              <w:t xml:space="preserve">Leadership </w:t>
            </w:r>
            <w:r w:rsidRPr="004A1D4A">
              <w:rPr>
                <w:rFonts w:cs="Verdana"/>
                <w:sz w:val="22"/>
                <w:szCs w:val="22"/>
                <w:lang w:eastAsia="en-GB"/>
              </w:rPr>
              <w:t xml:space="preserve">– </w:t>
            </w:r>
            <w:r w:rsidRPr="004A1D4A">
              <w:rPr>
                <w:rFonts w:cs="Verdana"/>
                <w:sz w:val="22"/>
                <w:szCs w:val="22"/>
                <w:lang w:eastAsia="en-GB"/>
              </w:rPr>
              <w:tab/>
              <w:t xml:space="preserve">Individuals should promote and support these principles by leadership and example. </w:t>
            </w:r>
          </w:p>
          <w:p w14:paraId="007BA263" w14:textId="77777777" w:rsidR="00A061F7" w:rsidRPr="004A1D4A" w:rsidRDefault="00A061F7" w:rsidP="00A061F7">
            <w:pPr>
              <w:autoSpaceDE w:val="0"/>
              <w:autoSpaceDN w:val="0"/>
              <w:adjustRightInd w:val="0"/>
              <w:jc w:val="both"/>
              <w:rPr>
                <w:rFonts w:cs="Verdana"/>
                <w:sz w:val="22"/>
                <w:szCs w:val="22"/>
                <w:lang w:eastAsia="en-GB"/>
              </w:rPr>
            </w:pPr>
          </w:p>
          <w:p w14:paraId="22116E88" w14:textId="019230FD" w:rsidR="00A061F7" w:rsidRPr="004A1D4A" w:rsidRDefault="00A061F7" w:rsidP="00A061F7">
            <w:pPr>
              <w:autoSpaceDE w:val="0"/>
              <w:autoSpaceDN w:val="0"/>
              <w:adjustRightInd w:val="0"/>
              <w:jc w:val="both"/>
              <w:rPr>
                <w:rFonts w:cs="Verdana"/>
                <w:sz w:val="22"/>
                <w:szCs w:val="22"/>
                <w:lang w:eastAsia="en-GB"/>
              </w:rPr>
            </w:pPr>
            <w:r w:rsidRPr="004A1D4A">
              <w:rPr>
                <w:rFonts w:cs="Verdana"/>
                <w:sz w:val="22"/>
                <w:szCs w:val="22"/>
                <w:lang w:eastAsia="en-GB"/>
              </w:rPr>
              <w:t xml:space="preserve">To uphold these principles you must:- </w:t>
            </w:r>
          </w:p>
          <w:p w14:paraId="11CA2496" w14:textId="77777777" w:rsidR="00A061F7" w:rsidRPr="004A1D4A" w:rsidRDefault="00A061F7" w:rsidP="00174090">
            <w:pPr>
              <w:pStyle w:val="ListParagraph"/>
              <w:numPr>
                <w:ilvl w:val="0"/>
                <w:numId w:val="37"/>
              </w:numPr>
              <w:autoSpaceDE w:val="0"/>
              <w:autoSpaceDN w:val="0"/>
              <w:adjustRightInd w:val="0"/>
              <w:contextualSpacing w:val="0"/>
              <w:jc w:val="both"/>
              <w:rPr>
                <w:rFonts w:cs="Verdana"/>
                <w:sz w:val="22"/>
                <w:szCs w:val="22"/>
                <w:lang w:eastAsia="en-GB"/>
              </w:rPr>
            </w:pPr>
            <w:r w:rsidRPr="004A1D4A">
              <w:rPr>
                <w:rFonts w:cs="Verdana"/>
                <w:sz w:val="22"/>
                <w:szCs w:val="22"/>
                <w:lang w:eastAsia="en-GB"/>
              </w:rPr>
              <w:t xml:space="preserve">Ensure that the interests of patients and the public remain paramount; </w:t>
            </w:r>
          </w:p>
          <w:p w14:paraId="12EA50EB" w14:textId="77777777" w:rsidR="00A061F7" w:rsidRPr="004A1D4A" w:rsidRDefault="00A061F7" w:rsidP="00174090">
            <w:pPr>
              <w:pStyle w:val="ListParagraph"/>
              <w:numPr>
                <w:ilvl w:val="0"/>
                <w:numId w:val="37"/>
              </w:numPr>
              <w:autoSpaceDE w:val="0"/>
              <w:autoSpaceDN w:val="0"/>
              <w:adjustRightInd w:val="0"/>
              <w:contextualSpacing w:val="0"/>
              <w:jc w:val="both"/>
              <w:rPr>
                <w:rFonts w:cs="Verdana"/>
                <w:sz w:val="22"/>
                <w:szCs w:val="22"/>
                <w:lang w:eastAsia="en-GB"/>
              </w:rPr>
            </w:pPr>
            <w:r w:rsidRPr="004A1D4A">
              <w:rPr>
                <w:rFonts w:cs="Verdana"/>
                <w:sz w:val="22"/>
                <w:szCs w:val="22"/>
                <w:lang w:eastAsia="en-GB"/>
              </w:rPr>
              <w:t xml:space="preserve">Be impartial and honest in the conduct of your official business; </w:t>
            </w:r>
          </w:p>
          <w:p w14:paraId="422F0EF7" w14:textId="77777777" w:rsidR="00A061F7" w:rsidRPr="004A1D4A" w:rsidRDefault="00A061F7" w:rsidP="00174090">
            <w:pPr>
              <w:pStyle w:val="ListParagraph"/>
              <w:numPr>
                <w:ilvl w:val="0"/>
                <w:numId w:val="37"/>
              </w:numPr>
              <w:autoSpaceDE w:val="0"/>
              <w:autoSpaceDN w:val="0"/>
              <w:adjustRightInd w:val="0"/>
              <w:contextualSpacing w:val="0"/>
              <w:jc w:val="both"/>
              <w:rPr>
                <w:rFonts w:cs="Verdana"/>
                <w:sz w:val="22"/>
                <w:szCs w:val="22"/>
                <w:lang w:eastAsia="en-GB"/>
              </w:rPr>
            </w:pPr>
            <w:r w:rsidRPr="004A1D4A">
              <w:rPr>
                <w:rFonts w:cs="Verdana"/>
                <w:sz w:val="22"/>
                <w:szCs w:val="22"/>
                <w:lang w:eastAsia="en-GB"/>
              </w:rPr>
              <w:t xml:space="preserve">Use NHS resources to the best advantage of the service and the patients, always seeking to ensure value for money; </w:t>
            </w:r>
          </w:p>
          <w:p w14:paraId="225DF5C8" w14:textId="77777777" w:rsidR="00A061F7" w:rsidRPr="004A1D4A" w:rsidRDefault="00A061F7" w:rsidP="00174090">
            <w:pPr>
              <w:pStyle w:val="ListParagraph"/>
              <w:numPr>
                <w:ilvl w:val="0"/>
                <w:numId w:val="37"/>
              </w:numPr>
              <w:autoSpaceDE w:val="0"/>
              <w:autoSpaceDN w:val="0"/>
              <w:adjustRightInd w:val="0"/>
              <w:contextualSpacing w:val="0"/>
              <w:jc w:val="both"/>
              <w:rPr>
                <w:rFonts w:cs="Verdana"/>
                <w:sz w:val="22"/>
                <w:szCs w:val="22"/>
                <w:lang w:eastAsia="en-GB"/>
              </w:rPr>
            </w:pPr>
            <w:r w:rsidRPr="004A1D4A">
              <w:rPr>
                <w:rFonts w:cs="Verdana"/>
                <w:sz w:val="22"/>
                <w:szCs w:val="22"/>
                <w:lang w:eastAsia="en-GB"/>
              </w:rPr>
              <w:t xml:space="preserve">Not abuse your official position for personal gain or to benefit your family or friends; </w:t>
            </w:r>
          </w:p>
          <w:p w14:paraId="09AAC5F0" w14:textId="77777777" w:rsidR="00A061F7" w:rsidRPr="004A1D4A" w:rsidRDefault="00A061F7" w:rsidP="00174090">
            <w:pPr>
              <w:pStyle w:val="ListParagraph"/>
              <w:numPr>
                <w:ilvl w:val="0"/>
                <w:numId w:val="37"/>
              </w:numPr>
              <w:autoSpaceDE w:val="0"/>
              <w:autoSpaceDN w:val="0"/>
              <w:adjustRightInd w:val="0"/>
              <w:contextualSpacing w:val="0"/>
              <w:jc w:val="both"/>
              <w:rPr>
                <w:rFonts w:cs="Verdana"/>
                <w:sz w:val="22"/>
                <w:szCs w:val="22"/>
                <w:lang w:eastAsia="en-GB"/>
              </w:rPr>
            </w:pPr>
            <w:r w:rsidRPr="004A1D4A">
              <w:rPr>
                <w:rFonts w:cs="Verdana"/>
                <w:sz w:val="22"/>
                <w:szCs w:val="22"/>
                <w:lang w:eastAsia="en-GB"/>
              </w:rPr>
              <w:t xml:space="preserve">Not seek advantage or to further private business or other interests in the course of your official duties, and; </w:t>
            </w:r>
          </w:p>
          <w:p w14:paraId="77783837" w14:textId="77777777" w:rsidR="00A061F7" w:rsidRPr="004A1D4A" w:rsidRDefault="00A061F7" w:rsidP="00174090">
            <w:pPr>
              <w:pStyle w:val="ListParagraph"/>
              <w:numPr>
                <w:ilvl w:val="0"/>
                <w:numId w:val="37"/>
              </w:numPr>
              <w:autoSpaceDE w:val="0"/>
              <w:autoSpaceDN w:val="0"/>
              <w:adjustRightInd w:val="0"/>
              <w:ind w:left="714" w:hanging="357"/>
              <w:contextualSpacing w:val="0"/>
              <w:rPr>
                <w:rFonts w:cs="Verdana"/>
                <w:sz w:val="22"/>
                <w:szCs w:val="22"/>
                <w:lang w:eastAsia="en-GB"/>
              </w:rPr>
            </w:pPr>
            <w:r w:rsidRPr="004A1D4A">
              <w:rPr>
                <w:rFonts w:cs="Verdana"/>
                <w:sz w:val="22"/>
                <w:szCs w:val="22"/>
                <w:lang w:eastAsia="en-GB"/>
              </w:rPr>
              <w:t xml:space="preserve">Not seek or knowingly accept, preferential rates or benefits in kind for private transactions carried out with companies, with which they have had, or may have, official dealings on behalf of PHW. </w:t>
            </w:r>
          </w:p>
          <w:p w14:paraId="5A118061" w14:textId="77777777" w:rsidR="00A061F7" w:rsidRPr="004A1D4A" w:rsidRDefault="00A061F7" w:rsidP="00A061F7">
            <w:pPr>
              <w:autoSpaceDE w:val="0"/>
              <w:autoSpaceDN w:val="0"/>
              <w:adjustRightInd w:val="0"/>
              <w:rPr>
                <w:rFonts w:cs="Verdana"/>
                <w:sz w:val="22"/>
                <w:szCs w:val="22"/>
                <w:lang w:eastAsia="en-GB"/>
              </w:rPr>
            </w:pPr>
          </w:p>
          <w:p w14:paraId="6C76E061" w14:textId="51C94EEF" w:rsidR="00A061F7" w:rsidRPr="004A1D4A" w:rsidRDefault="00A061F7" w:rsidP="00A061F7">
            <w:pPr>
              <w:jc w:val="both"/>
              <w:rPr>
                <w:rFonts w:cs="Verdana"/>
                <w:sz w:val="22"/>
                <w:szCs w:val="22"/>
                <w:lang w:eastAsia="en-GB"/>
              </w:rPr>
            </w:pPr>
            <w:r w:rsidRPr="004A1D4A">
              <w:rPr>
                <w:rFonts w:cs="Verdana"/>
                <w:sz w:val="22"/>
                <w:szCs w:val="22"/>
                <w:lang w:eastAsia="en-GB"/>
              </w:rPr>
              <w:t xml:space="preserve">The </w:t>
            </w:r>
            <w:hyperlink r:id="rId14" w:history="1">
              <w:r w:rsidRPr="004A1D4A">
                <w:rPr>
                  <w:rStyle w:val="Hyperlink"/>
                  <w:rFonts w:cs="Verdana"/>
                  <w:color w:val="auto"/>
                  <w:sz w:val="22"/>
                  <w:szCs w:val="22"/>
                  <w:lang w:eastAsia="en-GB"/>
                </w:rPr>
                <w:t>Standards of Behaviour Policy</w:t>
              </w:r>
            </w:hyperlink>
            <w:r w:rsidRPr="004A1D4A">
              <w:rPr>
                <w:rFonts w:cs="Verdana"/>
                <w:sz w:val="22"/>
                <w:szCs w:val="22"/>
                <w:lang w:eastAsia="en-GB"/>
              </w:rPr>
              <w:t xml:space="preserve"> (PHW-05) and the </w:t>
            </w:r>
            <w:hyperlink r:id="rId15" w:history="1">
              <w:r w:rsidRPr="004A1D4A">
                <w:rPr>
                  <w:rStyle w:val="Hyperlink"/>
                  <w:rFonts w:cs="Verdana"/>
                  <w:color w:val="auto"/>
                  <w:sz w:val="22"/>
                  <w:szCs w:val="22"/>
                  <w:lang w:eastAsia="en-GB"/>
                </w:rPr>
                <w:t>Declarations of Interest, Gifts, Hospitality, Honoraria and Sponsorship Procedure</w:t>
              </w:r>
            </w:hyperlink>
            <w:r w:rsidRPr="004A1D4A">
              <w:rPr>
                <w:rFonts w:cs="Verdana"/>
                <w:sz w:val="22"/>
                <w:szCs w:val="22"/>
                <w:lang w:eastAsia="en-GB"/>
              </w:rPr>
              <w:t xml:space="preserve"> (PHW-05-TP01) outlines the arrangements within PHW to ensure that staff comply with these requirements, including recording and declaring potential conflicts of interest and handling of gifts, hospitality and sponsorship (even if these are declined). </w:t>
            </w:r>
          </w:p>
          <w:p w14:paraId="278ACC98" w14:textId="77777777" w:rsidR="00A061F7" w:rsidRPr="004A1D4A" w:rsidRDefault="00A061F7" w:rsidP="00A061F7">
            <w:pPr>
              <w:jc w:val="both"/>
              <w:rPr>
                <w:rFonts w:cs="Verdana"/>
                <w:sz w:val="22"/>
                <w:szCs w:val="22"/>
                <w:lang w:eastAsia="en-GB"/>
              </w:rPr>
            </w:pPr>
          </w:p>
          <w:p w14:paraId="12D7B7AB" w14:textId="17BFB32A" w:rsidR="00A061F7" w:rsidRPr="004A1D4A" w:rsidRDefault="00A061F7" w:rsidP="00A061F7">
            <w:pPr>
              <w:autoSpaceDE w:val="0"/>
              <w:autoSpaceDN w:val="0"/>
              <w:adjustRightInd w:val="0"/>
              <w:jc w:val="both"/>
              <w:rPr>
                <w:rFonts w:cs="Verdana"/>
                <w:sz w:val="22"/>
                <w:szCs w:val="22"/>
                <w:lang w:eastAsia="en-GB"/>
              </w:rPr>
            </w:pPr>
            <w:r w:rsidRPr="004A1D4A">
              <w:rPr>
                <w:rFonts w:cs="Verdana"/>
                <w:sz w:val="22"/>
                <w:szCs w:val="22"/>
                <w:lang w:eastAsia="en-GB"/>
              </w:rPr>
              <w:t xml:space="preserve">It is your responsibility to ensure that you are familiar with the requirements of </w:t>
            </w:r>
            <w:r w:rsidR="00174090" w:rsidRPr="004A1D4A">
              <w:rPr>
                <w:rFonts w:cs="Verdana"/>
                <w:sz w:val="22"/>
                <w:szCs w:val="22"/>
                <w:lang w:eastAsia="en-GB"/>
              </w:rPr>
              <w:t>this</w:t>
            </w:r>
            <w:r w:rsidRPr="004A1D4A">
              <w:rPr>
                <w:rFonts w:cs="Verdana"/>
                <w:sz w:val="22"/>
                <w:szCs w:val="22"/>
                <w:lang w:eastAsia="en-GB"/>
              </w:rPr>
              <w:t xml:space="preserve"> Policy and </w:t>
            </w:r>
            <w:r w:rsidR="00174090" w:rsidRPr="004A1D4A">
              <w:rPr>
                <w:rFonts w:cs="Verdana"/>
                <w:sz w:val="22"/>
                <w:szCs w:val="22"/>
                <w:lang w:eastAsia="en-GB"/>
              </w:rPr>
              <w:t xml:space="preserve">the </w:t>
            </w:r>
            <w:r w:rsidRPr="004A1D4A">
              <w:rPr>
                <w:rFonts w:cs="Verdana"/>
                <w:sz w:val="22"/>
                <w:szCs w:val="22"/>
                <w:lang w:eastAsia="en-GB"/>
              </w:rPr>
              <w:t>supporting guidance</w:t>
            </w:r>
            <w:r w:rsidR="00174090" w:rsidRPr="004A1D4A">
              <w:rPr>
                <w:rFonts w:cs="Verdana"/>
                <w:sz w:val="22"/>
                <w:szCs w:val="22"/>
                <w:lang w:eastAsia="en-GB"/>
              </w:rPr>
              <w:t xml:space="preserve"> documents</w:t>
            </w:r>
            <w:r w:rsidRPr="004A1D4A">
              <w:rPr>
                <w:rFonts w:cs="Verdana"/>
                <w:sz w:val="22"/>
                <w:szCs w:val="22"/>
                <w:lang w:eastAsia="en-GB"/>
              </w:rPr>
              <w:t xml:space="preserve">. The relevance of this information will vary depending on your role within PHW and your interests outside of your employment.  If you need any further guidance please contact the </w:t>
            </w:r>
            <w:hyperlink r:id="rId16" w:history="1">
              <w:r w:rsidRPr="004A1D4A">
                <w:rPr>
                  <w:rStyle w:val="Hyperlink"/>
                  <w:rFonts w:cs="Verdana"/>
                  <w:color w:val="auto"/>
                  <w:sz w:val="22"/>
                  <w:szCs w:val="22"/>
                  <w:lang w:eastAsia="en-GB"/>
                </w:rPr>
                <w:t>Board Secretary.</w:t>
              </w:r>
            </w:hyperlink>
          </w:p>
          <w:p w14:paraId="78ADC36E" w14:textId="77777777" w:rsidR="00A061F7" w:rsidRPr="004A1D4A" w:rsidRDefault="00A061F7" w:rsidP="00A061F7">
            <w:pPr>
              <w:autoSpaceDE w:val="0"/>
              <w:autoSpaceDN w:val="0"/>
              <w:adjustRightInd w:val="0"/>
              <w:rPr>
                <w:rFonts w:cs="Verdana"/>
                <w:sz w:val="22"/>
                <w:szCs w:val="22"/>
                <w:lang w:eastAsia="en-GB"/>
              </w:rPr>
            </w:pPr>
          </w:p>
          <w:p w14:paraId="3D2F4886"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 xml:space="preserve">In summary:- </w:t>
            </w:r>
          </w:p>
          <w:p w14:paraId="59FE165E" w14:textId="77777777" w:rsidR="00A061F7" w:rsidRPr="004A1D4A" w:rsidRDefault="00A061F7" w:rsidP="00A061F7">
            <w:pPr>
              <w:autoSpaceDE w:val="0"/>
              <w:autoSpaceDN w:val="0"/>
              <w:adjustRightInd w:val="0"/>
              <w:rPr>
                <w:rFonts w:cs="Verdana"/>
                <w:sz w:val="22"/>
                <w:szCs w:val="22"/>
                <w:lang w:eastAsia="en-GB"/>
              </w:rPr>
            </w:pPr>
          </w:p>
          <w:tbl>
            <w:tblPr>
              <w:tblStyle w:val="TableGrid"/>
              <w:tblW w:w="0" w:type="auto"/>
              <w:tblLayout w:type="fixed"/>
              <w:tblLook w:val="04A0" w:firstRow="1" w:lastRow="0" w:firstColumn="1" w:lastColumn="0" w:noHBand="0" w:noVBand="1"/>
            </w:tblPr>
            <w:tblGrid>
              <w:gridCol w:w="988"/>
              <w:gridCol w:w="9239"/>
            </w:tblGrid>
            <w:tr w:rsidR="004A1D4A" w:rsidRPr="004A1D4A" w14:paraId="5EC1F3CA" w14:textId="77777777" w:rsidTr="00174090">
              <w:tc>
                <w:tcPr>
                  <w:tcW w:w="988" w:type="dxa"/>
                  <w:vMerge w:val="restart"/>
                  <w:shd w:val="clear" w:color="auto" w:fill="C6D9F1" w:themeFill="text2" w:themeFillTint="33"/>
                  <w:vAlign w:val="center"/>
                </w:tcPr>
                <w:p w14:paraId="03ACFE40" w14:textId="3CBE93D9" w:rsidR="00A061F7" w:rsidRPr="004A1D4A" w:rsidRDefault="00A061F7" w:rsidP="00C57FD5">
                  <w:pPr>
                    <w:autoSpaceDE w:val="0"/>
                    <w:autoSpaceDN w:val="0"/>
                    <w:adjustRightInd w:val="0"/>
                    <w:jc w:val="center"/>
                    <w:rPr>
                      <w:rFonts w:cs="Verdana"/>
                      <w:b/>
                      <w:bCs/>
                      <w:sz w:val="22"/>
                      <w:szCs w:val="22"/>
                      <w:lang w:eastAsia="en-GB"/>
                    </w:rPr>
                  </w:pPr>
                  <w:r w:rsidRPr="004A1D4A">
                    <w:rPr>
                      <w:rFonts w:cs="Verdana"/>
                      <w:b/>
                      <w:bCs/>
                      <w:sz w:val="22"/>
                      <w:szCs w:val="22"/>
                      <w:lang w:eastAsia="en-GB"/>
                    </w:rPr>
                    <w:t>D</w:t>
                  </w:r>
                  <w:r w:rsidR="00C57FD5" w:rsidRPr="004A1D4A">
                    <w:rPr>
                      <w:rFonts w:cs="Verdana"/>
                      <w:b/>
                      <w:bCs/>
                      <w:sz w:val="22"/>
                      <w:szCs w:val="22"/>
                      <w:lang w:eastAsia="en-GB"/>
                    </w:rPr>
                    <w:t>o</w:t>
                  </w:r>
                  <w:r w:rsidRPr="004A1D4A">
                    <w:rPr>
                      <w:rFonts w:cs="Verdana"/>
                      <w:b/>
                      <w:bCs/>
                      <w:sz w:val="22"/>
                      <w:szCs w:val="22"/>
                      <w:lang w:eastAsia="en-GB"/>
                    </w:rPr>
                    <w:t>:</w:t>
                  </w:r>
                </w:p>
              </w:tc>
              <w:tc>
                <w:tcPr>
                  <w:tcW w:w="9239" w:type="dxa"/>
                  <w:shd w:val="clear" w:color="auto" w:fill="FFFFFF" w:themeFill="background1"/>
                </w:tcPr>
                <w:p w14:paraId="1EA29885"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Make sure that you are not in a position where your private interests and NHS duties may conflict.</w:t>
                  </w:r>
                </w:p>
              </w:tc>
            </w:tr>
            <w:tr w:rsidR="004A1D4A" w:rsidRPr="004A1D4A" w14:paraId="20DECAED" w14:textId="77777777" w:rsidTr="00174090">
              <w:tc>
                <w:tcPr>
                  <w:tcW w:w="988" w:type="dxa"/>
                  <w:vMerge/>
                  <w:shd w:val="clear" w:color="auto" w:fill="C6D9F1" w:themeFill="text2" w:themeFillTint="33"/>
                </w:tcPr>
                <w:p w14:paraId="51B2858B" w14:textId="77777777" w:rsidR="00A061F7" w:rsidRPr="004A1D4A" w:rsidRDefault="00A061F7" w:rsidP="00A061F7">
                  <w:pPr>
                    <w:autoSpaceDE w:val="0"/>
                    <w:autoSpaceDN w:val="0"/>
                    <w:adjustRightInd w:val="0"/>
                    <w:rPr>
                      <w:rFonts w:cs="Verdana"/>
                      <w:sz w:val="22"/>
                      <w:szCs w:val="22"/>
                      <w:lang w:eastAsia="en-GB"/>
                    </w:rPr>
                  </w:pPr>
                </w:p>
              </w:tc>
              <w:tc>
                <w:tcPr>
                  <w:tcW w:w="9239" w:type="dxa"/>
                  <w:shd w:val="clear" w:color="auto" w:fill="FFFFFF" w:themeFill="background1"/>
                </w:tcPr>
                <w:p w14:paraId="48B9F452"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 xml:space="preserve">Declare any relevant interests ( see the </w:t>
                  </w:r>
                  <w:hyperlink r:id="rId17" w:history="1">
                    <w:r w:rsidRPr="004A1D4A">
                      <w:rPr>
                        <w:rStyle w:val="Hyperlink"/>
                        <w:rFonts w:cs="Verdana"/>
                        <w:color w:val="auto"/>
                        <w:sz w:val="22"/>
                        <w:szCs w:val="22"/>
                        <w:lang w:eastAsia="en-GB"/>
                      </w:rPr>
                      <w:t>Declarations of Interest, gifts, hospitality, Honoraria and sponsorship procedure</w:t>
                    </w:r>
                  </w:hyperlink>
                  <w:r w:rsidRPr="004A1D4A">
                    <w:rPr>
                      <w:rFonts w:cs="Verdana"/>
                      <w:sz w:val="22"/>
                      <w:szCs w:val="22"/>
                      <w:lang w:eastAsia="en-GB"/>
                    </w:rPr>
                    <w:t xml:space="preserve"> for guidance and examples of relevant interests)</w:t>
                  </w:r>
                </w:p>
              </w:tc>
            </w:tr>
            <w:tr w:rsidR="004A1D4A" w:rsidRPr="004A1D4A" w14:paraId="2D4DB2AB" w14:textId="77777777" w:rsidTr="00174090">
              <w:tc>
                <w:tcPr>
                  <w:tcW w:w="988" w:type="dxa"/>
                  <w:vMerge/>
                  <w:shd w:val="clear" w:color="auto" w:fill="C6D9F1" w:themeFill="text2" w:themeFillTint="33"/>
                </w:tcPr>
                <w:p w14:paraId="1E1BB779" w14:textId="77777777" w:rsidR="00A061F7" w:rsidRPr="004A1D4A" w:rsidRDefault="00A061F7" w:rsidP="00A061F7">
                  <w:pPr>
                    <w:autoSpaceDE w:val="0"/>
                    <w:autoSpaceDN w:val="0"/>
                    <w:adjustRightInd w:val="0"/>
                    <w:rPr>
                      <w:rFonts w:cs="Verdana"/>
                      <w:b/>
                      <w:bCs/>
                      <w:sz w:val="22"/>
                      <w:szCs w:val="22"/>
                      <w:lang w:eastAsia="en-GB"/>
                    </w:rPr>
                  </w:pPr>
                </w:p>
              </w:tc>
              <w:tc>
                <w:tcPr>
                  <w:tcW w:w="9239" w:type="dxa"/>
                  <w:shd w:val="clear" w:color="auto" w:fill="FFFFFF" w:themeFill="background1"/>
                </w:tcPr>
                <w:p w14:paraId="285A5A7A" w14:textId="77777777" w:rsidR="00A061F7" w:rsidRPr="004A1D4A" w:rsidRDefault="00A061F7" w:rsidP="00A061F7">
                  <w:pPr>
                    <w:pStyle w:val="Default"/>
                    <w:rPr>
                      <w:rFonts w:ascii="Verdana" w:hAnsi="Verdana" w:cs="Verdana"/>
                      <w:color w:val="auto"/>
                      <w:sz w:val="22"/>
                      <w:szCs w:val="22"/>
                    </w:rPr>
                  </w:pPr>
                  <w:r w:rsidRPr="004A1D4A">
                    <w:rPr>
                      <w:rFonts w:ascii="Verdana" w:hAnsi="Verdana" w:cs="Verdana"/>
                      <w:color w:val="auto"/>
                      <w:sz w:val="22"/>
                      <w:szCs w:val="22"/>
                    </w:rPr>
                    <w:t xml:space="preserve">Remember that the need to declare an interest also includes those of your close family and possibly friends. </w:t>
                  </w:r>
                </w:p>
              </w:tc>
            </w:tr>
            <w:tr w:rsidR="004A1D4A" w:rsidRPr="004A1D4A" w14:paraId="0DFD5DC5" w14:textId="77777777" w:rsidTr="00174090">
              <w:tc>
                <w:tcPr>
                  <w:tcW w:w="988" w:type="dxa"/>
                  <w:vMerge/>
                  <w:shd w:val="clear" w:color="auto" w:fill="C6D9F1" w:themeFill="text2" w:themeFillTint="33"/>
                </w:tcPr>
                <w:p w14:paraId="18CC1461" w14:textId="77777777" w:rsidR="00A061F7" w:rsidRPr="004A1D4A" w:rsidRDefault="00A061F7" w:rsidP="00A061F7">
                  <w:pPr>
                    <w:autoSpaceDE w:val="0"/>
                    <w:autoSpaceDN w:val="0"/>
                    <w:adjustRightInd w:val="0"/>
                    <w:rPr>
                      <w:rFonts w:cs="Verdana"/>
                      <w:b/>
                      <w:bCs/>
                      <w:sz w:val="22"/>
                      <w:szCs w:val="22"/>
                      <w:lang w:eastAsia="en-GB"/>
                    </w:rPr>
                  </w:pPr>
                </w:p>
              </w:tc>
              <w:tc>
                <w:tcPr>
                  <w:tcW w:w="9239" w:type="dxa"/>
                  <w:shd w:val="clear" w:color="auto" w:fill="FFFFFF" w:themeFill="background1"/>
                </w:tcPr>
                <w:p w14:paraId="683680F0" w14:textId="77777777" w:rsidR="00A061F7" w:rsidRPr="004A1D4A" w:rsidRDefault="00A061F7" w:rsidP="00A061F7">
                  <w:pPr>
                    <w:pStyle w:val="Default"/>
                    <w:rPr>
                      <w:rFonts w:ascii="Verdana" w:hAnsi="Verdana" w:cs="Verdana"/>
                      <w:color w:val="auto"/>
                      <w:sz w:val="22"/>
                      <w:szCs w:val="22"/>
                    </w:rPr>
                  </w:pPr>
                  <w:r w:rsidRPr="004A1D4A">
                    <w:rPr>
                      <w:rFonts w:ascii="Verdana" w:hAnsi="Verdana" w:cs="Verdana"/>
                      <w:color w:val="auto"/>
                      <w:sz w:val="22"/>
                      <w:szCs w:val="22"/>
                    </w:rPr>
                    <w:t>Seek your manager’s permission before taking any outside work, in accordance with employment terms and conditions.</w:t>
                  </w:r>
                </w:p>
              </w:tc>
            </w:tr>
            <w:tr w:rsidR="004A1D4A" w:rsidRPr="004A1D4A" w14:paraId="50DF8B35" w14:textId="77777777" w:rsidTr="00174090">
              <w:tc>
                <w:tcPr>
                  <w:tcW w:w="988" w:type="dxa"/>
                  <w:vMerge/>
                  <w:shd w:val="clear" w:color="auto" w:fill="C6D9F1" w:themeFill="text2" w:themeFillTint="33"/>
                </w:tcPr>
                <w:p w14:paraId="4C02F53B" w14:textId="77777777" w:rsidR="00A061F7" w:rsidRPr="004A1D4A" w:rsidRDefault="00A061F7" w:rsidP="00A061F7">
                  <w:pPr>
                    <w:autoSpaceDE w:val="0"/>
                    <w:autoSpaceDN w:val="0"/>
                    <w:adjustRightInd w:val="0"/>
                    <w:rPr>
                      <w:rFonts w:cs="Verdana"/>
                      <w:b/>
                      <w:bCs/>
                      <w:sz w:val="22"/>
                      <w:szCs w:val="22"/>
                      <w:lang w:eastAsia="en-GB"/>
                    </w:rPr>
                  </w:pPr>
                </w:p>
              </w:tc>
              <w:tc>
                <w:tcPr>
                  <w:tcW w:w="9239" w:type="dxa"/>
                  <w:shd w:val="clear" w:color="auto" w:fill="FFFFFF" w:themeFill="background1"/>
                </w:tcPr>
                <w:p w14:paraId="2886A7C9" w14:textId="77777777" w:rsidR="00A061F7" w:rsidRPr="004A1D4A" w:rsidRDefault="00A061F7" w:rsidP="00A061F7">
                  <w:pPr>
                    <w:autoSpaceDE w:val="0"/>
                    <w:autoSpaceDN w:val="0"/>
                    <w:adjustRightInd w:val="0"/>
                    <w:rPr>
                      <w:sz w:val="22"/>
                      <w:szCs w:val="22"/>
                    </w:rPr>
                  </w:pPr>
                  <w:r w:rsidRPr="004A1D4A">
                    <w:rPr>
                      <w:rFonts w:cs="Verdana"/>
                      <w:sz w:val="22"/>
                      <w:szCs w:val="22"/>
                    </w:rPr>
                    <w:t>Obtain your Executive Director’s permission before accepting any commercial sponsorship or hospitality</w:t>
                  </w:r>
                </w:p>
              </w:tc>
            </w:tr>
            <w:tr w:rsidR="004A1D4A" w:rsidRPr="004A1D4A" w14:paraId="43D03C30" w14:textId="77777777" w:rsidTr="00174090">
              <w:tc>
                <w:tcPr>
                  <w:tcW w:w="988" w:type="dxa"/>
                  <w:vMerge/>
                  <w:shd w:val="clear" w:color="auto" w:fill="C6D9F1" w:themeFill="text2" w:themeFillTint="33"/>
                </w:tcPr>
                <w:p w14:paraId="2AEC4B25" w14:textId="77777777" w:rsidR="00A061F7" w:rsidRPr="004A1D4A" w:rsidRDefault="00A061F7" w:rsidP="00A061F7">
                  <w:pPr>
                    <w:autoSpaceDE w:val="0"/>
                    <w:autoSpaceDN w:val="0"/>
                    <w:adjustRightInd w:val="0"/>
                    <w:rPr>
                      <w:rFonts w:cs="Verdana"/>
                      <w:b/>
                      <w:bCs/>
                      <w:sz w:val="22"/>
                      <w:szCs w:val="22"/>
                      <w:lang w:eastAsia="en-GB"/>
                    </w:rPr>
                  </w:pPr>
                </w:p>
              </w:tc>
              <w:tc>
                <w:tcPr>
                  <w:tcW w:w="9239" w:type="dxa"/>
                  <w:shd w:val="clear" w:color="auto" w:fill="FFFFFF" w:themeFill="background1"/>
                </w:tcPr>
                <w:p w14:paraId="460B8A94" w14:textId="77777777" w:rsidR="00A061F7" w:rsidRPr="004A1D4A" w:rsidRDefault="00A061F7" w:rsidP="00A061F7">
                  <w:pPr>
                    <w:autoSpaceDE w:val="0"/>
                    <w:autoSpaceDN w:val="0"/>
                    <w:adjustRightInd w:val="0"/>
                    <w:rPr>
                      <w:rFonts w:cs="Verdana"/>
                      <w:sz w:val="22"/>
                      <w:szCs w:val="22"/>
                      <w:lang w:eastAsia="en-GB"/>
                    </w:rPr>
                  </w:pPr>
                  <w:r w:rsidRPr="004A1D4A">
                    <w:rPr>
                      <w:sz w:val="22"/>
                      <w:szCs w:val="22"/>
                    </w:rPr>
                    <w:t xml:space="preserve">Declare offers of gifts, hospitality or sponsorship using the appropriate form where required. </w:t>
                  </w:r>
                </w:p>
              </w:tc>
            </w:tr>
            <w:tr w:rsidR="004A1D4A" w:rsidRPr="004A1D4A" w14:paraId="0A6DD5EB" w14:textId="77777777" w:rsidTr="00174090">
              <w:tc>
                <w:tcPr>
                  <w:tcW w:w="988" w:type="dxa"/>
                  <w:vMerge/>
                  <w:shd w:val="clear" w:color="auto" w:fill="C6D9F1" w:themeFill="text2" w:themeFillTint="33"/>
                </w:tcPr>
                <w:p w14:paraId="26A1D0E9" w14:textId="77777777" w:rsidR="00A061F7" w:rsidRPr="004A1D4A" w:rsidRDefault="00A061F7" w:rsidP="00A061F7">
                  <w:pPr>
                    <w:autoSpaceDE w:val="0"/>
                    <w:autoSpaceDN w:val="0"/>
                    <w:adjustRightInd w:val="0"/>
                    <w:rPr>
                      <w:rFonts w:cs="Verdana"/>
                      <w:b/>
                      <w:bCs/>
                      <w:sz w:val="22"/>
                      <w:szCs w:val="22"/>
                      <w:lang w:eastAsia="en-GB"/>
                    </w:rPr>
                  </w:pPr>
                </w:p>
              </w:tc>
              <w:tc>
                <w:tcPr>
                  <w:tcW w:w="9239" w:type="dxa"/>
                  <w:shd w:val="clear" w:color="auto" w:fill="FFFFFF" w:themeFill="background1"/>
                </w:tcPr>
                <w:p w14:paraId="28D83B76"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 xml:space="preserve">Seek your manager’s permission before taking any outside work, in accordance with employment terms and conditions. </w:t>
                  </w:r>
                </w:p>
              </w:tc>
            </w:tr>
            <w:tr w:rsidR="004A1D4A" w:rsidRPr="004A1D4A" w14:paraId="4A962EB0" w14:textId="77777777" w:rsidTr="00174090">
              <w:tc>
                <w:tcPr>
                  <w:tcW w:w="988" w:type="dxa"/>
                  <w:vMerge/>
                </w:tcPr>
                <w:p w14:paraId="32B446C1" w14:textId="77777777" w:rsidR="00A061F7" w:rsidRPr="004A1D4A" w:rsidRDefault="00A061F7" w:rsidP="00A061F7">
                  <w:pPr>
                    <w:autoSpaceDE w:val="0"/>
                    <w:autoSpaceDN w:val="0"/>
                    <w:adjustRightInd w:val="0"/>
                    <w:rPr>
                      <w:rFonts w:cs="Verdana"/>
                      <w:b/>
                      <w:bCs/>
                      <w:sz w:val="22"/>
                      <w:szCs w:val="22"/>
                      <w:lang w:eastAsia="en-GB"/>
                    </w:rPr>
                  </w:pPr>
                </w:p>
              </w:tc>
              <w:tc>
                <w:tcPr>
                  <w:tcW w:w="9239" w:type="dxa"/>
                  <w:shd w:val="clear" w:color="auto" w:fill="FFFFFF" w:themeFill="background1"/>
                </w:tcPr>
                <w:p w14:paraId="490B1E4C"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 xml:space="preserve">Obtain your Executive Director’s permission before accepting any commercial sponsorship or hospitality; </w:t>
                  </w:r>
                </w:p>
              </w:tc>
            </w:tr>
            <w:tr w:rsidR="004A1D4A" w:rsidRPr="004A1D4A" w14:paraId="214DC357" w14:textId="77777777" w:rsidTr="00174090">
              <w:tc>
                <w:tcPr>
                  <w:tcW w:w="988" w:type="dxa"/>
                  <w:vMerge/>
                  <w:tcBorders>
                    <w:bottom w:val="single" w:sz="4" w:space="0" w:color="auto"/>
                  </w:tcBorders>
                </w:tcPr>
                <w:p w14:paraId="7E89F10C" w14:textId="77777777" w:rsidR="00A061F7" w:rsidRPr="004A1D4A" w:rsidRDefault="00A061F7" w:rsidP="00A061F7">
                  <w:pPr>
                    <w:autoSpaceDE w:val="0"/>
                    <w:autoSpaceDN w:val="0"/>
                    <w:adjustRightInd w:val="0"/>
                    <w:rPr>
                      <w:rFonts w:cs="Verdana"/>
                      <w:b/>
                      <w:bCs/>
                      <w:sz w:val="22"/>
                      <w:szCs w:val="22"/>
                      <w:lang w:eastAsia="en-GB"/>
                    </w:rPr>
                  </w:pPr>
                </w:p>
              </w:tc>
              <w:tc>
                <w:tcPr>
                  <w:tcW w:w="9239" w:type="dxa"/>
                  <w:tcBorders>
                    <w:bottom w:val="single" w:sz="4" w:space="0" w:color="auto"/>
                  </w:tcBorders>
                  <w:shd w:val="clear" w:color="auto" w:fill="FFFFFF" w:themeFill="background1"/>
                </w:tcPr>
                <w:p w14:paraId="0CF154C5"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Declare offers of gifts, hospitality or sponsorship using the appropriate form where required.</w:t>
                  </w:r>
                </w:p>
              </w:tc>
            </w:tr>
            <w:tr w:rsidR="004A1D4A" w:rsidRPr="004A1D4A" w14:paraId="755B8362" w14:textId="77777777" w:rsidTr="00174090">
              <w:tc>
                <w:tcPr>
                  <w:tcW w:w="988" w:type="dxa"/>
                  <w:tcBorders>
                    <w:top w:val="single" w:sz="4" w:space="0" w:color="auto"/>
                    <w:left w:val="nil"/>
                    <w:bottom w:val="single" w:sz="4" w:space="0" w:color="auto"/>
                    <w:right w:val="nil"/>
                  </w:tcBorders>
                  <w:shd w:val="clear" w:color="auto" w:fill="FFFFFF" w:themeFill="background1"/>
                  <w:vAlign w:val="center"/>
                </w:tcPr>
                <w:p w14:paraId="48126A95" w14:textId="77777777" w:rsidR="00174090" w:rsidRPr="004A1D4A" w:rsidRDefault="00174090" w:rsidP="00A061F7">
                  <w:pPr>
                    <w:autoSpaceDE w:val="0"/>
                    <w:autoSpaceDN w:val="0"/>
                    <w:adjustRightInd w:val="0"/>
                    <w:jc w:val="center"/>
                    <w:rPr>
                      <w:rFonts w:cs="Verdana"/>
                      <w:b/>
                      <w:sz w:val="22"/>
                      <w:szCs w:val="22"/>
                      <w:lang w:eastAsia="en-GB"/>
                    </w:rPr>
                  </w:pPr>
                </w:p>
              </w:tc>
              <w:tc>
                <w:tcPr>
                  <w:tcW w:w="9239" w:type="dxa"/>
                  <w:tcBorders>
                    <w:top w:val="single" w:sz="4" w:space="0" w:color="auto"/>
                    <w:left w:val="nil"/>
                    <w:bottom w:val="single" w:sz="4" w:space="0" w:color="auto"/>
                    <w:right w:val="nil"/>
                  </w:tcBorders>
                  <w:shd w:val="clear" w:color="auto" w:fill="FFFFFF" w:themeFill="background1"/>
                </w:tcPr>
                <w:p w14:paraId="058FB691" w14:textId="77777777" w:rsidR="00174090" w:rsidRPr="004A1D4A" w:rsidRDefault="00174090" w:rsidP="00A061F7">
                  <w:pPr>
                    <w:autoSpaceDE w:val="0"/>
                    <w:autoSpaceDN w:val="0"/>
                    <w:adjustRightInd w:val="0"/>
                    <w:rPr>
                      <w:rFonts w:cs="Verdana"/>
                      <w:sz w:val="22"/>
                      <w:szCs w:val="22"/>
                      <w:lang w:eastAsia="en-GB"/>
                    </w:rPr>
                  </w:pPr>
                </w:p>
              </w:tc>
            </w:tr>
            <w:tr w:rsidR="004A1D4A" w:rsidRPr="004A1D4A" w14:paraId="217DD5D9" w14:textId="77777777" w:rsidTr="00174090">
              <w:tc>
                <w:tcPr>
                  <w:tcW w:w="988" w:type="dxa"/>
                  <w:vMerge w:val="restart"/>
                  <w:tcBorders>
                    <w:top w:val="single" w:sz="4" w:space="0" w:color="auto"/>
                  </w:tcBorders>
                  <w:shd w:val="clear" w:color="auto" w:fill="E5B8B7" w:themeFill="accent2" w:themeFillTint="66"/>
                  <w:vAlign w:val="center"/>
                </w:tcPr>
                <w:p w14:paraId="3F4B95CE" w14:textId="77777777" w:rsidR="00A061F7" w:rsidRPr="004A1D4A" w:rsidRDefault="00A061F7" w:rsidP="00A061F7">
                  <w:pPr>
                    <w:autoSpaceDE w:val="0"/>
                    <w:autoSpaceDN w:val="0"/>
                    <w:adjustRightInd w:val="0"/>
                    <w:jc w:val="center"/>
                    <w:rPr>
                      <w:rFonts w:cs="Verdana"/>
                      <w:b/>
                      <w:sz w:val="22"/>
                      <w:szCs w:val="22"/>
                      <w:lang w:eastAsia="en-GB"/>
                    </w:rPr>
                  </w:pPr>
                  <w:r w:rsidRPr="004A1D4A">
                    <w:rPr>
                      <w:rFonts w:cs="Verdana"/>
                      <w:b/>
                      <w:sz w:val="22"/>
                      <w:szCs w:val="22"/>
                      <w:lang w:eastAsia="en-GB"/>
                    </w:rPr>
                    <w:t>Do not:</w:t>
                  </w:r>
                </w:p>
              </w:tc>
              <w:tc>
                <w:tcPr>
                  <w:tcW w:w="9239" w:type="dxa"/>
                  <w:tcBorders>
                    <w:top w:val="single" w:sz="4" w:space="0" w:color="auto"/>
                  </w:tcBorders>
                  <w:shd w:val="clear" w:color="auto" w:fill="FFFFFF" w:themeFill="background1"/>
                </w:tcPr>
                <w:p w14:paraId="51BED853"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Accept any gifts from suppliers or commercial organisations unless they are of low value e.g. pens, diaries;</w:t>
                  </w:r>
                </w:p>
              </w:tc>
            </w:tr>
            <w:tr w:rsidR="004A1D4A" w:rsidRPr="004A1D4A" w14:paraId="73897B71" w14:textId="77777777" w:rsidTr="00174090">
              <w:tc>
                <w:tcPr>
                  <w:tcW w:w="988" w:type="dxa"/>
                  <w:vMerge/>
                  <w:shd w:val="clear" w:color="auto" w:fill="E5B8B7" w:themeFill="accent2" w:themeFillTint="66"/>
                </w:tcPr>
                <w:p w14:paraId="7381BCAC" w14:textId="77777777" w:rsidR="00A061F7" w:rsidRPr="004A1D4A" w:rsidRDefault="00A061F7" w:rsidP="00A061F7">
                  <w:pPr>
                    <w:autoSpaceDE w:val="0"/>
                    <w:autoSpaceDN w:val="0"/>
                    <w:adjustRightInd w:val="0"/>
                    <w:rPr>
                      <w:rFonts w:cs="Verdana"/>
                      <w:sz w:val="22"/>
                      <w:szCs w:val="22"/>
                      <w:lang w:eastAsia="en-GB"/>
                    </w:rPr>
                  </w:pPr>
                </w:p>
              </w:tc>
              <w:tc>
                <w:tcPr>
                  <w:tcW w:w="9239" w:type="dxa"/>
                  <w:shd w:val="clear" w:color="auto" w:fill="FFFFFF" w:themeFill="background1"/>
                </w:tcPr>
                <w:p w14:paraId="53300054"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Accept any gifts over the value of £25 from patients or their relatives, these should be politely declined;</w:t>
                  </w:r>
                </w:p>
              </w:tc>
            </w:tr>
            <w:tr w:rsidR="004A1D4A" w:rsidRPr="004A1D4A" w14:paraId="3EC8A334" w14:textId="77777777" w:rsidTr="00174090">
              <w:tc>
                <w:tcPr>
                  <w:tcW w:w="988" w:type="dxa"/>
                  <w:vMerge/>
                  <w:shd w:val="clear" w:color="auto" w:fill="E5B8B7" w:themeFill="accent2" w:themeFillTint="66"/>
                </w:tcPr>
                <w:p w14:paraId="7C519196" w14:textId="77777777" w:rsidR="00A061F7" w:rsidRPr="004A1D4A" w:rsidRDefault="00A061F7" w:rsidP="00A061F7">
                  <w:pPr>
                    <w:autoSpaceDE w:val="0"/>
                    <w:autoSpaceDN w:val="0"/>
                    <w:adjustRightInd w:val="0"/>
                    <w:rPr>
                      <w:rFonts w:cs="Verdana"/>
                      <w:sz w:val="22"/>
                      <w:szCs w:val="22"/>
                      <w:lang w:eastAsia="en-GB"/>
                    </w:rPr>
                  </w:pPr>
                </w:p>
              </w:tc>
              <w:tc>
                <w:tcPr>
                  <w:tcW w:w="9239" w:type="dxa"/>
                  <w:shd w:val="clear" w:color="auto" w:fill="FFFFFF" w:themeFill="background1"/>
                </w:tcPr>
                <w:p w14:paraId="604B2B4A"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Accept any inappropriate hospitality or sponsorship from suppliers or commercial organisations;</w:t>
                  </w:r>
                </w:p>
              </w:tc>
            </w:tr>
            <w:tr w:rsidR="004A1D4A" w:rsidRPr="004A1D4A" w14:paraId="3B5D06EF" w14:textId="77777777" w:rsidTr="00174090">
              <w:tc>
                <w:tcPr>
                  <w:tcW w:w="988" w:type="dxa"/>
                  <w:vMerge/>
                  <w:shd w:val="clear" w:color="auto" w:fill="E5B8B7" w:themeFill="accent2" w:themeFillTint="66"/>
                </w:tcPr>
                <w:p w14:paraId="3229DC41" w14:textId="77777777" w:rsidR="00A061F7" w:rsidRPr="004A1D4A" w:rsidRDefault="00A061F7" w:rsidP="00A061F7">
                  <w:pPr>
                    <w:autoSpaceDE w:val="0"/>
                    <w:autoSpaceDN w:val="0"/>
                    <w:adjustRightInd w:val="0"/>
                    <w:rPr>
                      <w:rFonts w:cs="Verdana"/>
                      <w:sz w:val="22"/>
                      <w:szCs w:val="22"/>
                      <w:lang w:eastAsia="en-GB"/>
                    </w:rPr>
                  </w:pPr>
                </w:p>
              </w:tc>
              <w:tc>
                <w:tcPr>
                  <w:tcW w:w="9239" w:type="dxa"/>
                  <w:shd w:val="clear" w:color="auto" w:fill="FFFFFF" w:themeFill="background1"/>
                </w:tcPr>
                <w:p w14:paraId="0AF385B4"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Abuse your position to obtain preferential rates for private deals;</w:t>
                  </w:r>
                </w:p>
              </w:tc>
            </w:tr>
            <w:tr w:rsidR="004A1D4A" w:rsidRPr="004A1D4A" w14:paraId="5A5F899F" w14:textId="77777777" w:rsidTr="00174090">
              <w:tc>
                <w:tcPr>
                  <w:tcW w:w="988" w:type="dxa"/>
                  <w:vMerge/>
                  <w:shd w:val="clear" w:color="auto" w:fill="E5B8B7" w:themeFill="accent2" w:themeFillTint="66"/>
                </w:tcPr>
                <w:p w14:paraId="7ADFCFAB" w14:textId="77777777" w:rsidR="00A061F7" w:rsidRPr="004A1D4A" w:rsidRDefault="00A061F7" w:rsidP="00A061F7">
                  <w:pPr>
                    <w:autoSpaceDE w:val="0"/>
                    <w:autoSpaceDN w:val="0"/>
                    <w:adjustRightInd w:val="0"/>
                    <w:rPr>
                      <w:rFonts w:cs="Verdana"/>
                      <w:sz w:val="22"/>
                      <w:szCs w:val="22"/>
                      <w:lang w:eastAsia="en-GB"/>
                    </w:rPr>
                  </w:pPr>
                </w:p>
              </w:tc>
              <w:tc>
                <w:tcPr>
                  <w:tcW w:w="9239" w:type="dxa"/>
                  <w:shd w:val="clear" w:color="auto" w:fill="FFFFFF" w:themeFill="background1"/>
                </w:tcPr>
                <w:p w14:paraId="772ED2F2"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Unfairly advantage one competitor over another or show favouritism in your dealings with commercial organisations;</w:t>
                  </w:r>
                </w:p>
              </w:tc>
            </w:tr>
            <w:tr w:rsidR="004A1D4A" w:rsidRPr="004A1D4A" w14:paraId="74300FE8" w14:textId="77777777" w:rsidTr="00174090">
              <w:tc>
                <w:tcPr>
                  <w:tcW w:w="988" w:type="dxa"/>
                  <w:vMerge/>
                  <w:shd w:val="clear" w:color="auto" w:fill="E5B8B7" w:themeFill="accent2" w:themeFillTint="66"/>
                </w:tcPr>
                <w:p w14:paraId="1E2F6E68" w14:textId="77777777" w:rsidR="00A061F7" w:rsidRPr="004A1D4A" w:rsidRDefault="00A061F7" w:rsidP="00A061F7">
                  <w:pPr>
                    <w:autoSpaceDE w:val="0"/>
                    <w:autoSpaceDN w:val="0"/>
                    <w:adjustRightInd w:val="0"/>
                    <w:rPr>
                      <w:rFonts w:cs="Verdana"/>
                      <w:sz w:val="22"/>
                      <w:szCs w:val="22"/>
                      <w:lang w:eastAsia="en-GB"/>
                    </w:rPr>
                  </w:pPr>
                </w:p>
              </w:tc>
              <w:tc>
                <w:tcPr>
                  <w:tcW w:w="9239" w:type="dxa"/>
                  <w:shd w:val="clear" w:color="auto" w:fill="FFFFFF" w:themeFill="background1"/>
                </w:tcPr>
                <w:p w14:paraId="1CAB56DD" w14:textId="77777777" w:rsidR="00A061F7" w:rsidRPr="004A1D4A" w:rsidRDefault="00A061F7" w:rsidP="00A061F7">
                  <w:pPr>
                    <w:autoSpaceDE w:val="0"/>
                    <w:autoSpaceDN w:val="0"/>
                    <w:adjustRightInd w:val="0"/>
                    <w:rPr>
                      <w:rFonts w:cs="Verdana"/>
                      <w:sz w:val="22"/>
                      <w:szCs w:val="22"/>
                      <w:lang w:eastAsia="en-GB"/>
                    </w:rPr>
                  </w:pPr>
                  <w:r w:rsidRPr="004A1D4A">
                    <w:rPr>
                      <w:rFonts w:cs="Verdana"/>
                      <w:sz w:val="22"/>
                      <w:szCs w:val="22"/>
                      <w:lang w:eastAsia="en-GB"/>
                    </w:rPr>
                    <w:t>Use NHS resources for your own private use.</w:t>
                  </w:r>
                </w:p>
              </w:tc>
            </w:tr>
          </w:tbl>
          <w:p w14:paraId="4FBF82E3" w14:textId="77777777" w:rsidR="00A061F7" w:rsidRPr="004A1D4A" w:rsidRDefault="00A061F7" w:rsidP="00A061F7">
            <w:pPr>
              <w:autoSpaceDE w:val="0"/>
              <w:autoSpaceDN w:val="0"/>
              <w:adjustRightInd w:val="0"/>
              <w:rPr>
                <w:rFonts w:cs="Verdana"/>
                <w:sz w:val="22"/>
                <w:szCs w:val="22"/>
                <w:lang w:eastAsia="en-GB"/>
              </w:rPr>
            </w:pPr>
          </w:p>
          <w:p w14:paraId="2738F1D4" w14:textId="69CF4494" w:rsidR="006615EB" w:rsidRPr="004A1D4A" w:rsidRDefault="006615EB" w:rsidP="001A1533">
            <w:pPr>
              <w:rPr>
                <w:b/>
                <w:noProof/>
                <w:sz w:val="22"/>
                <w:szCs w:val="22"/>
                <w:lang w:eastAsia="en-GB"/>
              </w:rPr>
            </w:pPr>
          </w:p>
        </w:tc>
      </w:tr>
      <w:tr w:rsidR="004A1D4A" w:rsidRPr="004A1D4A" w14:paraId="17DD3C66" w14:textId="77777777" w:rsidTr="001A1533">
        <w:trPr>
          <w:jc w:val="center"/>
        </w:trPr>
        <w:tc>
          <w:tcPr>
            <w:tcW w:w="10467" w:type="dxa"/>
            <w:tcBorders>
              <w:bottom w:val="single" w:sz="4" w:space="0" w:color="auto"/>
            </w:tcBorders>
          </w:tcPr>
          <w:p w14:paraId="1045D80B" w14:textId="0E975EDA" w:rsidR="001A1533" w:rsidRPr="004A1D4A" w:rsidRDefault="00174090" w:rsidP="001A1533">
            <w:pPr>
              <w:rPr>
                <w:b/>
                <w:kern w:val="28"/>
                <w:sz w:val="22"/>
                <w:szCs w:val="22"/>
                <w:lang w:eastAsia="en-GB"/>
              </w:rPr>
            </w:pPr>
            <w:r w:rsidRPr="004A1D4A">
              <w:rPr>
                <w:b/>
                <w:kern w:val="28"/>
                <w:sz w:val="22"/>
                <w:szCs w:val="22"/>
                <w:lang w:eastAsia="en-GB"/>
              </w:rPr>
              <w:lastRenderedPageBreak/>
              <w:t>Declaration of Interests</w:t>
            </w:r>
          </w:p>
          <w:p w14:paraId="2F2DECD3" w14:textId="77777777" w:rsidR="0066537D" w:rsidRPr="004A1D4A" w:rsidRDefault="0066537D" w:rsidP="001A1533">
            <w:pPr>
              <w:rPr>
                <w:b/>
                <w:kern w:val="28"/>
                <w:sz w:val="22"/>
                <w:szCs w:val="22"/>
                <w:lang w:eastAsia="en-GB"/>
              </w:rPr>
            </w:pPr>
          </w:p>
          <w:p w14:paraId="6B5DCAD0" w14:textId="1F058E38" w:rsidR="001A1533" w:rsidRPr="004A1D4A" w:rsidRDefault="001A1533" w:rsidP="001A1533">
            <w:pPr>
              <w:rPr>
                <w:kern w:val="28"/>
                <w:sz w:val="22"/>
                <w:szCs w:val="22"/>
                <w:lang w:eastAsia="en-GB"/>
              </w:rPr>
            </w:pPr>
            <w:r w:rsidRPr="004A1D4A">
              <w:rPr>
                <w:kern w:val="28"/>
                <w:sz w:val="22"/>
                <w:szCs w:val="22"/>
                <w:lang w:eastAsia="en-GB"/>
              </w:rPr>
              <w:t>This policy includes declarations of interest, gifts, hospitality</w:t>
            </w:r>
            <w:r w:rsidR="00174090" w:rsidRPr="004A1D4A">
              <w:rPr>
                <w:kern w:val="28"/>
                <w:sz w:val="22"/>
                <w:szCs w:val="22"/>
                <w:lang w:eastAsia="en-GB"/>
              </w:rPr>
              <w:t xml:space="preserve">, </w:t>
            </w:r>
            <w:r w:rsidR="00A92081" w:rsidRPr="004A1D4A">
              <w:rPr>
                <w:kern w:val="28"/>
                <w:sz w:val="22"/>
                <w:szCs w:val="22"/>
                <w:lang w:eastAsia="en-GB"/>
              </w:rPr>
              <w:t>Honoria</w:t>
            </w:r>
            <w:r w:rsidRPr="004A1D4A">
              <w:rPr>
                <w:kern w:val="28"/>
                <w:sz w:val="22"/>
                <w:szCs w:val="22"/>
                <w:lang w:eastAsia="en-GB"/>
              </w:rPr>
              <w:t xml:space="preserve"> and sponsorship.  Interests which should be declared include:</w:t>
            </w:r>
          </w:p>
          <w:p w14:paraId="083A8C92" w14:textId="77777777" w:rsidR="001A1533" w:rsidRPr="004A1D4A" w:rsidRDefault="001A1533" w:rsidP="001A1533">
            <w:pPr>
              <w:rPr>
                <w:kern w:val="28"/>
                <w:sz w:val="22"/>
                <w:szCs w:val="22"/>
                <w:lang w:eastAsia="en-GB"/>
              </w:rPr>
            </w:pPr>
          </w:p>
          <w:tbl>
            <w:tblPr>
              <w:tblStyle w:val="TableGrid"/>
              <w:tblW w:w="0" w:type="auto"/>
              <w:tblLayout w:type="fixed"/>
              <w:tblLook w:val="04A0" w:firstRow="1" w:lastRow="0" w:firstColumn="1" w:lastColumn="0" w:noHBand="0" w:noVBand="1"/>
            </w:tblPr>
            <w:tblGrid>
              <w:gridCol w:w="2151"/>
              <w:gridCol w:w="7797"/>
            </w:tblGrid>
            <w:tr w:rsidR="004A1D4A" w:rsidRPr="004A1D4A" w14:paraId="00208714" w14:textId="77777777" w:rsidTr="001A1533">
              <w:tc>
                <w:tcPr>
                  <w:tcW w:w="2151" w:type="dxa"/>
                  <w:shd w:val="clear" w:color="auto" w:fill="DBE5F1" w:themeFill="accent1" w:themeFillTint="33"/>
                  <w:vAlign w:val="center"/>
                </w:tcPr>
                <w:p w14:paraId="492F6C05" w14:textId="77777777" w:rsidR="001A1533" w:rsidRPr="004A1D4A" w:rsidRDefault="001A1533" w:rsidP="001A1533">
                  <w:pPr>
                    <w:spacing w:before="120" w:after="120"/>
                    <w:jc w:val="center"/>
                    <w:rPr>
                      <w:rFonts w:cs="Arial"/>
                      <w:sz w:val="22"/>
                      <w:szCs w:val="22"/>
                    </w:rPr>
                  </w:pPr>
                  <w:r w:rsidRPr="004A1D4A">
                    <w:rPr>
                      <w:rFonts w:cs="Arial"/>
                      <w:b/>
                      <w:bCs/>
                      <w:sz w:val="22"/>
                      <w:szCs w:val="22"/>
                    </w:rPr>
                    <w:t>Financial interests</w:t>
                  </w:r>
                </w:p>
              </w:tc>
              <w:tc>
                <w:tcPr>
                  <w:tcW w:w="7797" w:type="dxa"/>
                </w:tcPr>
                <w:p w14:paraId="3B4FD163" w14:textId="77777777" w:rsidR="001A1533" w:rsidRPr="004A1D4A" w:rsidRDefault="001A1533" w:rsidP="001A1533">
                  <w:pPr>
                    <w:spacing w:before="120" w:after="120"/>
                    <w:jc w:val="both"/>
                    <w:rPr>
                      <w:rFonts w:cs="Arial"/>
                      <w:sz w:val="22"/>
                      <w:szCs w:val="22"/>
                    </w:rPr>
                  </w:pPr>
                  <w:r w:rsidRPr="004A1D4A">
                    <w:rPr>
                      <w:rFonts w:cs="Arial"/>
                      <w:sz w:val="22"/>
                      <w:szCs w:val="22"/>
                    </w:rPr>
                    <w:t>Where an individual may get direct financial benefit from the consequences of a decision they are involved in making</w:t>
                  </w:r>
                </w:p>
              </w:tc>
            </w:tr>
            <w:tr w:rsidR="004A1D4A" w:rsidRPr="004A1D4A" w14:paraId="7AA86F47" w14:textId="77777777" w:rsidTr="001A1533">
              <w:tc>
                <w:tcPr>
                  <w:tcW w:w="2151" w:type="dxa"/>
                  <w:shd w:val="clear" w:color="auto" w:fill="DBE5F1" w:themeFill="accent1" w:themeFillTint="33"/>
                  <w:vAlign w:val="center"/>
                </w:tcPr>
                <w:p w14:paraId="7AEAC202" w14:textId="77777777" w:rsidR="001A1533" w:rsidRPr="004A1D4A" w:rsidRDefault="001A1533" w:rsidP="001A1533">
                  <w:pPr>
                    <w:spacing w:before="120" w:after="120"/>
                    <w:jc w:val="center"/>
                    <w:rPr>
                      <w:rFonts w:cs="Arial"/>
                      <w:sz w:val="22"/>
                      <w:szCs w:val="22"/>
                    </w:rPr>
                  </w:pPr>
                  <w:r w:rsidRPr="004A1D4A">
                    <w:rPr>
                      <w:rFonts w:cs="Arial"/>
                      <w:b/>
                      <w:bCs/>
                      <w:sz w:val="22"/>
                      <w:szCs w:val="22"/>
                    </w:rPr>
                    <w:t>Non-financial professional interests</w:t>
                  </w:r>
                </w:p>
              </w:tc>
              <w:tc>
                <w:tcPr>
                  <w:tcW w:w="7797" w:type="dxa"/>
                </w:tcPr>
                <w:p w14:paraId="1B21CC54" w14:textId="77777777" w:rsidR="001A1533" w:rsidRPr="004A1D4A" w:rsidRDefault="001A1533" w:rsidP="001A1533">
                  <w:pPr>
                    <w:spacing w:before="120" w:after="120"/>
                    <w:jc w:val="both"/>
                    <w:rPr>
                      <w:rFonts w:cs="Arial"/>
                      <w:sz w:val="22"/>
                      <w:szCs w:val="22"/>
                    </w:rPr>
                  </w:pPr>
                  <w:r w:rsidRPr="004A1D4A">
                    <w:rPr>
                      <w:rFonts w:cs="Arial"/>
                      <w:sz w:val="22"/>
                      <w:szCs w:val="22"/>
                    </w:rPr>
                    <w:t>Where an individual may obtain a non-financial professional benefit from the consequences of a decision they are involved in making, such as increasing their professional reputation or promoting their professional career.</w:t>
                  </w:r>
                </w:p>
              </w:tc>
            </w:tr>
            <w:tr w:rsidR="004A1D4A" w:rsidRPr="004A1D4A" w14:paraId="5C7C4272" w14:textId="77777777" w:rsidTr="001A1533">
              <w:tc>
                <w:tcPr>
                  <w:tcW w:w="2151" w:type="dxa"/>
                  <w:shd w:val="clear" w:color="auto" w:fill="DBE5F1" w:themeFill="accent1" w:themeFillTint="33"/>
                  <w:vAlign w:val="center"/>
                </w:tcPr>
                <w:p w14:paraId="2AC202E9" w14:textId="77777777" w:rsidR="001A1533" w:rsidRPr="004A1D4A" w:rsidRDefault="001A1533" w:rsidP="001A1533">
                  <w:pPr>
                    <w:spacing w:before="120" w:after="120"/>
                    <w:jc w:val="center"/>
                    <w:rPr>
                      <w:rFonts w:cs="Arial"/>
                      <w:sz w:val="22"/>
                      <w:szCs w:val="22"/>
                    </w:rPr>
                  </w:pPr>
                  <w:r w:rsidRPr="004A1D4A">
                    <w:rPr>
                      <w:rFonts w:cs="Arial"/>
                      <w:b/>
                      <w:bCs/>
                      <w:sz w:val="22"/>
                      <w:szCs w:val="22"/>
                    </w:rPr>
                    <w:t>Non-financial personal interests</w:t>
                  </w:r>
                  <w:r w:rsidRPr="004A1D4A">
                    <w:rPr>
                      <w:rFonts w:cs="Arial"/>
                      <w:sz w:val="22"/>
                      <w:szCs w:val="22"/>
                    </w:rPr>
                    <w:t>:</w:t>
                  </w:r>
                </w:p>
              </w:tc>
              <w:tc>
                <w:tcPr>
                  <w:tcW w:w="7797" w:type="dxa"/>
                </w:tcPr>
                <w:p w14:paraId="6FF671E5" w14:textId="77777777" w:rsidR="001A1533" w:rsidRPr="004A1D4A" w:rsidRDefault="001A1533" w:rsidP="001A1533">
                  <w:pPr>
                    <w:spacing w:before="120" w:after="120"/>
                    <w:jc w:val="both"/>
                    <w:rPr>
                      <w:rFonts w:cs="Arial"/>
                      <w:sz w:val="22"/>
                      <w:szCs w:val="22"/>
                    </w:rPr>
                  </w:pPr>
                  <w:r w:rsidRPr="004A1D4A">
                    <w:rPr>
                      <w:rFonts w:cs="Arial"/>
                      <w:sz w:val="22"/>
                      <w:szCs w:val="22"/>
                    </w:rPr>
                    <w:t>Where an individual may benefit personally in ways which are not directly linked to their professional career and do not give rise to a direct financial benefit, because of decisions they are involved in making in their professional career.</w:t>
                  </w:r>
                </w:p>
              </w:tc>
            </w:tr>
            <w:tr w:rsidR="004A1D4A" w:rsidRPr="004A1D4A" w14:paraId="65F4F3B8" w14:textId="77777777" w:rsidTr="001A1533">
              <w:tc>
                <w:tcPr>
                  <w:tcW w:w="2151" w:type="dxa"/>
                  <w:shd w:val="clear" w:color="auto" w:fill="DBE5F1" w:themeFill="accent1" w:themeFillTint="33"/>
                  <w:vAlign w:val="center"/>
                </w:tcPr>
                <w:p w14:paraId="260DEAC1" w14:textId="77777777" w:rsidR="001A1533" w:rsidRPr="004A1D4A" w:rsidRDefault="001A1533" w:rsidP="001A1533">
                  <w:pPr>
                    <w:spacing w:before="120" w:after="120"/>
                    <w:jc w:val="center"/>
                    <w:rPr>
                      <w:rFonts w:cs="Arial"/>
                      <w:sz w:val="22"/>
                      <w:szCs w:val="22"/>
                    </w:rPr>
                  </w:pPr>
                  <w:r w:rsidRPr="004A1D4A">
                    <w:rPr>
                      <w:rFonts w:cs="Arial"/>
                      <w:b/>
                      <w:bCs/>
                      <w:sz w:val="22"/>
                      <w:szCs w:val="22"/>
                    </w:rPr>
                    <w:t>Indirect interests:</w:t>
                  </w:r>
                </w:p>
              </w:tc>
              <w:tc>
                <w:tcPr>
                  <w:tcW w:w="7797" w:type="dxa"/>
                </w:tcPr>
                <w:p w14:paraId="7EF3B1B2" w14:textId="77777777" w:rsidR="001A1533" w:rsidRPr="004A1D4A" w:rsidRDefault="001A1533" w:rsidP="001A1533">
                  <w:pPr>
                    <w:spacing w:before="120" w:after="120"/>
                    <w:jc w:val="both"/>
                    <w:rPr>
                      <w:rFonts w:cs="Arial"/>
                      <w:sz w:val="22"/>
                      <w:szCs w:val="22"/>
                    </w:rPr>
                  </w:pPr>
                  <w:r w:rsidRPr="004A1D4A">
                    <w:rPr>
                      <w:rFonts w:cs="Arial"/>
                      <w:sz w:val="22"/>
                      <w:szCs w:val="22"/>
                    </w:rPr>
                    <w:t>Where an individual has a close association with another individual who has a financial interest, a non-financial professional interest or a non-financial personal interest and could stand to benefit from a decision they are involved in making.</w:t>
                  </w:r>
                </w:p>
              </w:tc>
            </w:tr>
          </w:tbl>
          <w:p w14:paraId="0136D601" w14:textId="77777777" w:rsidR="001A1533" w:rsidRPr="004A1D4A" w:rsidRDefault="001A1533" w:rsidP="001A1533">
            <w:pPr>
              <w:rPr>
                <w:kern w:val="28"/>
                <w:sz w:val="22"/>
                <w:szCs w:val="22"/>
                <w:lang w:eastAsia="en-GB"/>
              </w:rPr>
            </w:pPr>
          </w:p>
          <w:p w14:paraId="41CBBCCD" w14:textId="77777777" w:rsidR="00B42C1B" w:rsidRPr="004A1D4A" w:rsidRDefault="001A1533" w:rsidP="001A1533">
            <w:pPr>
              <w:jc w:val="both"/>
              <w:rPr>
                <w:kern w:val="28"/>
                <w:sz w:val="22"/>
                <w:szCs w:val="22"/>
                <w:lang w:eastAsia="en-GB"/>
              </w:rPr>
            </w:pPr>
            <w:r w:rsidRPr="004A1D4A">
              <w:rPr>
                <w:kern w:val="28"/>
                <w:sz w:val="22"/>
                <w:szCs w:val="22"/>
                <w:lang w:eastAsia="en-GB"/>
              </w:rPr>
              <w:t>An interest may also be relevant for the purposes of this policy if there is “perceived” benefit.</w:t>
            </w:r>
            <w:r w:rsidR="002C2D66" w:rsidRPr="004A1D4A">
              <w:rPr>
                <w:kern w:val="28"/>
                <w:sz w:val="22"/>
                <w:szCs w:val="22"/>
                <w:lang w:eastAsia="en-GB"/>
              </w:rPr>
              <w:t xml:space="preserve"> </w:t>
            </w:r>
          </w:p>
          <w:p w14:paraId="10AEDD63" w14:textId="77777777" w:rsidR="00B42C1B" w:rsidRPr="004A1D4A" w:rsidRDefault="00B42C1B" w:rsidP="001A1533">
            <w:pPr>
              <w:jc w:val="both"/>
              <w:rPr>
                <w:kern w:val="28"/>
                <w:sz w:val="22"/>
                <w:szCs w:val="22"/>
                <w:lang w:eastAsia="en-GB"/>
              </w:rPr>
            </w:pPr>
          </w:p>
          <w:p w14:paraId="4C63FE63" w14:textId="4C05AC46" w:rsidR="001A1533" w:rsidRPr="004A1D4A" w:rsidRDefault="001A1533" w:rsidP="001A1533">
            <w:pPr>
              <w:jc w:val="both"/>
              <w:rPr>
                <w:kern w:val="28"/>
                <w:sz w:val="22"/>
                <w:szCs w:val="22"/>
                <w:lang w:eastAsia="en-GB"/>
              </w:rPr>
            </w:pPr>
            <w:r w:rsidRPr="004A1D4A">
              <w:rPr>
                <w:kern w:val="28"/>
                <w:sz w:val="22"/>
                <w:szCs w:val="22"/>
                <w:lang w:eastAsia="en-GB"/>
              </w:rPr>
              <w:t xml:space="preserve">An interest should also be declared if a close family member has any of the declarations above. </w:t>
            </w:r>
          </w:p>
          <w:p w14:paraId="3322F4C2" w14:textId="77777777" w:rsidR="001A1533" w:rsidRPr="004A1D4A" w:rsidRDefault="001A1533" w:rsidP="001A1533">
            <w:pPr>
              <w:jc w:val="both"/>
              <w:rPr>
                <w:kern w:val="28"/>
                <w:sz w:val="22"/>
                <w:szCs w:val="22"/>
                <w:lang w:eastAsia="en-GB"/>
              </w:rPr>
            </w:pPr>
          </w:p>
          <w:p w14:paraId="26D36BD9" w14:textId="502A7B9E" w:rsidR="00B42C1B" w:rsidRPr="004A1D4A" w:rsidRDefault="001A1533" w:rsidP="002C2D66">
            <w:pPr>
              <w:jc w:val="both"/>
              <w:rPr>
                <w:kern w:val="28"/>
                <w:sz w:val="22"/>
                <w:szCs w:val="22"/>
                <w:lang w:eastAsia="en-GB"/>
              </w:rPr>
            </w:pPr>
            <w:r w:rsidRPr="004A1D4A">
              <w:rPr>
                <w:kern w:val="28"/>
                <w:sz w:val="22"/>
                <w:szCs w:val="22"/>
                <w:lang w:eastAsia="en-GB"/>
              </w:rPr>
              <w:lastRenderedPageBreak/>
              <w:t>This policy does not cover research and development projects by commercial companies. All research sponsored by commercial companies, including the pharmaceutical industry, must undergo assessment by Public Health Wales’ internal research and development approval process and NHS approvals as appropriate.</w:t>
            </w:r>
          </w:p>
        </w:tc>
      </w:tr>
      <w:tr w:rsidR="004A1D4A" w:rsidRPr="004A1D4A" w14:paraId="555ECEC4" w14:textId="77777777" w:rsidTr="001A1533">
        <w:trPr>
          <w:jc w:val="center"/>
        </w:trPr>
        <w:tc>
          <w:tcPr>
            <w:tcW w:w="10467" w:type="dxa"/>
            <w:tcBorders>
              <w:bottom w:val="single" w:sz="4" w:space="0" w:color="auto"/>
            </w:tcBorders>
          </w:tcPr>
          <w:p w14:paraId="384C7108" w14:textId="77777777" w:rsidR="002C2D66" w:rsidRPr="004A1D4A" w:rsidRDefault="002C2D66" w:rsidP="001A1533">
            <w:pPr>
              <w:rPr>
                <w:b/>
                <w:kern w:val="28"/>
                <w:sz w:val="22"/>
                <w:szCs w:val="22"/>
                <w:lang w:eastAsia="en-GB"/>
              </w:rPr>
            </w:pPr>
          </w:p>
          <w:p w14:paraId="50B029CD" w14:textId="777400B7" w:rsidR="001A1533" w:rsidRPr="004A1D4A" w:rsidRDefault="001A1533" w:rsidP="001A1533">
            <w:pPr>
              <w:rPr>
                <w:kern w:val="28"/>
                <w:sz w:val="22"/>
                <w:szCs w:val="22"/>
                <w:lang w:eastAsia="en-GB"/>
              </w:rPr>
            </w:pPr>
            <w:r w:rsidRPr="004A1D4A">
              <w:rPr>
                <w:b/>
                <w:kern w:val="28"/>
                <w:sz w:val="22"/>
                <w:szCs w:val="22"/>
                <w:lang w:eastAsia="en-GB"/>
              </w:rPr>
              <w:t>Gifts, hospitality and sponsorship</w:t>
            </w:r>
            <w:r w:rsidRPr="004A1D4A">
              <w:rPr>
                <w:kern w:val="28"/>
                <w:sz w:val="22"/>
                <w:szCs w:val="22"/>
                <w:lang w:eastAsia="en-GB"/>
              </w:rPr>
              <w:t xml:space="preserve"> are defined below:</w:t>
            </w:r>
          </w:p>
          <w:p w14:paraId="114078A0" w14:textId="77777777" w:rsidR="001A1533" w:rsidRPr="004A1D4A" w:rsidRDefault="001A1533" w:rsidP="001A1533">
            <w:pPr>
              <w:numPr>
                <w:ilvl w:val="0"/>
                <w:numId w:val="21"/>
              </w:numPr>
              <w:tabs>
                <w:tab w:val="clear" w:pos="720"/>
              </w:tabs>
              <w:spacing w:before="120" w:after="120"/>
              <w:ind w:left="454" w:hanging="425"/>
              <w:jc w:val="both"/>
              <w:rPr>
                <w:kern w:val="28"/>
                <w:sz w:val="22"/>
                <w:szCs w:val="22"/>
                <w:lang w:eastAsia="en-GB"/>
              </w:rPr>
            </w:pPr>
            <w:r w:rsidRPr="004A1D4A">
              <w:rPr>
                <w:kern w:val="28"/>
                <w:sz w:val="22"/>
                <w:szCs w:val="22"/>
                <w:lang w:eastAsia="en-GB"/>
              </w:rPr>
              <w:t xml:space="preserve">A </w:t>
            </w:r>
            <w:r w:rsidRPr="004A1D4A">
              <w:rPr>
                <w:b/>
                <w:kern w:val="28"/>
                <w:sz w:val="22"/>
                <w:szCs w:val="22"/>
                <w:lang w:eastAsia="en-GB"/>
              </w:rPr>
              <w:t>gift</w:t>
            </w:r>
            <w:r w:rsidRPr="004A1D4A">
              <w:rPr>
                <w:kern w:val="28"/>
                <w:sz w:val="22"/>
                <w:szCs w:val="22"/>
                <w:lang w:eastAsia="en-GB"/>
              </w:rPr>
              <w:t xml:space="preserve"> is an item of value, given by a third party. Examples include vouchers, money, prizes in draws and raffles at sponsored events and any other item of value.</w:t>
            </w:r>
          </w:p>
          <w:p w14:paraId="71605782" w14:textId="77777777" w:rsidR="001A1533" w:rsidRPr="004A1D4A" w:rsidRDefault="001A1533" w:rsidP="001A1533">
            <w:pPr>
              <w:numPr>
                <w:ilvl w:val="0"/>
                <w:numId w:val="21"/>
              </w:numPr>
              <w:tabs>
                <w:tab w:val="clear" w:pos="720"/>
              </w:tabs>
              <w:spacing w:before="120" w:after="120"/>
              <w:ind w:left="454" w:hanging="425"/>
              <w:jc w:val="both"/>
              <w:rPr>
                <w:kern w:val="28"/>
                <w:sz w:val="22"/>
                <w:szCs w:val="22"/>
                <w:lang w:eastAsia="en-GB"/>
              </w:rPr>
            </w:pPr>
            <w:r w:rsidRPr="004A1D4A">
              <w:rPr>
                <w:b/>
                <w:kern w:val="28"/>
                <w:sz w:val="22"/>
                <w:szCs w:val="22"/>
                <w:lang w:eastAsia="en-GB"/>
              </w:rPr>
              <w:t>Hospitality</w:t>
            </w:r>
            <w:r w:rsidRPr="004A1D4A">
              <w:rPr>
                <w:kern w:val="28"/>
                <w:sz w:val="22"/>
                <w:szCs w:val="22"/>
                <w:lang w:eastAsia="en-GB"/>
              </w:rPr>
              <w:t xml:space="preserve"> is defined as the provision of beverages, meals, accommodation, travel, entertainment (i.e. an invitation or ticket to a sporting event or theatre) or entry to an event or conference, regardless of whether provided during or outside normal working hours.</w:t>
            </w:r>
          </w:p>
          <w:p w14:paraId="1809F7B6" w14:textId="77777777" w:rsidR="001A1533" w:rsidRPr="004A1D4A" w:rsidRDefault="001A1533" w:rsidP="001A1533">
            <w:pPr>
              <w:numPr>
                <w:ilvl w:val="0"/>
                <w:numId w:val="21"/>
              </w:numPr>
              <w:tabs>
                <w:tab w:val="clear" w:pos="720"/>
              </w:tabs>
              <w:spacing w:before="120" w:after="120"/>
              <w:ind w:left="454" w:hanging="425"/>
              <w:jc w:val="both"/>
              <w:rPr>
                <w:kern w:val="28"/>
                <w:sz w:val="22"/>
                <w:szCs w:val="22"/>
                <w:lang w:eastAsia="en-GB"/>
              </w:rPr>
            </w:pPr>
            <w:r w:rsidRPr="004A1D4A">
              <w:rPr>
                <w:b/>
                <w:kern w:val="28"/>
                <w:sz w:val="22"/>
                <w:szCs w:val="22"/>
                <w:lang w:eastAsia="en-GB"/>
              </w:rPr>
              <w:t>Sponsorship</w:t>
            </w:r>
            <w:r w:rsidRPr="004A1D4A">
              <w:rPr>
                <w:kern w:val="28"/>
                <w:sz w:val="22"/>
                <w:szCs w:val="22"/>
                <w:lang w:eastAsia="en-GB"/>
              </w:rPr>
              <w:t xml:space="preserve"> is an offer of funding to an individual, team or to Public Health Wales from an external source, whether in cash, goods, services or benefits. It could include an offer to sponsor a research or operational post, staff training, attendance at a conference, costs associated with meetings, conferences or a working visit. The sponsorship may cover some or all of the costs. </w:t>
            </w:r>
          </w:p>
          <w:p w14:paraId="5170C0BB" w14:textId="77777777" w:rsidR="001A1533" w:rsidRPr="004A1D4A" w:rsidRDefault="001A1533" w:rsidP="001A1533">
            <w:pPr>
              <w:rPr>
                <w:kern w:val="28"/>
                <w:sz w:val="22"/>
                <w:szCs w:val="22"/>
                <w:lang w:eastAsia="en-GB"/>
              </w:rPr>
            </w:pPr>
          </w:p>
          <w:p w14:paraId="5532F287" w14:textId="77777777" w:rsidR="00B42C1B" w:rsidRPr="004A1D4A" w:rsidRDefault="001A1533" w:rsidP="0020098A">
            <w:pPr>
              <w:rPr>
                <w:kern w:val="28"/>
                <w:sz w:val="22"/>
                <w:szCs w:val="22"/>
                <w:lang w:eastAsia="en-GB"/>
              </w:rPr>
            </w:pPr>
            <w:r w:rsidRPr="004A1D4A">
              <w:rPr>
                <w:kern w:val="28"/>
                <w:sz w:val="22"/>
                <w:szCs w:val="22"/>
                <w:lang w:eastAsia="en-GB"/>
              </w:rPr>
              <w:t>This list is not exhaustive and offers of other benefits, goods or services will need to be considered on a case by case basis.</w:t>
            </w:r>
          </w:p>
          <w:p w14:paraId="4DCD3B0A" w14:textId="6B5FCC71" w:rsidR="00174090" w:rsidRPr="004A1D4A" w:rsidRDefault="00174090" w:rsidP="0020098A">
            <w:pPr>
              <w:rPr>
                <w:kern w:val="28"/>
                <w:sz w:val="22"/>
                <w:szCs w:val="22"/>
                <w:lang w:eastAsia="en-GB"/>
              </w:rPr>
            </w:pPr>
          </w:p>
        </w:tc>
      </w:tr>
      <w:tr w:rsidR="004A1D4A" w:rsidRPr="004A1D4A" w14:paraId="77CA0F1A" w14:textId="77777777" w:rsidTr="001A1533">
        <w:trPr>
          <w:jc w:val="center"/>
        </w:trPr>
        <w:tc>
          <w:tcPr>
            <w:tcW w:w="10467" w:type="dxa"/>
            <w:tcBorders>
              <w:bottom w:val="single" w:sz="4" w:space="0" w:color="auto"/>
            </w:tcBorders>
          </w:tcPr>
          <w:p w14:paraId="3B9FC80A" w14:textId="77777777" w:rsidR="0020098A" w:rsidRPr="004A1D4A" w:rsidRDefault="0020098A" w:rsidP="00174090">
            <w:pPr>
              <w:jc w:val="both"/>
              <w:rPr>
                <w:rFonts w:cs="Arial"/>
                <w:b/>
                <w:sz w:val="22"/>
                <w:szCs w:val="22"/>
              </w:rPr>
            </w:pPr>
          </w:p>
          <w:p w14:paraId="0DF7FD64" w14:textId="5B99F02D" w:rsidR="00B42C1B" w:rsidRPr="004A1D4A" w:rsidRDefault="00B42C1B" w:rsidP="00174090">
            <w:pPr>
              <w:jc w:val="both"/>
              <w:rPr>
                <w:rFonts w:cs="Arial"/>
                <w:b/>
                <w:sz w:val="22"/>
                <w:szCs w:val="22"/>
              </w:rPr>
            </w:pPr>
            <w:r w:rsidRPr="004A1D4A">
              <w:rPr>
                <w:rFonts w:cs="Arial"/>
                <w:b/>
                <w:sz w:val="22"/>
                <w:szCs w:val="22"/>
              </w:rPr>
              <w:t>Elections</w:t>
            </w:r>
          </w:p>
          <w:p w14:paraId="63BD750C" w14:textId="77777777" w:rsidR="0020098A" w:rsidRPr="004A1D4A" w:rsidRDefault="0020098A" w:rsidP="00174090">
            <w:pPr>
              <w:jc w:val="both"/>
              <w:rPr>
                <w:rFonts w:cs="Arial"/>
                <w:b/>
                <w:sz w:val="22"/>
                <w:szCs w:val="22"/>
              </w:rPr>
            </w:pPr>
          </w:p>
          <w:p w14:paraId="1262D1A6" w14:textId="77777777" w:rsidR="00174090" w:rsidRPr="004A1D4A" w:rsidRDefault="00174090" w:rsidP="00174090">
            <w:pPr>
              <w:autoSpaceDE w:val="0"/>
              <w:autoSpaceDN w:val="0"/>
              <w:adjustRightInd w:val="0"/>
              <w:jc w:val="both"/>
              <w:rPr>
                <w:rFonts w:cs="Arial"/>
                <w:sz w:val="22"/>
                <w:szCs w:val="22"/>
              </w:rPr>
            </w:pPr>
            <w:r w:rsidRPr="004A1D4A">
              <w:rPr>
                <w:rFonts w:cs="Arial"/>
                <w:sz w:val="22"/>
                <w:szCs w:val="22"/>
              </w:rPr>
              <w:t xml:space="preserve">Public Health Wales employees are expected to adhere to the principles set out in the </w:t>
            </w:r>
            <w:r w:rsidR="00B42C1B" w:rsidRPr="004A1D4A">
              <w:rPr>
                <w:rFonts w:cs="Arial"/>
                <w:sz w:val="22"/>
                <w:szCs w:val="22"/>
              </w:rPr>
              <w:t xml:space="preserve">Welsh Government guidance to NHS employees on their role and conduct during election campaigns. </w:t>
            </w:r>
          </w:p>
          <w:p w14:paraId="20374BEA" w14:textId="34E00D16" w:rsidR="00174090" w:rsidRPr="004A1D4A" w:rsidRDefault="00174090" w:rsidP="00174090">
            <w:pPr>
              <w:autoSpaceDE w:val="0"/>
              <w:autoSpaceDN w:val="0"/>
              <w:adjustRightInd w:val="0"/>
              <w:jc w:val="both"/>
              <w:rPr>
                <w:rFonts w:cs="Arial"/>
                <w:sz w:val="22"/>
                <w:szCs w:val="22"/>
              </w:rPr>
            </w:pPr>
            <w:r w:rsidRPr="004A1D4A">
              <w:rPr>
                <w:rFonts w:cs="Arial"/>
                <w:sz w:val="22"/>
                <w:szCs w:val="22"/>
              </w:rPr>
              <w:t xml:space="preserve">The principles set out in this guidance apply to the NHS at all times, but particular note should be taken in the period between the start of formal campaigns and polling day. </w:t>
            </w:r>
          </w:p>
          <w:p w14:paraId="5B546FB1" w14:textId="77777777" w:rsidR="00174090" w:rsidRPr="004A1D4A" w:rsidRDefault="00174090" w:rsidP="00174090">
            <w:pPr>
              <w:autoSpaceDE w:val="0"/>
              <w:autoSpaceDN w:val="0"/>
              <w:adjustRightInd w:val="0"/>
              <w:jc w:val="both"/>
              <w:rPr>
                <w:rFonts w:cs="Arial"/>
                <w:sz w:val="22"/>
                <w:szCs w:val="22"/>
              </w:rPr>
            </w:pPr>
          </w:p>
          <w:p w14:paraId="7616F95C" w14:textId="77777777" w:rsidR="00174090" w:rsidRPr="004A1D4A" w:rsidRDefault="00B42C1B" w:rsidP="00174090">
            <w:pPr>
              <w:autoSpaceDE w:val="0"/>
              <w:autoSpaceDN w:val="0"/>
              <w:adjustRightInd w:val="0"/>
              <w:jc w:val="both"/>
              <w:rPr>
                <w:rFonts w:cs="Arial"/>
                <w:sz w:val="22"/>
                <w:szCs w:val="22"/>
              </w:rPr>
            </w:pPr>
            <w:r w:rsidRPr="004A1D4A">
              <w:rPr>
                <w:rFonts w:cs="Arial"/>
                <w:sz w:val="22"/>
                <w:szCs w:val="22"/>
              </w:rPr>
              <w:t>The general principles that should be observed during the period of elections are that, as at other times, NHS staff should not engage in activities which could give rise to the criticism that individuals paid from public funds are being used for party political purposes, or which distract attention unduly to election campaigns.</w:t>
            </w:r>
          </w:p>
          <w:p w14:paraId="5F069BC7" w14:textId="77777777" w:rsidR="00B42C1B" w:rsidRPr="004A1D4A" w:rsidRDefault="00B42C1B" w:rsidP="00174090">
            <w:pPr>
              <w:autoSpaceDE w:val="0"/>
              <w:autoSpaceDN w:val="0"/>
              <w:adjustRightInd w:val="0"/>
              <w:jc w:val="both"/>
              <w:rPr>
                <w:rFonts w:cs="Arial"/>
                <w:sz w:val="22"/>
                <w:szCs w:val="22"/>
              </w:rPr>
            </w:pPr>
          </w:p>
          <w:p w14:paraId="1B92FAFC" w14:textId="3623F7C6" w:rsidR="00B42C1B" w:rsidRPr="004A1D4A" w:rsidRDefault="0020098A" w:rsidP="00174090">
            <w:pPr>
              <w:autoSpaceDE w:val="0"/>
              <w:autoSpaceDN w:val="0"/>
              <w:adjustRightInd w:val="0"/>
              <w:jc w:val="both"/>
              <w:rPr>
                <w:rFonts w:cs="Arial"/>
                <w:sz w:val="22"/>
                <w:szCs w:val="22"/>
              </w:rPr>
            </w:pPr>
            <w:r w:rsidRPr="004A1D4A">
              <w:rPr>
                <w:rFonts w:cs="Arial"/>
                <w:sz w:val="22"/>
                <w:szCs w:val="22"/>
              </w:rPr>
              <w:t>All Employees and Non-</w:t>
            </w:r>
            <w:r w:rsidR="00B42C1B" w:rsidRPr="004A1D4A">
              <w:rPr>
                <w:rFonts w:cs="Arial"/>
                <w:sz w:val="22"/>
                <w:szCs w:val="22"/>
              </w:rPr>
              <w:t xml:space="preserve">Executive Directors are </w:t>
            </w:r>
            <w:r w:rsidR="00174090" w:rsidRPr="004A1D4A">
              <w:rPr>
                <w:rFonts w:cs="Arial"/>
                <w:sz w:val="22"/>
                <w:szCs w:val="22"/>
              </w:rPr>
              <w:t>to</w:t>
            </w:r>
            <w:r w:rsidR="00B42C1B" w:rsidRPr="004A1D4A">
              <w:rPr>
                <w:rFonts w:cs="Arial"/>
                <w:sz w:val="22"/>
                <w:szCs w:val="22"/>
              </w:rPr>
              <w:t xml:space="preserve"> follow these guidelines:</w:t>
            </w:r>
          </w:p>
          <w:p w14:paraId="42AC12EF" w14:textId="010AB31A" w:rsidR="00B42C1B" w:rsidRPr="004A1D4A" w:rsidRDefault="00B42C1B" w:rsidP="00174090">
            <w:pPr>
              <w:pStyle w:val="ListParagraph"/>
              <w:numPr>
                <w:ilvl w:val="0"/>
                <w:numId w:val="32"/>
              </w:numPr>
              <w:autoSpaceDE w:val="0"/>
              <w:autoSpaceDN w:val="0"/>
              <w:adjustRightInd w:val="0"/>
              <w:jc w:val="both"/>
              <w:rPr>
                <w:rFonts w:cs="Arial"/>
                <w:sz w:val="22"/>
                <w:szCs w:val="22"/>
              </w:rPr>
            </w:pPr>
            <w:r w:rsidRPr="004A1D4A">
              <w:rPr>
                <w:rFonts w:cs="Arial"/>
                <w:sz w:val="22"/>
                <w:szCs w:val="22"/>
              </w:rPr>
              <w:t>The NHS and its constituent bodies have no party political affiliation. Nothing should be</w:t>
            </w:r>
            <w:r w:rsidR="0020098A" w:rsidRPr="004A1D4A">
              <w:rPr>
                <w:rFonts w:cs="Arial"/>
                <w:sz w:val="22"/>
                <w:szCs w:val="22"/>
              </w:rPr>
              <w:t xml:space="preserve"> </w:t>
            </w:r>
            <w:r w:rsidRPr="004A1D4A">
              <w:rPr>
                <w:rFonts w:cs="Arial"/>
                <w:sz w:val="22"/>
                <w:szCs w:val="22"/>
              </w:rPr>
              <w:t xml:space="preserve">said or done by any employee or </w:t>
            </w:r>
            <w:r w:rsidR="0020098A" w:rsidRPr="004A1D4A">
              <w:rPr>
                <w:rFonts w:cs="Arial"/>
                <w:sz w:val="22"/>
                <w:szCs w:val="22"/>
              </w:rPr>
              <w:t>Non-Executive Director</w:t>
            </w:r>
            <w:r w:rsidRPr="004A1D4A">
              <w:rPr>
                <w:rFonts w:cs="Arial"/>
                <w:sz w:val="22"/>
                <w:szCs w:val="22"/>
              </w:rPr>
              <w:t xml:space="preserve"> in their official capacity that</w:t>
            </w:r>
            <w:r w:rsidR="0020098A" w:rsidRPr="004A1D4A">
              <w:rPr>
                <w:rFonts w:cs="Arial"/>
                <w:sz w:val="22"/>
                <w:szCs w:val="22"/>
              </w:rPr>
              <w:t xml:space="preserve"> </w:t>
            </w:r>
            <w:r w:rsidRPr="004A1D4A">
              <w:rPr>
                <w:rFonts w:cs="Arial"/>
                <w:sz w:val="22"/>
                <w:szCs w:val="22"/>
              </w:rPr>
              <w:t>suggests otherwise.</w:t>
            </w:r>
          </w:p>
          <w:p w14:paraId="5E5F3496" w14:textId="48A21F54" w:rsidR="00B42C1B" w:rsidRPr="004A1D4A" w:rsidRDefault="00393B71" w:rsidP="00174090">
            <w:pPr>
              <w:pStyle w:val="ListParagraph"/>
              <w:numPr>
                <w:ilvl w:val="0"/>
                <w:numId w:val="32"/>
              </w:numPr>
              <w:autoSpaceDE w:val="0"/>
              <w:autoSpaceDN w:val="0"/>
              <w:adjustRightInd w:val="0"/>
              <w:jc w:val="both"/>
              <w:rPr>
                <w:rFonts w:cs="Arial"/>
                <w:sz w:val="22"/>
                <w:szCs w:val="22"/>
              </w:rPr>
            </w:pPr>
            <w:r w:rsidRPr="004A1D4A">
              <w:rPr>
                <w:rFonts w:cs="Arial"/>
                <w:sz w:val="22"/>
                <w:szCs w:val="22"/>
              </w:rPr>
              <w:t>NHS employees</w:t>
            </w:r>
            <w:r w:rsidR="00B42C1B" w:rsidRPr="004A1D4A">
              <w:rPr>
                <w:rFonts w:cs="Arial"/>
                <w:sz w:val="22"/>
                <w:szCs w:val="22"/>
              </w:rPr>
              <w:t xml:space="preserve"> </w:t>
            </w:r>
            <w:r w:rsidRPr="004A1D4A">
              <w:rPr>
                <w:rFonts w:cs="Arial"/>
                <w:sz w:val="22"/>
                <w:szCs w:val="22"/>
              </w:rPr>
              <w:t xml:space="preserve">and Non-Executive Directors </w:t>
            </w:r>
            <w:r w:rsidR="00B42C1B" w:rsidRPr="004A1D4A">
              <w:rPr>
                <w:rFonts w:cs="Arial"/>
                <w:sz w:val="22"/>
                <w:szCs w:val="22"/>
              </w:rPr>
              <w:t>should not engage in activities which could give rise to the criticism that people paid from public funds are being used for party political purposes.</w:t>
            </w:r>
          </w:p>
          <w:p w14:paraId="05714F90" w14:textId="5A31BD44" w:rsidR="00B42C1B" w:rsidRPr="004A1D4A" w:rsidRDefault="00B42C1B" w:rsidP="00174090">
            <w:pPr>
              <w:pStyle w:val="ListParagraph"/>
              <w:numPr>
                <w:ilvl w:val="0"/>
                <w:numId w:val="32"/>
              </w:numPr>
              <w:autoSpaceDE w:val="0"/>
              <w:autoSpaceDN w:val="0"/>
              <w:adjustRightInd w:val="0"/>
              <w:jc w:val="both"/>
              <w:rPr>
                <w:rFonts w:cs="Arial"/>
                <w:sz w:val="22"/>
                <w:szCs w:val="22"/>
              </w:rPr>
            </w:pPr>
            <w:r w:rsidRPr="004A1D4A">
              <w:rPr>
                <w:rFonts w:cs="Arial"/>
                <w:sz w:val="22"/>
                <w:szCs w:val="22"/>
              </w:rPr>
              <w:t xml:space="preserve">No visits to </w:t>
            </w:r>
            <w:r w:rsidR="0020098A" w:rsidRPr="004A1D4A">
              <w:rPr>
                <w:rFonts w:cs="Arial"/>
                <w:sz w:val="22"/>
                <w:szCs w:val="22"/>
              </w:rPr>
              <w:t>PHW</w:t>
            </w:r>
            <w:r w:rsidRPr="004A1D4A">
              <w:rPr>
                <w:rFonts w:cs="Arial"/>
                <w:sz w:val="22"/>
                <w:szCs w:val="22"/>
              </w:rPr>
              <w:t xml:space="preserve"> premises will be permitted by party political candidates and/or spokespeople for the purposes of personal canvassing. Party political meetings should not be held on NHS premises during the pre-election period.</w:t>
            </w:r>
          </w:p>
          <w:p w14:paraId="6BFFC2B7" w14:textId="0ADCFC7B" w:rsidR="00B42C1B" w:rsidRPr="004A1D4A" w:rsidRDefault="00B42C1B" w:rsidP="00174090">
            <w:pPr>
              <w:pStyle w:val="ListParagraph"/>
              <w:numPr>
                <w:ilvl w:val="0"/>
                <w:numId w:val="32"/>
              </w:numPr>
              <w:autoSpaceDE w:val="0"/>
              <w:autoSpaceDN w:val="0"/>
              <w:adjustRightInd w:val="0"/>
              <w:jc w:val="both"/>
              <w:rPr>
                <w:rFonts w:cs="Arial"/>
                <w:sz w:val="22"/>
                <w:szCs w:val="22"/>
              </w:rPr>
            </w:pPr>
            <w:r w:rsidRPr="004A1D4A">
              <w:rPr>
                <w:rFonts w:cs="Arial"/>
                <w:sz w:val="22"/>
                <w:szCs w:val="22"/>
              </w:rPr>
              <w:t>Political posters should not be displayed in public areas on NHS premises. Other</w:t>
            </w:r>
            <w:r w:rsidR="0020098A" w:rsidRPr="004A1D4A">
              <w:rPr>
                <w:rFonts w:cs="Arial"/>
                <w:sz w:val="22"/>
                <w:szCs w:val="22"/>
              </w:rPr>
              <w:t xml:space="preserve"> </w:t>
            </w:r>
            <w:r w:rsidRPr="004A1D4A">
              <w:rPr>
                <w:rFonts w:cs="Arial"/>
                <w:sz w:val="22"/>
                <w:szCs w:val="22"/>
              </w:rPr>
              <w:t>posters and advertising material purporting to be apolitical and published by other groups should be carefully scrutinised to ensure that they cannot be regarded as favouring or opposing a particular candidate or party.</w:t>
            </w:r>
          </w:p>
          <w:p w14:paraId="4DDDDC1E" w14:textId="77777777" w:rsidR="00B42C1B" w:rsidRPr="004A1D4A" w:rsidRDefault="00B42C1B" w:rsidP="00174090">
            <w:pPr>
              <w:pStyle w:val="ListParagraph"/>
              <w:numPr>
                <w:ilvl w:val="0"/>
                <w:numId w:val="30"/>
              </w:numPr>
              <w:autoSpaceDE w:val="0"/>
              <w:autoSpaceDN w:val="0"/>
              <w:adjustRightInd w:val="0"/>
              <w:jc w:val="both"/>
              <w:rPr>
                <w:rFonts w:cs="Arial"/>
                <w:sz w:val="22"/>
                <w:szCs w:val="22"/>
              </w:rPr>
            </w:pPr>
            <w:r w:rsidRPr="004A1D4A">
              <w:rPr>
                <w:rFonts w:cs="Arial"/>
                <w:sz w:val="22"/>
                <w:szCs w:val="22"/>
              </w:rPr>
              <w:t>Existing health promotion campaigns can continue, but new campaigns and all high profile publicity (large scale mail drops, posters and advertising) should be deferred until after the elections.</w:t>
            </w:r>
          </w:p>
          <w:p w14:paraId="53524BA1" w14:textId="77777777" w:rsidR="00B42C1B" w:rsidRPr="004A1D4A" w:rsidRDefault="00B42C1B" w:rsidP="00174090">
            <w:pPr>
              <w:pStyle w:val="ListParagraph"/>
              <w:numPr>
                <w:ilvl w:val="0"/>
                <w:numId w:val="30"/>
              </w:numPr>
              <w:autoSpaceDE w:val="0"/>
              <w:autoSpaceDN w:val="0"/>
              <w:adjustRightInd w:val="0"/>
              <w:jc w:val="both"/>
              <w:rPr>
                <w:rFonts w:cs="Arial"/>
                <w:sz w:val="22"/>
                <w:szCs w:val="22"/>
              </w:rPr>
            </w:pPr>
            <w:r w:rsidRPr="004A1D4A">
              <w:rPr>
                <w:rFonts w:cs="Arial"/>
                <w:sz w:val="22"/>
                <w:szCs w:val="22"/>
              </w:rPr>
              <w:lastRenderedPageBreak/>
              <w:t>Social and electronic media has become more important to political parties and organisations during the pre-election period and staff should comply with existing guidance around its use both professionally and personally.</w:t>
            </w:r>
          </w:p>
          <w:p w14:paraId="172C4C70" w14:textId="77777777" w:rsidR="00B42C1B" w:rsidRPr="004A1D4A" w:rsidRDefault="00B42C1B" w:rsidP="00174090">
            <w:pPr>
              <w:pStyle w:val="ListParagraph"/>
              <w:numPr>
                <w:ilvl w:val="0"/>
                <w:numId w:val="30"/>
              </w:numPr>
              <w:autoSpaceDE w:val="0"/>
              <w:autoSpaceDN w:val="0"/>
              <w:adjustRightInd w:val="0"/>
              <w:jc w:val="both"/>
              <w:rPr>
                <w:rFonts w:cs="Arial"/>
                <w:sz w:val="22"/>
                <w:szCs w:val="22"/>
              </w:rPr>
            </w:pPr>
            <w:r w:rsidRPr="004A1D4A">
              <w:rPr>
                <w:rFonts w:cs="Arial"/>
                <w:sz w:val="22"/>
                <w:szCs w:val="22"/>
              </w:rPr>
              <w:t>All enquiries from political parties and candidates should be directed to the Chief Executive</w:t>
            </w:r>
            <w:r w:rsidRPr="004A1D4A">
              <w:rPr>
                <w:rFonts w:cs="ArialMT"/>
                <w:sz w:val="22"/>
                <w:szCs w:val="22"/>
              </w:rPr>
              <w:t xml:space="preserve">’s Office </w:t>
            </w:r>
            <w:r w:rsidRPr="004A1D4A">
              <w:rPr>
                <w:rFonts w:cs="Arial"/>
                <w:sz w:val="22"/>
                <w:szCs w:val="22"/>
              </w:rPr>
              <w:t>and treated even-handedly.</w:t>
            </w:r>
          </w:p>
          <w:p w14:paraId="197D1C36" w14:textId="3E6599B6" w:rsidR="00B42C1B" w:rsidRPr="004A1D4A" w:rsidRDefault="00B42C1B" w:rsidP="00174090">
            <w:pPr>
              <w:pStyle w:val="ListParagraph"/>
              <w:numPr>
                <w:ilvl w:val="0"/>
                <w:numId w:val="30"/>
              </w:numPr>
              <w:autoSpaceDE w:val="0"/>
              <w:autoSpaceDN w:val="0"/>
              <w:adjustRightInd w:val="0"/>
              <w:jc w:val="both"/>
              <w:rPr>
                <w:rFonts w:cs="Arial"/>
                <w:sz w:val="22"/>
                <w:szCs w:val="22"/>
              </w:rPr>
            </w:pPr>
            <w:r w:rsidRPr="004A1D4A">
              <w:rPr>
                <w:rFonts w:cs="Arial"/>
                <w:sz w:val="22"/>
                <w:szCs w:val="22"/>
              </w:rPr>
              <w:t xml:space="preserve">All media enquiries should be directed through </w:t>
            </w:r>
            <w:r w:rsidR="0020098A" w:rsidRPr="004A1D4A">
              <w:rPr>
                <w:rFonts w:cs="Arial"/>
                <w:sz w:val="22"/>
                <w:szCs w:val="22"/>
              </w:rPr>
              <w:t xml:space="preserve">the </w:t>
            </w:r>
            <w:hyperlink r:id="rId18" w:history="1">
              <w:r w:rsidR="0020098A" w:rsidRPr="004A1D4A">
                <w:rPr>
                  <w:rStyle w:val="Hyperlink"/>
                  <w:rFonts w:cs="Arial"/>
                  <w:color w:val="auto"/>
                  <w:sz w:val="22"/>
                  <w:szCs w:val="22"/>
                </w:rPr>
                <w:t>Communications Team</w:t>
              </w:r>
            </w:hyperlink>
            <w:r w:rsidR="0020098A" w:rsidRPr="004A1D4A">
              <w:rPr>
                <w:rFonts w:cs="Arial"/>
                <w:sz w:val="22"/>
                <w:szCs w:val="22"/>
              </w:rPr>
              <w:t>;</w:t>
            </w:r>
          </w:p>
          <w:p w14:paraId="5013DDF2" w14:textId="4F6E9DA3" w:rsidR="00B42C1B" w:rsidRPr="004A1D4A" w:rsidRDefault="00B42C1B" w:rsidP="00174090">
            <w:pPr>
              <w:pStyle w:val="ListParagraph"/>
              <w:numPr>
                <w:ilvl w:val="0"/>
                <w:numId w:val="31"/>
              </w:numPr>
              <w:autoSpaceDE w:val="0"/>
              <w:autoSpaceDN w:val="0"/>
              <w:adjustRightInd w:val="0"/>
              <w:jc w:val="both"/>
              <w:rPr>
                <w:rFonts w:cs="Arial"/>
                <w:sz w:val="22"/>
                <w:szCs w:val="22"/>
              </w:rPr>
            </w:pPr>
            <w:r w:rsidRPr="004A1D4A">
              <w:rPr>
                <w:rFonts w:cs="Arial"/>
                <w:sz w:val="22"/>
                <w:szCs w:val="22"/>
              </w:rPr>
              <w:t>Routine PHW Board meetings which would normally be held in public may be held in the pre-election periods. Any public lectures given for educational purposes by PHW</w:t>
            </w:r>
            <w:r w:rsidR="0020098A" w:rsidRPr="004A1D4A">
              <w:rPr>
                <w:rFonts w:cs="Arial"/>
                <w:sz w:val="22"/>
                <w:szCs w:val="22"/>
              </w:rPr>
              <w:t xml:space="preserve"> </w:t>
            </w:r>
            <w:r w:rsidRPr="004A1D4A">
              <w:rPr>
                <w:rFonts w:cs="Arial"/>
                <w:sz w:val="22"/>
                <w:szCs w:val="22"/>
              </w:rPr>
              <w:t>employees on health matters need not be cancelled or postponed, but should avoid debate or speculation on the outcome of the election and any impact that might have on government health policy.</w:t>
            </w:r>
          </w:p>
          <w:p w14:paraId="66BE652B" w14:textId="35A7043D" w:rsidR="00C57FD5" w:rsidRPr="004A1D4A" w:rsidRDefault="00B42C1B" w:rsidP="00174090">
            <w:pPr>
              <w:pStyle w:val="ListParagraph"/>
              <w:numPr>
                <w:ilvl w:val="0"/>
                <w:numId w:val="31"/>
              </w:numPr>
              <w:autoSpaceDE w:val="0"/>
              <w:autoSpaceDN w:val="0"/>
              <w:adjustRightInd w:val="0"/>
              <w:jc w:val="both"/>
              <w:rPr>
                <w:rFonts w:cs="Arial"/>
                <w:sz w:val="22"/>
                <w:szCs w:val="22"/>
              </w:rPr>
            </w:pPr>
            <w:r w:rsidRPr="004A1D4A">
              <w:rPr>
                <w:rFonts w:cs="Arial"/>
                <w:sz w:val="22"/>
                <w:szCs w:val="22"/>
              </w:rPr>
              <w:t xml:space="preserve">NHS employees are free, in their private capacity, to engage in public debate or comment during the election period. However, they should not use NHS premises or equipment and should not make comments based on information not generally available to the public. It must be clearly stated that the views expressed are those </w:t>
            </w:r>
            <w:r w:rsidR="0020098A" w:rsidRPr="004A1D4A">
              <w:rPr>
                <w:rFonts w:cs="Arial"/>
                <w:sz w:val="22"/>
                <w:szCs w:val="22"/>
              </w:rPr>
              <w:t>of the individual and not of PHW</w:t>
            </w:r>
            <w:r w:rsidRPr="004A1D4A">
              <w:rPr>
                <w:rFonts w:cs="Arial"/>
                <w:sz w:val="22"/>
                <w:szCs w:val="22"/>
              </w:rPr>
              <w:t>.</w:t>
            </w:r>
            <w:r w:rsidR="00C57FD5" w:rsidRPr="004A1D4A">
              <w:rPr>
                <w:rFonts w:cs="Arial"/>
                <w:sz w:val="22"/>
                <w:szCs w:val="22"/>
              </w:rPr>
              <w:t xml:space="preserve">  Depending on the nature of your role, you may wish to carefully consider voicing political affiliations. </w:t>
            </w:r>
          </w:p>
          <w:p w14:paraId="345E3CC9" w14:textId="77777777" w:rsidR="00B42C1B" w:rsidRPr="004A1D4A" w:rsidRDefault="00B42C1B" w:rsidP="00174090">
            <w:pPr>
              <w:autoSpaceDE w:val="0"/>
              <w:autoSpaceDN w:val="0"/>
              <w:adjustRightInd w:val="0"/>
              <w:jc w:val="both"/>
              <w:rPr>
                <w:rFonts w:cs="Arial"/>
                <w:sz w:val="22"/>
                <w:szCs w:val="22"/>
              </w:rPr>
            </w:pPr>
          </w:p>
          <w:p w14:paraId="1E4EB2BA" w14:textId="05A8A571" w:rsidR="00B42C1B" w:rsidRPr="004A1D4A" w:rsidRDefault="00B42C1B" w:rsidP="00174090">
            <w:pPr>
              <w:pStyle w:val="Default"/>
              <w:jc w:val="both"/>
              <w:rPr>
                <w:rFonts w:ascii="Verdana" w:hAnsi="Verdana" w:cs="Arial"/>
                <w:color w:val="auto"/>
                <w:sz w:val="22"/>
                <w:szCs w:val="22"/>
                <w:lang w:eastAsia="en-US"/>
              </w:rPr>
            </w:pPr>
            <w:r w:rsidRPr="004A1D4A">
              <w:rPr>
                <w:rFonts w:ascii="Verdana" w:hAnsi="Verdana" w:cs="Arial"/>
                <w:color w:val="auto"/>
                <w:sz w:val="22"/>
                <w:szCs w:val="22"/>
                <w:lang w:eastAsia="en-US"/>
              </w:rPr>
              <w:t xml:space="preserve">A full copy of Welsh Government’s guidance document on conduct during election campaigns (Welsh Health Circular </w:t>
            </w:r>
            <w:r w:rsidR="008716E6" w:rsidRPr="004A1D4A">
              <w:rPr>
                <w:rFonts w:ascii="Verdana" w:hAnsi="Verdana" w:cs="Arial"/>
                <w:color w:val="auto"/>
                <w:sz w:val="22"/>
                <w:szCs w:val="22"/>
                <w:lang w:eastAsia="en-US"/>
              </w:rPr>
              <w:t xml:space="preserve"> WHC (2019) 036</w:t>
            </w:r>
            <w:r w:rsidRPr="004A1D4A">
              <w:rPr>
                <w:rFonts w:ascii="Verdana" w:hAnsi="Verdana" w:cs="Arial"/>
                <w:color w:val="auto"/>
                <w:sz w:val="22"/>
                <w:szCs w:val="22"/>
                <w:lang w:eastAsia="en-US"/>
              </w:rPr>
              <w:t>) is available via the following link:</w:t>
            </w:r>
          </w:p>
          <w:p w14:paraId="399DDA3C" w14:textId="59061C14" w:rsidR="0066537D" w:rsidRPr="004A1D4A" w:rsidRDefault="008716E6" w:rsidP="00174090">
            <w:pPr>
              <w:spacing w:after="160" w:line="259" w:lineRule="auto"/>
              <w:jc w:val="both"/>
              <w:rPr>
                <w:b/>
                <w:sz w:val="22"/>
                <w:szCs w:val="22"/>
              </w:rPr>
            </w:pPr>
            <w:r w:rsidRPr="004A1D4A">
              <w:rPr>
                <w:rFonts w:cs="Arial"/>
                <w:sz w:val="22"/>
                <w:szCs w:val="22"/>
              </w:rPr>
              <w:t>https://gov.wales/sites/default/files/publications/2019-11/uk-general-election-2019--guidance-for-nhs-wales.pdf</w:t>
            </w:r>
          </w:p>
        </w:tc>
      </w:tr>
      <w:tr w:rsidR="004A1D4A" w:rsidRPr="004A1D4A" w14:paraId="507FC0F9" w14:textId="77777777" w:rsidTr="001A1533">
        <w:trPr>
          <w:jc w:val="center"/>
        </w:trPr>
        <w:tc>
          <w:tcPr>
            <w:tcW w:w="10467" w:type="dxa"/>
            <w:tcBorders>
              <w:bottom w:val="single" w:sz="4" w:space="0" w:color="auto"/>
            </w:tcBorders>
          </w:tcPr>
          <w:p w14:paraId="272C9D08" w14:textId="771F75E6" w:rsidR="00B42C1B" w:rsidRPr="004A1D4A" w:rsidRDefault="00B42C1B" w:rsidP="00174090">
            <w:pPr>
              <w:jc w:val="both"/>
              <w:rPr>
                <w:rFonts w:cs="Arial"/>
                <w:b/>
                <w:bCs/>
                <w:sz w:val="22"/>
                <w:szCs w:val="22"/>
              </w:rPr>
            </w:pPr>
            <w:r w:rsidRPr="004A1D4A">
              <w:rPr>
                <w:rFonts w:cs="Arial"/>
                <w:b/>
                <w:bCs/>
                <w:sz w:val="22"/>
                <w:szCs w:val="22"/>
              </w:rPr>
              <w:lastRenderedPageBreak/>
              <w:t>CONFIDENTIALITY</w:t>
            </w:r>
          </w:p>
          <w:p w14:paraId="0CFAEB6C" w14:textId="77777777" w:rsidR="00FC30E8" w:rsidRPr="004A1D4A" w:rsidRDefault="00FC30E8" w:rsidP="00174090">
            <w:pPr>
              <w:jc w:val="both"/>
              <w:rPr>
                <w:rFonts w:cs="Arial"/>
                <w:b/>
                <w:bCs/>
                <w:sz w:val="22"/>
                <w:szCs w:val="22"/>
              </w:rPr>
            </w:pPr>
          </w:p>
          <w:p w14:paraId="193A6E7D" w14:textId="77777777" w:rsidR="0020098A" w:rsidRPr="004A1D4A" w:rsidRDefault="00B42C1B" w:rsidP="00174090">
            <w:pPr>
              <w:autoSpaceDE w:val="0"/>
              <w:autoSpaceDN w:val="0"/>
              <w:adjustRightInd w:val="0"/>
              <w:jc w:val="both"/>
              <w:rPr>
                <w:rFonts w:cs="Arial"/>
                <w:sz w:val="22"/>
                <w:szCs w:val="22"/>
              </w:rPr>
            </w:pPr>
            <w:r w:rsidRPr="004A1D4A">
              <w:rPr>
                <w:rFonts w:cs="Arial"/>
                <w:sz w:val="22"/>
                <w:szCs w:val="22"/>
              </w:rPr>
              <w:t xml:space="preserve">As set out in employees’ job descriptions, all employees may have access to confidential information about patients, staff or health service business. On no account must such information be divulged to anyone who is not authorised to receive it. Confidentiality of information must be preserved at all times whether at or away from work. </w:t>
            </w:r>
          </w:p>
          <w:p w14:paraId="18F64D7C" w14:textId="77777777" w:rsidR="0020098A" w:rsidRPr="004A1D4A" w:rsidRDefault="0020098A" w:rsidP="00174090">
            <w:pPr>
              <w:autoSpaceDE w:val="0"/>
              <w:autoSpaceDN w:val="0"/>
              <w:adjustRightInd w:val="0"/>
              <w:jc w:val="both"/>
              <w:rPr>
                <w:rFonts w:cs="Arial"/>
                <w:sz w:val="22"/>
                <w:szCs w:val="22"/>
              </w:rPr>
            </w:pPr>
          </w:p>
          <w:p w14:paraId="0E3400B6" w14:textId="77777777" w:rsidR="0020098A" w:rsidRPr="004A1D4A" w:rsidRDefault="00B42C1B" w:rsidP="00174090">
            <w:pPr>
              <w:autoSpaceDE w:val="0"/>
              <w:autoSpaceDN w:val="0"/>
              <w:adjustRightInd w:val="0"/>
              <w:jc w:val="both"/>
              <w:rPr>
                <w:rFonts w:cs="Arial"/>
                <w:sz w:val="22"/>
                <w:szCs w:val="22"/>
              </w:rPr>
            </w:pPr>
            <w:r w:rsidRPr="004A1D4A">
              <w:rPr>
                <w:rFonts w:cs="Arial"/>
                <w:sz w:val="22"/>
                <w:szCs w:val="22"/>
              </w:rPr>
              <w:t xml:space="preserve">Any breach of such confidentiality is considered a serious disciplinary offence, which may be liable to dismissal and/or prosecution under current statutory legislation (The Data Protection Act/ General Data Protection Regulations (2016) or any subsequent legislation to the same effect) and the </w:t>
            </w:r>
            <w:hyperlink r:id="rId19" w:history="1">
              <w:r w:rsidRPr="004A1D4A">
                <w:rPr>
                  <w:rStyle w:val="Hyperlink"/>
                  <w:rFonts w:cs="Arial"/>
                  <w:color w:val="auto"/>
                  <w:sz w:val="22"/>
                  <w:szCs w:val="22"/>
                </w:rPr>
                <w:t>Disciplinary Policy.</w:t>
              </w:r>
            </w:hyperlink>
            <w:r w:rsidRPr="004A1D4A">
              <w:rPr>
                <w:rFonts w:cs="Arial"/>
                <w:sz w:val="22"/>
                <w:szCs w:val="22"/>
              </w:rPr>
              <w:t xml:space="preserve"> Any breach of confidentiality may lead to disciplinary action and may be regarded as gross misconduct justifying summary dismissal. </w:t>
            </w:r>
          </w:p>
          <w:p w14:paraId="22B51F32" w14:textId="77777777" w:rsidR="0020098A" w:rsidRPr="004A1D4A" w:rsidRDefault="0020098A" w:rsidP="00174090">
            <w:pPr>
              <w:autoSpaceDE w:val="0"/>
              <w:autoSpaceDN w:val="0"/>
              <w:adjustRightInd w:val="0"/>
              <w:jc w:val="both"/>
              <w:rPr>
                <w:rFonts w:cs="Arial"/>
                <w:sz w:val="22"/>
                <w:szCs w:val="22"/>
              </w:rPr>
            </w:pPr>
          </w:p>
          <w:p w14:paraId="7590F79F" w14:textId="2B742B7D" w:rsidR="00B42C1B" w:rsidRPr="004A1D4A" w:rsidRDefault="00B42C1B" w:rsidP="00174090">
            <w:pPr>
              <w:autoSpaceDE w:val="0"/>
              <w:autoSpaceDN w:val="0"/>
              <w:adjustRightInd w:val="0"/>
              <w:jc w:val="both"/>
              <w:rPr>
                <w:rFonts w:cs="Arial"/>
                <w:sz w:val="22"/>
                <w:szCs w:val="22"/>
              </w:rPr>
            </w:pPr>
            <w:r w:rsidRPr="004A1D4A">
              <w:rPr>
                <w:rFonts w:cs="Arial"/>
                <w:sz w:val="22"/>
                <w:szCs w:val="22"/>
              </w:rPr>
              <w:t>Where employees are unsure about the use or sharing of patient identifiable information, advice should be sought from PHW’s Caldicott Guardian.</w:t>
            </w:r>
          </w:p>
          <w:p w14:paraId="738F0355" w14:textId="77777777" w:rsidR="0066537D" w:rsidRPr="004A1D4A" w:rsidRDefault="0066537D" w:rsidP="00174090">
            <w:pPr>
              <w:jc w:val="both"/>
              <w:rPr>
                <w:b/>
                <w:sz w:val="22"/>
                <w:szCs w:val="22"/>
              </w:rPr>
            </w:pPr>
          </w:p>
        </w:tc>
      </w:tr>
      <w:tr w:rsidR="004A1D4A" w:rsidRPr="004A1D4A" w14:paraId="1A3FD378" w14:textId="77777777" w:rsidTr="001A1533">
        <w:trPr>
          <w:jc w:val="center"/>
        </w:trPr>
        <w:tc>
          <w:tcPr>
            <w:tcW w:w="10467" w:type="dxa"/>
            <w:tcBorders>
              <w:bottom w:val="single" w:sz="4" w:space="0" w:color="auto"/>
            </w:tcBorders>
          </w:tcPr>
          <w:p w14:paraId="07AE64D3" w14:textId="77777777" w:rsidR="002C2D66" w:rsidRPr="004A1D4A" w:rsidRDefault="002C2D66" w:rsidP="001A1533">
            <w:pPr>
              <w:rPr>
                <w:b/>
                <w:sz w:val="22"/>
                <w:szCs w:val="22"/>
              </w:rPr>
            </w:pPr>
          </w:p>
          <w:p w14:paraId="5ED6BF1C" w14:textId="28B37579" w:rsidR="001A1533" w:rsidRPr="004A1D4A" w:rsidRDefault="001A1533" w:rsidP="001A1533">
            <w:pPr>
              <w:rPr>
                <w:b/>
                <w:sz w:val="22"/>
                <w:szCs w:val="22"/>
              </w:rPr>
            </w:pPr>
            <w:r w:rsidRPr="004A1D4A">
              <w:rPr>
                <w:b/>
                <w:sz w:val="22"/>
                <w:szCs w:val="22"/>
              </w:rPr>
              <w:t>Supporting Procedures and Written Control Documents</w:t>
            </w:r>
          </w:p>
          <w:p w14:paraId="6F6E869C" w14:textId="77777777" w:rsidR="001A1533" w:rsidRPr="004A1D4A" w:rsidRDefault="001A1533" w:rsidP="001A1533">
            <w:pPr>
              <w:spacing w:before="240"/>
              <w:jc w:val="both"/>
              <w:rPr>
                <w:rFonts w:cs="Arial"/>
                <w:sz w:val="22"/>
                <w:szCs w:val="22"/>
              </w:rPr>
            </w:pPr>
            <w:r w:rsidRPr="004A1D4A">
              <w:rPr>
                <w:rFonts w:cs="Arial"/>
                <w:sz w:val="22"/>
                <w:szCs w:val="22"/>
              </w:rPr>
              <w:t xml:space="preserve">This policy will be supported by the </w:t>
            </w:r>
            <w:hyperlink r:id="rId20" w:history="1">
              <w:r w:rsidRPr="004A1D4A">
                <w:rPr>
                  <w:rStyle w:val="Hyperlink"/>
                  <w:rFonts w:cs="Arial"/>
                  <w:i/>
                  <w:color w:val="auto"/>
                  <w:sz w:val="22"/>
                  <w:szCs w:val="22"/>
                </w:rPr>
                <w:t>Declarations of Interest, Gifts, Hospitality and Sponsorship Procedure</w:t>
              </w:r>
            </w:hyperlink>
            <w:r w:rsidRPr="004A1D4A">
              <w:rPr>
                <w:rFonts w:cs="Arial"/>
                <w:sz w:val="22"/>
                <w:szCs w:val="22"/>
              </w:rPr>
              <w:t xml:space="preserve">.  The procedure provides a framework to ensure that conflict or potential conflict of private interests and public duties of all employees and Non-Executive Directors should not occur. </w:t>
            </w:r>
          </w:p>
          <w:p w14:paraId="7E2F0F05" w14:textId="77777777" w:rsidR="001A1533" w:rsidRPr="004A1D4A" w:rsidRDefault="001A1533" w:rsidP="001A1533">
            <w:pPr>
              <w:spacing w:before="240"/>
              <w:jc w:val="both"/>
              <w:rPr>
                <w:rFonts w:cs="Arial"/>
                <w:sz w:val="22"/>
                <w:szCs w:val="22"/>
              </w:rPr>
            </w:pPr>
            <w:r w:rsidRPr="004A1D4A">
              <w:rPr>
                <w:sz w:val="22"/>
                <w:szCs w:val="22"/>
              </w:rPr>
              <w:t xml:space="preserve">It outlines the standards of </w:t>
            </w:r>
            <w:r w:rsidRPr="004A1D4A">
              <w:rPr>
                <w:rFonts w:cs="Arial"/>
                <w:sz w:val="22"/>
                <w:szCs w:val="22"/>
              </w:rPr>
              <w:t xml:space="preserve">conduct expected of all employees and Non-Executive Directors, regarding private interests as they relate and interface with public service duties. The procedure also provides a mechanism for Public Health Wales and guidance for staff in relation to declaring, recording and monitoring interests, </w:t>
            </w:r>
            <w:r w:rsidRPr="004A1D4A">
              <w:rPr>
                <w:sz w:val="22"/>
                <w:szCs w:val="22"/>
              </w:rPr>
              <w:t>gifts, hospitality and sponsorship.</w:t>
            </w:r>
            <w:r w:rsidRPr="004A1D4A">
              <w:rPr>
                <w:rFonts w:cs="Arial"/>
                <w:sz w:val="22"/>
                <w:szCs w:val="22"/>
              </w:rPr>
              <w:t xml:space="preserve"> </w:t>
            </w:r>
          </w:p>
          <w:p w14:paraId="6E6038DC" w14:textId="77777777" w:rsidR="001A1533" w:rsidRPr="004A1D4A" w:rsidRDefault="001A1533" w:rsidP="001A1533">
            <w:pPr>
              <w:pStyle w:val="BodyTextIndent"/>
              <w:spacing w:after="0"/>
              <w:ind w:left="0"/>
              <w:rPr>
                <w:rFonts w:cs="Arial"/>
                <w:sz w:val="22"/>
                <w:szCs w:val="22"/>
              </w:rPr>
            </w:pPr>
          </w:p>
          <w:p w14:paraId="7C724E79" w14:textId="77777777" w:rsidR="001A1533" w:rsidRPr="004A1D4A" w:rsidRDefault="001A1533" w:rsidP="001A1533">
            <w:pPr>
              <w:jc w:val="both"/>
              <w:rPr>
                <w:rFonts w:cs="Arial"/>
                <w:sz w:val="22"/>
                <w:szCs w:val="22"/>
              </w:rPr>
            </w:pPr>
            <w:r w:rsidRPr="004A1D4A">
              <w:rPr>
                <w:rFonts w:cs="Arial"/>
                <w:sz w:val="22"/>
                <w:szCs w:val="22"/>
              </w:rPr>
              <w:t>This policy should also be read in conjunction with the following documents:</w:t>
            </w:r>
          </w:p>
          <w:p w14:paraId="48397037" w14:textId="77777777" w:rsidR="001A1533" w:rsidRPr="004A1D4A" w:rsidRDefault="004A1D4A" w:rsidP="001A1533">
            <w:pPr>
              <w:numPr>
                <w:ilvl w:val="0"/>
                <w:numId w:val="5"/>
              </w:numPr>
              <w:rPr>
                <w:i/>
                <w:sz w:val="22"/>
                <w:szCs w:val="22"/>
              </w:rPr>
            </w:pPr>
            <w:hyperlink r:id="rId21" w:history="1">
              <w:r w:rsidR="001A1533" w:rsidRPr="004A1D4A">
                <w:rPr>
                  <w:rStyle w:val="Hyperlink"/>
                  <w:i/>
                  <w:color w:val="auto"/>
                  <w:sz w:val="22"/>
                  <w:szCs w:val="22"/>
                </w:rPr>
                <w:t>Concerns, Complaints and Claims Handling (Putting Things Right) Policy</w:t>
              </w:r>
            </w:hyperlink>
          </w:p>
          <w:p w14:paraId="5E92DC59" w14:textId="77777777" w:rsidR="001A1533" w:rsidRPr="004A1D4A" w:rsidRDefault="001A1533" w:rsidP="001A1533">
            <w:pPr>
              <w:numPr>
                <w:ilvl w:val="0"/>
                <w:numId w:val="5"/>
              </w:numPr>
              <w:rPr>
                <w:rStyle w:val="Hyperlink"/>
                <w:b/>
                <w:i/>
                <w:color w:val="auto"/>
                <w:sz w:val="22"/>
                <w:szCs w:val="22"/>
              </w:rPr>
            </w:pPr>
            <w:r w:rsidRPr="004A1D4A">
              <w:rPr>
                <w:i/>
                <w:sz w:val="22"/>
                <w:szCs w:val="22"/>
                <w:u w:val="single"/>
              </w:rPr>
              <w:fldChar w:fldCharType="begin"/>
            </w:r>
            <w:r w:rsidRPr="004A1D4A">
              <w:rPr>
                <w:i/>
                <w:sz w:val="22"/>
                <w:szCs w:val="22"/>
              </w:rPr>
              <w:instrText xml:space="preserve"> HYPERLINK "https://phw.nhs.wales/about-us/policies-and-procedures/policies-and-procedures-documents/corporate-governance-communications-and-finance-policies/" </w:instrText>
            </w:r>
            <w:r w:rsidRPr="004A1D4A">
              <w:rPr>
                <w:i/>
                <w:sz w:val="22"/>
                <w:szCs w:val="22"/>
              </w:rPr>
              <w:fldChar w:fldCharType="separate"/>
            </w:r>
            <w:r w:rsidRPr="004A1D4A">
              <w:rPr>
                <w:rStyle w:val="Hyperlink"/>
                <w:i/>
                <w:color w:val="auto"/>
                <w:sz w:val="22"/>
                <w:szCs w:val="22"/>
              </w:rPr>
              <w:t>Counter Fraud Policy</w:t>
            </w:r>
          </w:p>
          <w:p w14:paraId="431C3187" w14:textId="77777777" w:rsidR="001A1533" w:rsidRPr="004A1D4A" w:rsidRDefault="001A1533" w:rsidP="001A1533">
            <w:pPr>
              <w:numPr>
                <w:ilvl w:val="0"/>
                <w:numId w:val="5"/>
              </w:numPr>
              <w:rPr>
                <w:i/>
                <w:sz w:val="22"/>
                <w:szCs w:val="22"/>
              </w:rPr>
            </w:pPr>
            <w:r w:rsidRPr="004A1D4A">
              <w:rPr>
                <w:i/>
                <w:sz w:val="22"/>
                <w:szCs w:val="22"/>
              </w:rPr>
              <w:lastRenderedPageBreak/>
              <w:fldChar w:fldCharType="end"/>
            </w:r>
            <w:hyperlink r:id="rId22" w:history="1">
              <w:r w:rsidRPr="004A1D4A">
                <w:rPr>
                  <w:rStyle w:val="Hyperlink"/>
                  <w:i/>
                  <w:color w:val="auto"/>
                  <w:sz w:val="22"/>
                  <w:szCs w:val="22"/>
                </w:rPr>
                <w:t>Disciplinary Policy and Procedure</w:t>
              </w:r>
            </w:hyperlink>
          </w:p>
          <w:p w14:paraId="2BA4D0CD" w14:textId="77777777" w:rsidR="001A1533" w:rsidRPr="004A1D4A" w:rsidRDefault="001A1533" w:rsidP="001A1533">
            <w:pPr>
              <w:numPr>
                <w:ilvl w:val="0"/>
                <w:numId w:val="5"/>
              </w:numPr>
              <w:rPr>
                <w:rStyle w:val="Hyperlink"/>
                <w:i/>
                <w:color w:val="auto"/>
                <w:sz w:val="22"/>
                <w:szCs w:val="22"/>
              </w:rPr>
            </w:pPr>
            <w:r w:rsidRPr="004A1D4A">
              <w:rPr>
                <w:i/>
                <w:sz w:val="22"/>
                <w:szCs w:val="22"/>
              </w:rPr>
              <w:fldChar w:fldCharType="begin"/>
            </w:r>
            <w:r w:rsidRPr="004A1D4A">
              <w:rPr>
                <w:i/>
                <w:sz w:val="22"/>
                <w:szCs w:val="22"/>
              </w:rPr>
              <w:instrText xml:space="preserve"> HYPERLINK "https://phw.nhs.wales/about-us/policies-and-procedures/policies-and-procedures-documents/human-resources-policies/" </w:instrText>
            </w:r>
            <w:r w:rsidRPr="004A1D4A">
              <w:rPr>
                <w:i/>
                <w:sz w:val="22"/>
                <w:szCs w:val="22"/>
              </w:rPr>
              <w:fldChar w:fldCharType="separate"/>
            </w:r>
            <w:r w:rsidRPr="004A1D4A">
              <w:rPr>
                <w:rStyle w:val="Hyperlink"/>
                <w:i/>
                <w:color w:val="auto"/>
                <w:sz w:val="22"/>
                <w:szCs w:val="22"/>
              </w:rPr>
              <w:t>Procedure for NHS Staff to Raise Concerns</w:t>
            </w:r>
          </w:p>
          <w:p w14:paraId="6CEB0A42" w14:textId="77777777" w:rsidR="001A1533" w:rsidRPr="004A1D4A" w:rsidRDefault="001A1533" w:rsidP="001A1533">
            <w:pPr>
              <w:numPr>
                <w:ilvl w:val="0"/>
                <w:numId w:val="5"/>
              </w:numPr>
              <w:rPr>
                <w:rStyle w:val="Hyperlink"/>
                <w:b/>
                <w:i/>
                <w:color w:val="auto"/>
                <w:sz w:val="22"/>
                <w:szCs w:val="22"/>
                <w:u w:val="none"/>
              </w:rPr>
            </w:pPr>
            <w:r w:rsidRPr="004A1D4A">
              <w:rPr>
                <w:i/>
                <w:sz w:val="22"/>
                <w:szCs w:val="22"/>
              </w:rPr>
              <w:fldChar w:fldCharType="end"/>
            </w:r>
            <w:hyperlink r:id="rId23" w:history="1">
              <w:r w:rsidRPr="004A1D4A">
                <w:rPr>
                  <w:rStyle w:val="Hyperlink"/>
                  <w:i/>
                  <w:color w:val="auto"/>
                  <w:sz w:val="22"/>
                  <w:szCs w:val="22"/>
                </w:rPr>
                <w:t>Public Health Wales Standing Orders and Reservation and Delegation of Power</w:t>
              </w:r>
            </w:hyperlink>
          </w:p>
          <w:p w14:paraId="0FF57240" w14:textId="531B7E8A" w:rsidR="001A1533" w:rsidRPr="004A1D4A" w:rsidRDefault="004A1D4A" w:rsidP="001A1533">
            <w:pPr>
              <w:numPr>
                <w:ilvl w:val="0"/>
                <w:numId w:val="5"/>
              </w:numPr>
              <w:rPr>
                <w:rStyle w:val="Hyperlink"/>
                <w:b/>
                <w:i/>
                <w:color w:val="auto"/>
                <w:sz w:val="22"/>
                <w:szCs w:val="22"/>
                <w:u w:val="none"/>
              </w:rPr>
            </w:pPr>
            <w:hyperlink r:id="rId24" w:history="1">
              <w:r w:rsidR="001A1533" w:rsidRPr="004A1D4A">
                <w:rPr>
                  <w:rStyle w:val="Hyperlink"/>
                  <w:i/>
                  <w:color w:val="auto"/>
                  <w:sz w:val="22"/>
                  <w:szCs w:val="22"/>
                </w:rPr>
                <w:t>Standard Financial Instructions (SFIs)</w:t>
              </w:r>
            </w:hyperlink>
          </w:p>
          <w:p w14:paraId="562CC6DB" w14:textId="3FC8711A" w:rsidR="001A1533" w:rsidRPr="004A1D4A" w:rsidRDefault="004A1D4A" w:rsidP="001A1533">
            <w:pPr>
              <w:numPr>
                <w:ilvl w:val="0"/>
                <w:numId w:val="5"/>
              </w:numPr>
              <w:rPr>
                <w:b/>
                <w:i/>
                <w:sz w:val="22"/>
                <w:szCs w:val="22"/>
              </w:rPr>
            </w:pPr>
            <w:hyperlink r:id="rId25" w:history="1">
              <w:r w:rsidR="001A1533" w:rsidRPr="004A1D4A">
                <w:rPr>
                  <w:rStyle w:val="Hyperlink"/>
                  <w:i/>
                  <w:color w:val="auto"/>
                  <w:sz w:val="22"/>
                  <w:szCs w:val="22"/>
                </w:rPr>
                <w:t>Board Etiquette</w:t>
              </w:r>
            </w:hyperlink>
            <w:r w:rsidR="001A1533" w:rsidRPr="004A1D4A">
              <w:rPr>
                <w:rStyle w:val="Hyperlink"/>
                <w:i/>
                <w:color w:val="auto"/>
                <w:sz w:val="22"/>
                <w:szCs w:val="22"/>
              </w:rPr>
              <w:t xml:space="preserve"> </w:t>
            </w:r>
          </w:p>
          <w:p w14:paraId="0ED5B5F3" w14:textId="77777777" w:rsidR="001A1533" w:rsidRPr="004A1D4A" w:rsidRDefault="001A1533" w:rsidP="001A1533">
            <w:pPr>
              <w:ind w:left="720"/>
              <w:rPr>
                <w:b/>
                <w:sz w:val="22"/>
                <w:szCs w:val="22"/>
              </w:rPr>
            </w:pPr>
          </w:p>
          <w:p w14:paraId="37B1DE74" w14:textId="77777777" w:rsidR="001A1533" w:rsidRPr="004A1D4A" w:rsidRDefault="001A1533" w:rsidP="001A1533">
            <w:pPr>
              <w:jc w:val="both"/>
              <w:rPr>
                <w:rFonts w:cs="Arial"/>
                <w:sz w:val="22"/>
                <w:szCs w:val="22"/>
              </w:rPr>
            </w:pPr>
            <w:r w:rsidRPr="004A1D4A">
              <w:rPr>
                <w:rFonts w:cs="Arial"/>
                <w:sz w:val="22"/>
                <w:szCs w:val="22"/>
              </w:rPr>
              <w:t>There are other relevant Public Health Wales people policies that provide for elimination of conflicts of interest in other situations e.g. guidance governing appointment panels.</w:t>
            </w:r>
          </w:p>
          <w:p w14:paraId="3DAFE44E" w14:textId="77777777" w:rsidR="001A1533" w:rsidRPr="004A1D4A" w:rsidRDefault="001A1533" w:rsidP="001A1533">
            <w:pPr>
              <w:jc w:val="both"/>
              <w:rPr>
                <w:rFonts w:cs="Arial"/>
                <w:sz w:val="22"/>
                <w:szCs w:val="22"/>
              </w:rPr>
            </w:pPr>
          </w:p>
          <w:p w14:paraId="1FD647D9" w14:textId="77777777" w:rsidR="001A1533" w:rsidRPr="004A1D4A" w:rsidRDefault="001A1533" w:rsidP="001A1533">
            <w:pPr>
              <w:rPr>
                <w:sz w:val="22"/>
                <w:szCs w:val="22"/>
              </w:rPr>
            </w:pPr>
            <w:r w:rsidRPr="004A1D4A">
              <w:rPr>
                <w:sz w:val="22"/>
                <w:szCs w:val="22"/>
              </w:rPr>
              <w:t xml:space="preserve">The need to establish and maintain a process for the declaration of interests, gifts, hospitality, honoraria and sponsorship is referred to in the following guidance and legislation: </w:t>
            </w:r>
          </w:p>
          <w:p w14:paraId="7A8F1C8E" w14:textId="50AB1131" w:rsidR="001A1533" w:rsidRPr="004A1D4A" w:rsidRDefault="004A1D4A" w:rsidP="001A1533">
            <w:pPr>
              <w:numPr>
                <w:ilvl w:val="0"/>
                <w:numId w:val="13"/>
              </w:numPr>
              <w:rPr>
                <w:i/>
                <w:sz w:val="22"/>
                <w:szCs w:val="22"/>
              </w:rPr>
            </w:pPr>
            <w:hyperlink r:id="rId26" w:history="1">
              <w:r w:rsidR="001A1533" w:rsidRPr="004A1D4A">
                <w:rPr>
                  <w:rStyle w:val="Hyperlink"/>
                  <w:i/>
                  <w:color w:val="auto"/>
                  <w:sz w:val="22"/>
                  <w:szCs w:val="22"/>
                </w:rPr>
                <w:t>Bribery Act 2010</w:t>
              </w:r>
            </w:hyperlink>
          </w:p>
          <w:p w14:paraId="5F4773C9" w14:textId="77777777" w:rsidR="001A1533" w:rsidRPr="004A1D4A" w:rsidRDefault="001A1533" w:rsidP="001A1533">
            <w:pPr>
              <w:numPr>
                <w:ilvl w:val="0"/>
                <w:numId w:val="13"/>
              </w:numPr>
              <w:rPr>
                <w:i/>
                <w:sz w:val="22"/>
                <w:szCs w:val="22"/>
              </w:rPr>
            </w:pPr>
            <w:r w:rsidRPr="004A1D4A">
              <w:rPr>
                <w:i/>
                <w:sz w:val="22"/>
                <w:szCs w:val="22"/>
              </w:rPr>
              <w:t>Standards of Business Conduct (DGM(93)84) and Code of Conduct and Accountability WHC(2006)90</w:t>
            </w:r>
          </w:p>
          <w:p w14:paraId="5331DE21" w14:textId="543F88C8" w:rsidR="001A1533" w:rsidRPr="004A1D4A" w:rsidRDefault="004A1D4A" w:rsidP="001A1533">
            <w:pPr>
              <w:numPr>
                <w:ilvl w:val="0"/>
                <w:numId w:val="13"/>
              </w:numPr>
              <w:rPr>
                <w:i/>
                <w:sz w:val="22"/>
                <w:szCs w:val="22"/>
              </w:rPr>
            </w:pPr>
            <w:hyperlink r:id="rId27" w:history="1">
              <w:r w:rsidR="001A1533" w:rsidRPr="004A1D4A">
                <w:rPr>
                  <w:rStyle w:val="Hyperlink"/>
                  <w:i/>
                  <w:color w:val="auto"/>
                  <w:sz w:val="22"/>
                  <w:szCs w:val="22"/>
                </w:rPr>
                <w:t>The NHS and Sponsorship by the Pharmaceutical Industry WHC (2005) 016</w:t>
              </w:r>
            </w:hyperlink>
          </w:p>
          <w:p w14:paraId="3B237859" w14:textId="70EC558F" w:rsidR="001A1533" w:rsidRPr="004A1D4A" w:rsidRDefault="004A1D4A" w:rsidP="001A1533">
            <w:pPr>
              <w:numPr>
                <w:ilvl w:val="0"/>
                <w:numId w:val="13"/>
              </w:numPr>
              <w:rPr>
                <w:i/>
                <w:sz w:val="22"/>
                <w:szCs w:val="22"/>
              </w:rPr>
            </w:pPr>
            <w:hyperlink r:id="rId28" w:history="1">
              <w:r w:rsidR="001A1533" w:rsidRPr="004A1D4A">
                <w:rPr>
                  <w:rStyle w:val="Hyperlink"/>
                  <w:i/>
                  <w:color w:val="auto"/>
                  <w:sz w:val="22"/>
                  <w:szCs w:val="22"/>
                </w:rPr>
                <w:t>Public Health Wales National Health Service (Membership and</w:t>
              </w:r>
              <w:r w:rsidR="001A1533" w:rsidRPr="004A1D4A">
                <w:rPr>
                  <w:rStyle w:val="Hyperlink"/>
                  <w:b/>
                  <w:bCs/>
                  <w:i/>
                  <w:color w:val="auto"/>
                  <w:sz w:val="22"/>
                  <w:szCs w:val="22"/>
                </w:rPr>
                <w:t xml:space="preserve"> </w:t>
              </w:r>
              <w:r w:rsidR="001A1533" w:rsidRPr="004A1D4A">
                <w:rPr>
                  <w:rStyle w:val="Hyperlink"/>
                  <w:i/>
                  <w:color w:val="auto"/>
                  <w:sz w:val="22"/>
                  <w:szCs w:val="22"/>
                </w:rPr>
                <w:t>Procedures) Regulations 2009</w:t>
              </w:r>
            </w:hyperlink>
          </w:p>
          <w:p w14:paraId="5ACCB86F" w14:textId="5B3E1707" w:rsidR="001A1533" w:rsidRPr="004A1D4A" w:rsidRDefault="004A1D4A" w:rsidP="001A1533">
            <w:pPr>
              <w:numPr>
                <w:ilvl w:val="0"/>
                <w:numId w:val="13"/>
              </w:numPr>
              <w:rPr>
                <w:i/>
                <w:sz w:val="22"/>
                <w:szCs w:val="22"/>
              </w:rPr>
            </w:pPr>
            <w:hyperlink r:id="rId29" w:history="1">
              <w:r w:rsidR="001A1533" w:rsidRPr="004A1D4A">
                <w:rPr>
                  <w:rStyle w:val="Hyperlink"/>
                  <w:i/>
                  <w:color w:val="auto"/>
                  <w:sz w:val="22"/>
                  <w:szCs w:val="22"/>
                </w:rPr>
                <w:t>Equality Act 2010</w:t>
              </w:r>
            </w:hyperlink>
          </w:p>
          <w:p w14:paraId="7ACC6CD0" w14:textId="70C65F9A" w:rsidR="001A1533" w:rsidRPr="004A1D4A" w:rsidRDefault="004A1D4A" w:rsidP="001A1533">
            <w:pPr>
              <w:numPr>
                <w:ilvl w:val="0"/>
                <w:numId w:val="13"/>
              </w:numPr>
              <w:rPr>
                <w:i/>
                <w:sz w:val="22"/>
                <w:szCs w:val="22"/>
              </w:rPr>
            </w:pPr>
            <w:hyperlink r:id="rId30" w:history="1">
              <w:r w:rsidR="001A1533" w:rsidRPr="004A1D4A">
                <w:rPr>
                  <w:rStyle w:val="Hyperlink"/>
                  <w:i/>
                  <w:color w:val="auto"/>
                  <w:sz w:val="22"/>
                  <w:szCs w:val="22"/>
                </w:rPr>
                <w:t>Managing Welsh Public Money, 2016</w:t>
              </w:r>
            </w:hyperlink>
          </w:p>
          <w:p w14:paraId="0F775662" w14:textId="152E159C" w:rsidR="001A1533" w:rsidRPr="004A1D4A" w:rsidRDefault="004A1D4A" w:rsidP="001A1533">
            <w:pPr>
              <w:numPr>
                <w:ilvl w:val="0"/>
                <w:numId w:val="13"/>
              </w:numPr>
              <w:rPr>
                <w:i/>
                <w:sz w:val="22"/>
                <w:szCs w:val="22"/>
              </w:rPr>
            </w:pPr>
            <w:hyperlink r:id="rId31" w:history="1">
              <w:r w:rsidR="001A1533" w:rsidRPr="004A1D4A">
                <w:rPr>
                  <w:rStyle w:val="Hyperlink"/>
                  <w:i/>
                  <w:color w:val="auto"/>
                  <w:sz w:val="22"/>
                  <w:szCs w:val="22"/>
                </w:rPr>
                <w:t>Public Health Wales Standing Orders and Reservation and Delegation of Power</w:t>
              </w:r>
            </w:hyperlink>
          </w:p>
          <w:p w14:paraId="7039B9F3" w14:textId="1B21A3BC" w:rsidR="001A1533" w:rsidRPr="004A1D4A" w:rsidRDefault="004A1D4A" w:rsidP="001A1533">
            <w:pPr>
              <w:numPr>
                <w:ilvl w:val="0"/>
                <w:numId w:val="13"/>
              </w:numPr>
              <w:rPr>
                <w:i/>
                <w:sz w:val="22"/>
                <w:szCs w:val="22"/>
              </w:rPr>
            </w:pPr>
            <w:hyperlink r:id="rId32" w:history="1">
              <w:r w:rsidR="001A1533" w:rsidRPr="004A1D4A">
                <w:rPr>
                  <w:rStyle w:val="Hyperlink"/>
                  <w:rFonts w:cs="Arial"/>
                  <w:i/>
                  <w:color w:val="auto"/>
                  <w:sz w:val="22"/>
                  <w:szCs w:val="22"/>
                </w:rPr>
                <w:t>The Association of British Pharmaceutical Industry (ABPI) (2016) Code of Practice for the Pharmaceutical Industry</w:t>
              </w:r>
            </w:hyperlink>
          </w:p>
          <w:p w14:paraId="719FA300" w14:textId="77777777" w:rsidR="001A1533" w:rsidRPr="004A1D4A" w:rsidRDefault="001A1533" w:rsidP="001A1533">
            <w:pPr>
              <w:jc w:val="both"/>
              <w:rPr>
                <w:rFonts w:cs="Arial"/>
                <w:sz w:val="22"/>
                <w:szCs w:val="22"/>
              </w:rPr>
            </w:pPr>
          </w:p>
          <w:p w14:paraId="193B7D3A" w14:textId="143D1D6E" w:rsidR="001A1533" w:rsidRPr="004A1D4A" w:rsidRDefault="001A1533" w:rsidP="001A1533">
            <w:pPr>
              <w:rPr>
                <w:b/>
                <w:kern w:val="28"/>
                <w:sz w:val="22"/>
                <w:szCs w:val="22"/>
                <w:lang w:eastAsia="en-GB"/>
              </w:rPr>
            </w:pPr>
            <w:r w:rsidRPr="004A1D4A">
              <w:rPr>
                <w:rFonts w:cs="Arial"/>
                <w:sz w:val="22"/>
                <w:szCs w:val="22"/>
              </w:rPr>
              <w:t>This policy and supportive procedure has been developed in accordance with the requirements of the above.</w:t>
            </w:r>
          </w:p>
        </w:tc>
      </w:tr>
    </w:tbl>
    <w:p w14:paraId="0DFF76D7" w14:textId="77777777" w:rsidR="00AB0D0B" w:rsidRPr="00174090" w:rsidRDefault="00AB0D0B">
      <w:pPr>
        <w:rPr>
          <w:sz w:val="22"/>
          <w:szCs w:val="22"/>
        </w:rPr>
      </w:pPr>
    </w:p>
    <w:tbl>
      <w:tblPr>
        <w:tblW w:w="1028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6599"/>
      </w:tblGrid>
      <w:tr w:rsidR="00681EEC" w:rsidRPr="00174090" w14:paraId="2D7586F4" w14:textId="77777777" w:rsidTr="00A92081">
        <w:tc>
          <w:tcPr>
            <w:tcW w:w="3687" w:type="dxa"/>
            <w:tcBorders>
              <w:bottom w:val="single" w:sz="4" w:space="0" w:color="auto"/>
            </w:tcBorders>
          </w:tcPr>
          <w:p w14:paraId="43DF2DA3" w14:textId="77777777" w:rsidR="00681EEC" w:rsidRPr="00174090" w:rsidRDefault="00631A94" w:rsidP="00150334">
            <w:pPr>
              <w:rPr>
                <w:b/>
                <w:sz w:val="22"/>
                <w:szCs w:val="22"/>
              </w:rPr>
            </w:pPr>
            <w:r w:rsidRPr="00174090">
              <w:rPr>
                <w:b/>
                <w:sz w:val="22"/>
                <w:szCs w:val="22"/>
              </w:rPr>
              <w:t>Equality</w:t>
            </w:r>
            <w:r w:rsidR="00B0163C" w:rsidRPr="00174090">
              <w:rPr>
                <w:b/>
                <w:sz w:val="22"/>
                <w:szCs w:val="22"/>
              </w:rPr>
              <w:t xml:space="preserve"> </w:t>
            </w:r>
            <w:r w:rsidRPr="00174090">
              <w:rPr>
                <w:b/>
                <w:sz w:val="22"/>
                <w:szCs w:val="22"/>
              </w:rPr>
              <w:t xml:space="preserve">and Health </w:t>
            </w:r>
            <w:r w:rsidR="00681EEC" w:rsidRPr="00174090">
              <w:rPr>
                <w:b/>
                <w:sz w:val="22"/>
                <w:szCs w:val="22"/>
              </w:rPr>
              <w:t xml:space="preserve">Impact Assessment </w:t>
            </w:r>
          </w:p>
        </w:tc>
        <w:tc>
          <w:tcPr>
            <w:tcW w:w="6599" w:type="dxa"/>
          </w:tcPr>
          <w:p w14:paraId="4CBA9867" w14:textId="43F8C809" w:rsidR="00681EEC" w:rsidRPr="00174090" w:rsidRDefault="00435051" w:rsidP="00E01371">
            <w:pPr>
              <w:rPr>
                <w:sz w:val="22"/>
                <w:szCs w:val="22"/>
                <w:lang w:eastAsia="en-GB"/>
              </w:rPr>
            </w:pPr>
            <w:r w:rsidRPr="00174090">
              <w:rPr>
                <w:rFonts w:cs="Arial"/>
                <w:sz w:val="22"/>
                <w:szCs w:val="22"/>
              </w:rPr>
              <w:t xml:space="preserve">Equality and Health Impact Assessment undertaken.  Document available at </w:t>
            </w:r>
            <w:r w:rsidR="006615EB" w:rsidRPr="00174090">
              <w:rPr>
                <w:sz w:val="22"/>
                <w:szCs w:val="22"/>
              </w:rPr>
              <w:t xml:space="preserve">on the </w:t>
            </w:r>
            <w:hyperlink r:id="rId33" w:history="1">
              <w:r w:rsidR="006615EB" w:rsidRPr="00174090">
                <w:rPr>
                  <w:rStyle w:val="Hyperlink"/>
                  <w:sz w:val="22"/>
                  <w:szCs w:val="22"/>
                </w:rPr>
                <w:t>policies pages of the website.</w:t>
              </w:r>
            </w:hyperlink>
          </w:p>
        </w:tc>
      </w:tr>
      <w:tr w:rsidR="006F3717" w:rsidRPr="00174090" w14:paraId="2282214D" w14:textId="77777777" w:rsidTr="00A92081">
        <w:tc>
          <w:tcPr>
            <w:tcW w:w="3687" w:type="dxa"/>
            <w:tcBorders>
              <w:top w:val="single" w:sz="4" w:space="0" w:color="auto"/>
            </w:tcBorders>
          </w:tcPr>
          <w:p w14:paraId="10C708D3" w14:textId="77777777" w:rsidR="006F3717" w:rsidRPr="00174090" w:rsidRDefault="006F3717" w:rsidP="00E01371">
            <w:pPr>
              <w:rPr>
                <w:b/>
                <w:sz w:val="22"/>
                <w:szCs w:val="22"/>
              </w:rPr>
            </w:pPr>
            <w:r w:rsidRPr="00174090">
              <w:rPr>
                <w:b/>
                <w:sz w:val="22"/>
                <w:szCs w:val="22"/>
              </w:rPr>
              <w:t>Approved by</w:t>
            </w:r>
          </w:p>
        </w:tc>
        <w:tc>
          <w:tcPr>
            <w:tcW w:w="6599" w:type="dxa"/>
          </w:tcPr>
          <w:p w14:paraId="3EAA3363" w14:textId="77777777" w:rsidR="00915370" w:rsidRPr="00174090" w:rsidRDefault="007D582E" w:rsidP="008E6497">
            <w:pPr>
              <w:rPr>
                <w:sz w:val="22"/>
                <w:szCs w:val="22"/>
              </w:rPr>
            </w:pPr>
            <w:r w:rsidRPr="00174090">
              <w:rPr>
                <w:sz w:val="22"/>
                <w:szCs w:val="22"/>
              </w:rPr>
              <w:t>Board</w:t>
            </w:r>
          </w:p>
        </w:tc>
      </w:tr>
      <w:tr w:rsidR="004017B1" w:rsidRPr="00174090" w14:paraId="5EC55394" w14:textId="77777777" w:rsidTr="00A92081">
        <w:tc>
          <w:tcPr>
            <w:tcW w:w="3687" w:type="dxa"/>
            <w:tcBorders>
              <w:top w:val="single" w:sz="4" w:space="0" w:color="auto"/>
            </w:tcBorders>
          </w:tcPr>
          <w:p w14:paraId="7544539F" w14:textId="77777777" w:rsidR="004017B1" w:rsidRPr="00174090" w:rsidRDefault="004017B1" w:rsidP="004017B1">
            <w:pPr>
              <w:rPr>
                <w:b/>
                <w:sz w:val="22"/>
                <w:szCs w:val="22"/>
              </w:rPr>
            </w:pPr>
            <w:r w:rsidRPr="00174090">
              <w:rPr>
                <w:b/>
                <w:sz w:val="22"/>
                <w:szCs w:val="22"/>
              </w:rPr>
              <w:t>Approval Date</w:t>
            </w:r>
          </w:p>
        </w:tc>
        <w:tc>
          <w:tcPr>
            <w:tcW w:w="6599" w:type="dxa"/>
          </w:tcPr>
          <w:p w14:paraId="5948F3FF" w14:textId="393A0A82" w:rsidR="004017B1" w:rsidRPr="00174090" w:rsidRDefault="00A92081" w:rsidP="00962F90">
            <w:pPr>
              <w:rPr>
                <w:sz w:val="22"/>
                <w:szCs w:val="22"/>
              </w:rPr>
            </w:pPr>
            <w:r w:rsidRPr="00A92081">
              <w:rPr>
                <w:color w:val="FF0000"/>
                <w:sz w:val="22"/>
                <w:szCs w:val="22"/>
              </w:rPr>
              <w:t>25 March 2021</w:t>
            </w:r>
            <w:r w:rsidR="004A1D4A">
              <w:rPr>
                <w:color w:val="FF0000"/>
                <w:sz w:val="22"/>
                <w:szCs w:val="22"/>
              </w:rPr>
              <w:t xml:space="preserve"> TBC</w:t>
            </w:r>
          </w:p>
        </w:tc>
      </w:tr>
      <w:tr w:rsidR="004017B1" w:rsidRPr="00174090" w14:paraId="026CF671" w14:textId="77777777" w:rsidTr="00A92081">
        <w:tc>
          <w:tcPr>
            <w:tcW w:w="3687" w:type="dxa"/>
            <w:tcBorders>
              <w:top w:val="single" w:sz="4" w:space="0" w:color="auto"/>
            </w:tcBorders>
          </w:tcPr>
          <w:p w14:paraId="53243BB7" w14:textId="77777777" w:rsidR="004017B1" w:rsidRPr="00174090" w:rsidRDefault="004017B1" w:rsidP="004017B1">
            <w:pPr>
              <w:rPr>
                <w:b/>
                <w:sz w:val="22"/>
                <w:szCs w:val="22"/>
              </w:rPr>
            </w:pPr>
            <w:r w:rsidRPr="00174090">
              <w:rPr>
                <w:b/>
                <w:sz w:val="22"/>
                <w:szCs w:val="22"/>
              </w:rPr>
              <w:t>Review Date</w:t>
            </w:r>
          </w:p>
        </w:tc>
        <w:tc>
          <w:tcPr>
            <w:tcW w:w="6599" w:type="dxa"/>
          </w:tcPr>
          <w:p w14:paraId="3013CB5A" w14:textId="425C0878" w:rsidR="004017B1" w:rsidRPr="00A92081" w:rsidRDefault="00A92081" w:rsidP="00721403">
            <w:pPr>
              <w:rPr>
                <w:color w:val="FF0000"/>
                <w:sz w:val="22"/>
                <w:szCs w:val="22"/>
              </w:rPr>
            </w:pPr>
            <w:r w:rsidRPr="00A92081">
              <w:rPr>
                <w:color w:val="FF0000"/>
                <w:sz w:val="22"/>
                <w:szCs w:val="22"/>
              </w:rPr>
              <w:t>25 March 2024</w:t>
            </w:r>
            <w:r w:rsidR="004A1D4A">
              <w:rPr>
                <w:color w:val="FF0000"/>
                <w:sz w:val="22"/>
                <w:szCs w:val="22"/>
              </w:rPr>
              <w:t xml:space="preserve"> TBC</w:t>
            </w:r>
          </w:p>
        </w:tc>
      </w:tr>
      <w:tr w:rsidR="008E6497" w:rsidRPr="00174090" w14:paraId="6E56C221" w14:textId="77777777" w:rsidTr="00A92081">
        <w:tc>
          <w:tcPr>
            <w:tcW w:w="3687" w:type="dxa"/>
            <w:tcBorders>
              <w:top w:val="single" w:sz="4" w:space="0" w:color="auto"/>
            </w:tcBorders>
          </w:tcPr>
          <w:p w14:paraId="2937101D" w14:textId="77777777" w:rsidR="008E6497" w:rsidRPr="00174090" w:rsidRDefault="008E6497" w:rsidP="004017B1">
            <w:pPr>
              <w:rPr>
                <w:b/>
                <w:sz w:val="22"/>
                <w:szCs w:val="22"/>
              </w:rPr>
            </w:pPr>
            <w:r w:rsidRPr="00174090">
              <w:rPr>
                <w:b/>
                <w:sz w:val="22"/>
                <w:szCs w:val="22"/>
              </w:rPr>
              <w:t>Date of Publication:</w:t>
            </w:r>
          </w:p>
        </w:tc>
        <w:tc>
          <w:tcPr>
            <w:tcW w:w="6599" w:type="dxa"/>
          </w:tcPr>
          <w:p w14:paraId="4071F1D1" w14:textId="7F6A5A1D" w:rsidR="008E6497" w:rsidRPr="00A92081" w:rsidRDefault="00A92081" w:rsidP="00962F90">
            <w:pPr>
              <w:rPr>
                <w:color w:val="FF0000"/>
                <w:sz w:val="22"/>
                <w:szCs w:val="22"/>
              </w:rPr>
            </w:pPr>
            <w:r w:rsidRPr="00A92081">
              <w:rPr>
                <w:color w:val="FF0000"/>
                <w:sz w:val="22"/>
                <w:szCs w:val="22"/>
              </w:rPr>
              <w:t>26 March 2021</w:t>
            </w:r>
            <w:r w:rsidR="004A1D4A">
              <w:rPr>
                <w:color w:val="FF0000"/>
                <w:sz w:val="22"/>
                <w:szCs w:val="22"/>
              </w:rPr>
              <w:t xml:space="preserve"> TBC</w:t>
            </w:r>
            <w:bookmarkStart w:id="0" w:name="_GoBack"/>
            <w:bookmarkEnd w:id="0"/>
          </w:p>
        </w:tc>
      </w:tr>
      <w:tr w:rsidR="007341E1" w:rsidRPr="00174090" w14:paraId="540A00A5" w14:textId="77777777" w:rsidTr="00A92081">
        <w:tc>
          <w:tcPr>
            <w:tcW w:w="3687" w:type="dxa"/>
          </w:tcPr>
          <w:p w14:paraId="116258B6" w14:textId="77777777" w:rsidR="007341E1" w:rsidRPr="00174090" w:rsidRDefault="00356703" w:rsidP="007D4D13">
            <w:pPr>
              <w:rPr>
                <w:b/>
                <w:sz w:val="22"/>
                <w:szCs w:val="22"/>
              </w:rPr>
            </w:pPr>
            <w:r w:rsidRPr="00174090">
              <w:rPr>
                <w:b/>
                <w:sz w:val="22"/>
                <w:szCs w:val="22"/>
              </w:rPr>
              <w:t xml:space="preserve">Group with authority to approve </w:t>
            </w:r>
            <w:r w:rsidR="007D4D13" w:rsidRPr="00174090">
              <w:rPr>
                <w:b/>
                <w:sz w:val="22"/>
                <w:szCs w:val="22"/>
              </w:rPr>
              <w:t xml:space="preserve">supporting </w:t>
            </w:r>
            <w:r w:rsidRPr="00174090">
              <w:rPr>
                <w:b/>
                <w:sz w:val="22"/>
                <w:szCs w:val="22"/>
              </w:rPr>
              <w:t xml:space="preserve">procedures </w:t>
            </w:r>
          </w:p>
        </w:tc>
        <w:tc>
          <w:tcPr>
            <w:tcW w:w="6599" w:type="dxa"/>
          </w:tcPr>
          <w:p w14:paraId="04F2072D" w14:textId="77777777" w:rsidR="007341E1" w:rsidRPr="00174090" w:rsidRDefault="00B20018" w:rsidP="00E01371">
            <w:pPr>
              <w:rPr>
                <w:color w:val="FF0000"/>
                <w:sz w:val="22"/>
                <w:szCs w:val="22"/>
              </w:rPr>
            </w:pPr>
            <w:r w:rsidRPr="00174090">
              <w:rPr>
                <w:sz w:val="22"/>
                <w:szCs w:val="22"/>
              </w:rPr>
              <w:t>Board</w:t>
            </w:r>
          </w:p>
        </w:tc>
      </w:tr>
      <w:tr w:rsidR="006F3717" w:rsidRPr="00174090" w14:paraId="5F1F83C7" w14:textId="77777777" w:rsidTr="00A92081">
        <w:tc>
          <w:tcPr>
            <w:tcW w:w="3687" w:type="dxa"/>
          </w:tcPr>
          <w:p w14:paraId="1EC795BB" w14:textId="336382F6" w:rsidR="006F3717" w:rsidRPr="00174090" w:rsidRDefault="006F3717" w:rsidP="00E01371">
            <w:pPr>
              <w:rPr>
                <w:b/>
                <w:sz w:val="22"/>
                <w:szCs w:val="22"/>
              </w:rPr>
            </w:pPr>
            <w:r w:rsidRPr="00174090">
              <w:rPr>
                <w:b/>
                <w:sz w:val="22"/>
                <w:szCs w:val="22"/>
              </w:rPr>
              <w:t xml:space="preserve">Accountable </w:t>
            </w:r>
            <w:r w:rsidR="000F661E" w:rsidRPr="00174090">
              <w:rPr>
                <w:b/>
                <w:sz w:val="22"/>
                <w:szCs w:val="22"/>
              </w:rPr>
              <w:t xml:space="preserve">Executive </w:t>
            </w:r>
            <w:r w:rsidR="006615EB" w:rsidRPr="00174090">
              <w:rPr>
                <w:b/>
                <w:sz w:val="22"/>
                <w:szCs w:val="22"/>
              </w:rPr>
              <w:t>Lead</w:t>
            </w:r>
          </w:p>
          <w:p w14:paraId="69C7EDF7" w14:textId="77777777" w:rsidR="006F3717" w:rsidRPr="00174090" w:rsidRDefault="006F3717" w:rsidP="00E01371">
            <w:pPr>
              <w:rPr>
                <w:b/>
                <w:sz w:val="22"/>
                <w:szCs w:val="22"/>
              </w:rPr>
            </w:pPr>
          </w:p>
        </w:tc>
        <w:tc>
          <w:tcPr>
            <w:tcW w:w="6599" w:type="dxa"/>
          </w:tcPr>
          <w:p w14:paraId="0DB8C9B2" w14:textId="77777777" w:rsidR="00C61DDF" w:rsidRPr="00174090" w:rsidRDefault="00C61DDF" w:rsidP="00C61DDF">
            <w:pPr>
              <w:rPr>
                <w:b/>
                <w:sz w:val="22"/>
                <w:szCs w:val="22"/>
              </w:rPr>
            </w:pPr>
            <w:r w:rsidRPr="00174090">
              <w:rPr>
                <w:b/>
                <w:sz w:val="22"/>
                <w:szCs w:val="22"/>
              </w:rPr>
              <w:t>Helen Bushell</w:t>
            </w:r>
          </w:p>
          <w:p w14:paraId="3600FE10" w14:textId="54B06252" w:rsidR="006F3717" w:rsidRPr="00174090" w:rsidRDefault="0074348B" w:rsidP="00C61DDF">
            <w:pPr>
              <w:rPr>
                <w:sz w:val="22"/>
                <w:szCs w:val="22"/>
              </w:rPr>
            </w:pPr>
            <w:r w:rsidRPr="00174090">
              <w:rPr>
                <w:sz w:val="22"/>
                <w:szCs w:val="22"/>
              </w:rPr>
              <w:t>Board Secretary and</w:t>
            </w:r>
            <w:r w:rsidR="0088008B" w:rsidRPr="00174090">
              <w:rPr>
                <w:sz w:val="22"/>
                <w:szCs w:val="22"/>
              </w:rPr>
              <w:t xml:space="preserve"> Head of </w:t>
            </w:r>
            <w:r w:rsidR="00C61DDF" w:rsidRPr="00174090">
              <w:rPr>
                <w:sz w:val="22"/>
                <w:szCs w:val="22"/>
              </w:rPr>
              <w:t>Board Business Unit</w:t>
            </w:r>
          </w:p>
        </w:tc>
      </w:tr>
      <w:tr w:rsidR="007D4D13" w:rsidRPr="00174090" w14:paraId="4036D77D" w14:textId="77777777" w:rsidTr="00A92081">
        <w:tc>
          <w:tcPr>
            <w:tcW w:w="3687" w:type="dxa"/>
          </w:tcPr>
          <w:p w14:paraId="570F4C92" w14:textId="77777777" w:rsidR="007D4D13" w:rsidRPr="00174090" w:rsidRDefault="007D4D13" w:rsidP="00E01371">
            <w:pPr>
              <w:rPr>
                <w:b/>
                <w:sz w:val="22"/>
                <w:szCs w:val="22"/>
              </w:rPr>
            </w:pPr>
            <w:r w:rsidRPr="00174090">
              <w:rPr>
                <w:b/>
                <w:sz w:val="22"/>
                <w:szCs w:val="22"/>
              </w:rPr>
              <w:t>Author</w:t>
            </w:r>
          </w:p>
          <w:p w14:paraId="00F970BC" w14:textId="77777777" w:rsidR="006D56D2" w:rsidRPr="00174090" w:rsidRDefault="006D56D2" w:rsidP="00E01371">
            <w:pPr>
              <w:rPr>
                <w:b/>
                <w:sz w:val="22"/>
                <w:szCs w:val="22"/>
              </w:rPr>
            </w:pPr>
          </w:p>
        </w:tc>
        <w:tc>
          <w:tcPr>
            <w:tcW w:w="6599" w:type="dxa"/>
          </w:tcPr>
          <w:p w14:paraId="7C667ACA" w14:textId="0F75F4EC" w:rsidR="008E6497" w:rsidRPr="00174090" w:rsidRDefault="00C61DDF" w:rsidP="008E6497">
            <w:pPr>
              <w:rPr>
                <w:b/>
                <w:sz w:val="22"/>
                <w:szCs w:val="22"/>
              </w:rPr>
            </w:pPr>
            <w:r w:rsidRPr="00174090">
              <w:rPr>
                <w:b/>
                <w:sz w:val="22"/>
                <w:szCs w:val="22"/>
              </w:rPr>
              <w:t>Liz Blayney</w:t>
            </w:r>
          </w:p>
          <w:p w14:paraId="028194D1" w14:textId="2EC9D657" w:rsidR="007D4D13" w:rsidRPr="00174090" w:rsidRDefault="00C61DDF" w:rsidP="00C61DDF">
            <w:pPr>
              <w:rPr>
                <w:sz w:val="22"/>
                <w:szCs w:val="22"/>
              </w:rPr>
            </w:pPr>
            <w:r w:rsidRPr="00174090">
              <w:rPr>
                <w:sz w:val="22"/>
                <w:szCs w:val="22"/>
              </w:rPr>
              <w:t>Deputy Board Secretary and Board Governance Manager</w:t>
            </w:r>
          </w:p>
        </w:tc>
      </w:tr>
    </w:tbl>
    <w:p w14:paraId="12F5ADC8" w14:textId="77777777" w:rsidR="00074B65" w:rsidRPr="00174090" w:rsidRDefault="00074B65" w:rsidP="00E01371">
      <w:pPr>
        <w:rPr>
          <w:b/>
          <w:sz w:val="22"/>
          <w:szCs w:val="22"/>
        </w:rPr>
      </w:pPr>
    </w:p>
    <w:tbl>
      <w:tblPr>
        <w:tblW w:w="1028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6"/>
      </w:tblGrid>
      <w:tr w:rsidR="004017B1" w:rsidRPr="00174090" w14:paraId="6FB93083" w14:textId="77777777" w:rsidTr="001A1533">
        <w:tc>
          <w:tcPr>
            <w:tcW w:w="10286" w:type="dxa"/>
            <w:shd w:val="clear" w:color="auto" w:fill="auto"/>
            <w:vAlign w:val="center"/>
          </w:tcPr>
          <w:p w14:paraId="76189431" w14:textId="77777777" w:rsidR="004017B1" w:rsidRPr="00174090" w:rsidRDefault="004017B1" w:rsidP="004017B1">
            <w:pPr>
              <w:pStyle w:val="Heading6"/>
              <w:jc w:val="center"/>
              <w:rPr>
                <w:rFonts w:ascii="Verdana" w:hAnsi="Verdana"/>
                <w:sz w:val="22"/>
                <w:szCs w:val="22"/>
                <w:u w:val="single"/>
              </w:rPr>
            </w:pPr>
            <w:r w:rsidRPr="00174090">
              <w:rPr>
                <w:rFonts w:ascii="Verdana" w:hAnsi="Verdana"/>
                <w:sz w:val="22"/>
                <w:szCs w:val="22"/>
                <w:u w:val="single"/>
              </w:rPr>
              <w:t>Disclaimer</w:t>
            </w:r>
          </w:p>
          <w:p w14:paraId="369E3DE4" w14:textId="32F5B78C" w:rsidR="00472FBE" w:rsidRPr="00174090" w:rsidRDefault="004017B1" w:rsidP="00A92081">
            <w:pPr>
              <w:jc w:val="center"/>
              <w:rPr>
                <w:b/>
                <w:sz w:val="22"/>
                <w:szCs w:val="22"/>
              </w:rPr>
            </w:pPr>
            <w:r w:rsidRPr="00174090">
              <w:rPr>
                <w:b/>
                <w:sz w:val="22"/>
                <w:szCs w:val="22"/>
              </w:rPr>
              <w:t xml:space="preserve">If the review date of this document has passed please ensure that the version you are using is the most up to date either by contacting the document author or </w:t>
            </w:r>
            <w:hyperlink r:id="rId34" w:history="1">
              <w:r w:rsidR="00C61DDF" w:rsidRPr="00174090">
                <w:rPr>
                  <w:rStyle w:val="Hyperlink"/>
                  <w:b/>
                  <w:sz w:val="22"/>
                  <w:szCs w:val="22"/>
                </w:rPr>
                <w:t>Board Business Unit</w:t>
              </w:r>
            </w:hyperlink>
          </w:p>
        </w:tc>
      </w:tr>
    </w:tbl>
    <w:p w14:paraId="2E8705E1" w14:textId="77777777" w:rsidR="00074B65" w:rsidRPr="00174090" w:rsidRDefault="00074B65" w:rsidP="00E01371">
      <w:pPr>
        <w:rPr>
          <w:b/>
          <w:sz w:val="22"/>
          <w:szCs w:val="22"/>
        </w:rPr>
      </w:pPr>
    </w:p>
    <w:tbl>
      <w:tblPr>
        <w:tblW w:w="1032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429"/>
        <w:gridCol w:w="1931"/>
        <w:gridCol w:w="1548"/>
        <w:gridCol w:w="4159"/>
      </w:tblGrid>
      <w:tr w:rsidR="00E90A4F" w:rsidRPr="00174090" w14:paraId="55BD9FA5" w14:textId="77777777" w:rsidTr="001A1533">
        <w:tc>
          <w:tcPr>
            <w:tcW w:w="10320" w:type="dxa"/>
            <w:gridSpan w:val="5"/>
          </w:tcPr>
          <w:p w14:paraId="0CF95EFC" w14:textId="77777777" w:rsidR="00E90A4F" w:rsidRPr="00174090" w:rsidRDefault="00E90A4F" w:rsidP="00E90A4F">
            <w:pPr>
              <w:spacing w:before="120" w:after="120"/>
              <w:rPr>
                <w:b/>
                <w:sz w:val="22"/>
                <w:szCs w:val="22"/>
              </w:rPr>
            </w:pPr>
            <w:r w:rsidRPr="00174090">
              <w:rPr>
                <w:rFonts w:eastAsia="Arial" w:cs="Arial"/>
                <w:b/>
                <w:bCs/>
                <w:spacing w:val="-1"/>
                <w:sz w:val="22"/>
                <w:szCs w:val="22"/>
              </w:rPr>
              <w:t>S</w:t>
            </w:r>
            <w:r w:rsidRPr="00174090">
              <w:rPr>
                <w:rFonts w:eastAsia="Arial" w:cs="Arial"/>
                <w:b/>
                <w:bCs/>
                <w:sz w:val="22"/>
                <w:szCs w:val="22"/>
              </w:rPr>
              <w:t>um</w:t>
            </w:r>
            <w:r w:rsidRPr="00174090">
              <w:rPr>
                <w:rFonts w:eastAsia="Arial" w:cs="Arial"/>
                <w:b/>
                <w:bCs/>
                <w:spacing w:val="1"/>
                <w:sz w:val="22"/>
                <w:szCs w:val="22"/>
              </w:rPr>
              <w:t>m</w:t>
            </w:r>
            <w:r w:rsidRPr="00174090">
              <w:rPr>
                <w:rFonts w:eastAsia="Arial" w:cs="Arial"/>
                <w:b/>
                <w:bCs/>
                <w:sz w:val="22"/>
                <w:szCs w:val="22"/>
              </w:rPr>
              <w:t>a</w:t>
            </w:r>
            <w:r w:rsidRPr="00174090">
              <w:rPr>
                <w:rFonts w:eastAsia="Arial" w:cs="Arial"/>
                <w:b/>
                <w:bCs/>
                <w:spacing w:val="1"/>
                <w:sz w:val="22"/>
                <w:szCs w:val="22"/>
              </w:rPr>
              <w:t>r</w:t>
            </w:r>
            <w:r w:rsidRPr="00174090">
              <w:rPr>
                <w:rFonts w:eastAsia="Arial" w:cs="Arial"/>
                <w:b/>
                <w:bCs/>
                <w:sz w:val="22"/>
                <w:szCs w:val="22"/>
              </w:rPr>
              <w:t>y</w:t>
            </w:r>
            <w:r w:rsidRPr="00174090">
              <w:rPr>
                <w:rFonts w:eastAsia="Arial" w:cs="Arial"/>
                <w:b/>
                <w:bCs/>
                <w:spacing w:val="-9"/>
                <w:sz w:val="22"/>
                <w:szCs w:val="22"/>
              </w:rPr>
              <w:t xml:space="preserve"> </w:t>
            </w:r>
            <w:r w:rsidRPr="00174090">
              <w:rPr>
                <w:rFonts w:eastAsia="Arial" w:cs="Arial"/>
                <w:b/>
                <w:bCs/>
                <w:sz w:val="22"/>
                <w:szCs w:val="22"/>
              </w:rPr>
              <w:t>of</w:t>
            </w:r>
            <w:r w:rsidRPr="00174090">
              <w:rPr>
                <w:rFonts w:eastAsia="Arial" w:cs="Arial"/>
                <w:b/>
                <w:bCs/>
                <w:spacing w:val="-1"/>
                <w:sz w:val="22"/>
                <w:szCs w:val="22"/>
              </w:rPr>
              <w:t xml:space="preserve"> </w:t>
            </w:r>
            <w:r w:rsidRPr="00174090">
              <w:rPr>
                <w:rFonts w:eastAsia="Arial" w:cs="Arial"/>
                <w:b/>
                <w:bCs/>
                <w:spacing w:val="1"/>
                <w:sz w:val="22"/>
                <w:szCs w:val="22"/>
              </w:rPr>
              <w:t>r</w:t>
            </w:r>
            <w:r w:rsidRPr="00174090">
              <w:rPr>
                <w:rFonts w:eastAsia="Arial" w:cs="Arial"/>
                <w:b/>
                <w:bCs/>
                <w:sz w:val="22"/>
                <w:szCs w:val="22"/>
              </w:rPr>
              <w:t>e</w:t>
            </w:r>
            <w:r w:rsidRPr="00174090">
              <w:rPr>
                <w:rFonts w:eastAsia="Arial" w:cs="Arial"/>
                <w:b/>
                <w:bCs/>
                <w:spacing w:val="1"/>
                <w:sz w:val="22"/>
                <w:szCs w:val="22"/>
              </w:rPr>
              <w:t>v</w:t>
            </w:r>
            <w:r w:rsidRPr="00174090">
              <w:rPr>
                <w:rFonts w:eastAsia="Arial" w:cs="Arial"/>
                <w:b/>
                <w:bCs/>
                <w:sz w:val="22"/>
                <w:szCs w:val="22"/>
              </w:rPr>
              <w:t>ie</w:t>
            </w:r>
            <w:r w:rsidRPr="00174090">
              <w:rPr>
                <w:rFonts w:eastAsia="Arial" w:cs="Arial"/>
                <w:b/>
                <w:bCs/>
                <w:spacing w:val="3"/>
                <w:sz w:val="22"/>
                <w:szCs w:val="22"/>
              </w:rPr>
              <w:t>w</w:t>
            </w:r>
            <w:r w:rsidRPr="00174090">
              <w:rPr>
                <w:rFonts w:eastAsia="Arial" w:cs="Arial"/>
                <w:b/>
                <w:bCs/>
                <w:sz w:val="22"/>
                <w:szCs w:val="22"/>
              </w:rPr>
              <w:t>s/</w:t>
            </w:r>
            <w:r w:rsidRPr="00174090">
              <w:rPr>
                <w:rFonts w:eastAsia="Arial" w:cs="Arial"/>
                <w:b/>
                <w:bCs/>
                <w:spacing w:val="-1"/>
                <w:sz w:val="22"/>
                <w:szCs w:val="22"/>
              </w:rPr>
              <w:t>a</w:t>
            </w:r>
            <w:r w:rsidRPr="00174090">
              <w:rPr>
                <w:rFonts w:eastAsia="Arial" w:cs="Arial"/>
                <w:b/>
                <w:bCs/>
                <w:sz w:val="22"/>
                <w:szCs w:val="22"/>
              </w:rPr>
              <w:t>m</w:t>
            </w:r>
            <w:r w:rsidRPr="00174090">
              <w:rPr>
                <w:rFonts w:eastAsia="Arial" w:cs="Arial"/>
                <w:b/>
                <w:bCs/>
                <w:spacing w:val="2"/>
                <w:sz w:val="22"/>
                <w:szCs w:val="22"/>
              </w:rPr>
              <w:t>e</w:t>
            </w:r>
            <w:r w:rsidRPr="00174090">
              <w:rPr>
                <w:rFonts w:eastAsia="Arial" w:cs="Arial"/>
                <w:b/>
                <w:bCs/>
                <w:sz w:val="22"/>
                <w:szCs w:val="22"/>
              </w:rPr>
              <w:t>ndme</w:t>
            </w:r>
            <w:r w:rsidRPr="00174090">
              <w:rPr>
                <w:rFonts w:eastAsia="Arial" w:cs="Arial"/>
                <w:b/>
                <w:bCs/>
                <w:spacing w:val="1"/>
                <w:sz w:val="22"/>
                <w:szCs w:val="22"/>
              </w:rPr>
              <w:t>nt</w:t>
            </w:r>
            <w:r w:rsidRPr="00174090">
              <w:rPr>
                <w:rFonts w:eastAsia="Arial" w:cs="Arial"/>
                <w:b/>
                <w:bCs/>
                <w:sz w:val="22"/>
                <w:szCs w:val="22"/>
              </w:rPr>
              <w:t>s</w:t>
            </w:r>
          </w:p>
        </w:tc>
      </w:tr>
      <w:tr w:rsidR="00E90A4F" w:rsidRPr="00174090" w14:paraId="2563DD69" w14:textId="77777777" w:rsidTr="006615EB">
        <w:tc>
          <w:tcPr>
            <w:tcW w:w="1260" w:type="dxa"/>
          </w:tcPr>
          <w:p w14:paraId="66A25C53" w14:textId="77777777" w:rsidR="00E90A4F" w:rsidRPr="00174090" w:rsidRDefault="00E90A4F" w:rsidP="006615EB">
            <w:pPr>
              <w:spacing w:before="120" w:after="120"/>
              <w:jc w:val="center"/>
              <w:rPr>
                <w:b/>
                <w:sz w:val="22"/>
                <w:szCs w:val="22"/>
              </w:rPr>
            </w:pPr>
            <w:r w:rsidRPr="00174090">
              <w:rPr>
                <w:b/>
                <w:sz w:val="22"/>
                <w:szCs w:val="22"/>
              </w:rPr>
              <w:t>Version number</w:t>
            </w:r>
          </w:p>
        </w:tc>
        <w:tc>
          <w:tcPr>
            <w:tcW w:w="1151" w:type="dxa"/>
          </w:tcPr>
          <w:p w14:paraId="7DBCBEC1" w14:textId="77777777" w:rsidR="00E90A4F" w:rsidRPr="00174090" w:rsidRDefault="00E90A4F" w:rsidP="006615EB">
            <w:pPr>
              <w:spacing w:before="120" w:after="120"/>
              <w:jc w:val="center"/>
              <w:rPr>
                <w:b/>
                <w:sz w:val="22"/>
                <w:szCs w:val="22"/>
              </w:rPr>
            </w:pPr>
            <w:r w:rsidRPr="00174090">
              <w:rPr>
                <w:b/>
                <w:sz w:val="22"/>
                <w:szCs w:val="22"/>
              </w:rPr>
              <w:t>Date of Review</w:t>
            </w:r>
          </w:p>
        </w:tc>
        <w:tc>
          <w:tcPr>
            <w:tcW w:w="1984" w:type="dxa"/>
          </w:tcPr>
          <w:p w14:paraId="4CEEF3D0" w14:textId="77777777" w:rsidR="00E90A4F" w:rsidRPr="00174090" w:rsidRDefault="00E90A4F" w:rsidP="006615EB">
            <w:pPr>
              <w:spacing w:before="120" w:after="120"/>
              <w:jc w:val="center"/>
              <w:rPr>
                <w:b/>
                <w:sz w:val="22"/>
                <w:szCs w:val="22"/>
              </w:rPr>
            </w:pPr>
            <w:r w:rsidRPr="00174090">
              <w:rPr>
                <w:b/>
                <w:sz w:val="22"/>
                <w:szCs w:val="22"/>
              </w:rPr>
              <w:t>Date of</w:t>
            </w:r>
          </w:p>
          <w:p w14:paraId="060C5C97" w14:textId="77777777" w:rsidR="00E90A4F" w:rsidRPr="00174090" w:rsidRDefault="00E90A4F" w:rsidP="006615EB">
            <w:pPr>
              <w:spacing w:before="120" w:after="120"/>
              <w:jc w:val="center"/>
              <w:rPr>
                <w:b/>
                <w:sz w:val="22"/>
                <w:szCs w:val="22"/>
              </w:rPr>
            </w:pPr>
            <w:r w:rsidRPr="00174090">
              <w:rPr>
                <w:b/>
                <w:sz w:val="22"/>
                <w:szCs w:val="22"/>
              </w:rPr>
              <w:t>Approval</w:t>
            </w:r>
          </w:p>
        </w:tc>
        <w:tc>
          <w:tcPr>
            <w:tcW w:w="1560" w:type="dxa"/>
          </w:tcPr>
          <w:p w14:paraId="2348C128" w14:textId="77777777" w:rsidR="00E90A4F" w:rsidRPr="00174090" w:rsidRDefault="00E90A4F" w:rsidP="006615EB">
            <w:pPr>
              <w:spacing w:before="120" w:after="120"/>
              <w:jc w:val="center"/>
              <w:rPr>
                <w:b/>
                <w:sz w:val="22"/>
                <w:szCs w:val="22"/>
              </w:rPr>
            </w:pPr>
            <w:r w:rsidRPr="00174090">
              <w:rPr>
                <w:b/>
                <w:sz w:val="22"/>
                <w:szCs w:val="22"/>
              </w:rPr>
              <w:t>Date published</w:t>
            </w:r>
          </w:p>
        </w:tc>
        <w:tc>
          <w:tcPr>
            <w:tcW w:w="4365" w:type="dxa"/>
          </w:tcPr>
          <w:p w14:paraId="3926ED21" w14:textId="77777777" w:rsidR="00E90A4F" w:rsidRPr="00174090" w:rsidRDefault="00E90A4F" w:rsidP="006615EB">
            <w:pPr>
              <w:spacing w:before="120" w:after="120"/>
              <w:jc w:val="center"/>
              <w:rPr>
                <w:b/>
                <w:sz w:val="22"/>
                <w:szCs w:val="22"/>
              </w:rPr>
            </w:pPr>
            <w:r w:rsidRPr="00174090">
              <w:rPr>
                <w:b/>
                <w:sz w:val="22"/>
                <w:szCs w:val="22"/>
              </w:rPr>
              <w:t>Summary of Amendments</w:t>
            </w:r>
          </w:p>
        </w:tc>
      </w:tr>
      <w:tr w:rsidR="00E90A4F" w:rsidRPr="00174090" w14:paraId="740F4E17" w14:textId="77777777" w:rsidTr="006615EB">
        <w:tc>
          <w:tcPr>
            <w:tcW w:w="1260" w:type="dxa"/>
          </w:tcPr>
          <w:p w14:paraId="0331D77F" w14:textId="77777777" w:rsidR="00E90A4F" w:rsidRPr="00174090" w:rsidRDefault="0088008B" w:rsidP="00A92081">
            <w:pPr>
              <w:jc w:val="center"/>
              <w:rPr>
                <w:sz w:val="22"/>
                <w:szCs w:val="22"/>
              </w:rPr>
            </w:pPr>
            <w:r w:rsidRPr="00174090">
              <w:rPr>
                <w:sz w:val="22"/>
                <w:szCs w:val="22"/>
              </w:rPr>
              <w:lastRenderedPageBreak/>
              <w:t>1</w:t>
            </w:r>
          </w:p>
        </w:tc>
        <w:tc>
          <w:tcPr>
            <w:tcW w:w="1151" w:type="dxa"/>
          </w:tcPr>
          <w:p w14:paraId="2A24C827" w14:textId="77777777" w:rsidR="00E90A4F" w:rsidRPr="00174090" w:rsidRDefault="0088008B" w:rsidP="00A92081">
            <w:pPr>
              <w:jc w:val="center"/>
              <w:rPr>
                <w:sz w:val="22"/>
                <w:szCs w:val="22"/>
              </w:rPr>
            </w:pPr>
            <w:r w:rsidRPr="00174090">
              <w:rPr>
                <w:sz w:val="22"/>
                <w:szCs w:val="22"/>
              </w:rPr>
              <w:t>N/A</w:t>
            </w:r>
          </w:p>
        </w:tc>
        <w:tc>
          <w:tcPr>
            <w:tcW w:w="1984" w:type="dxa"/>
          </w:tcPr>
          <w:p w14:paraId="601F4FAB" w14:textId="77777777" w:rsidR="00E90A4F" w:rsidRPr="00174090" w:rsidRDefault="0088008B" w:rsidP="00A92081">
            <w:pPr>
              <w:jc w:val="center"/>
              <w:rPr>
                <w:sz w:val="22"/>
                <w:szCs w:val="22"/>
              </w:rPr>
            </w:pPr>
            <w:r w:rsidRPr="00174090">
              <w:rPr>
                <w:sz w:val="22"/>
                <w:szCs w:val="22"/>
              </w:rPr>
              <w:t>17 October 2011</w:t>
            </w:r>
          </w:p>
        </w:tc>
        <w:tc>
          <w:tcPr>
            <w:tcW w:w="1560" w:type="dxa"/>
          </w:tcPr>
          <w:p w14:paraId="2C403940" w14:textId="77777777" w:rsidR="00E90A4F" w:rsidRPr="00174090" w:rsidRDefault="0088008B" w:rsidP="00A92081">
            <w:pPr>
              <w:jc w:val="center"/>
              <w:rPr>
                <w:sz w:val="22"/>
                <w:szCs w:val="22"/>
              </w:rPr>
            </w:pPr>
            <w:r w:rsidRPr="00174090">
              <w:rPr>
                <w:sz w:val="22"/>
                <w:szCs w:val="22"/>
              </w:rPr>
              <w:t>17 October 2011</w:t>
            </w:r>
          </w:p>
        </w:tc>
        <w:tc>
          <w:tcPr>
            <w:tcW w:w="4365" w:type="dxa"/>
          </w:tcPr>
          <w:p w14:paraId="36E115D5" w14:textId="77777777" w:rsidR="00E90A4F" w:rsidRPr="00174090" w:rsidRDefault="0088008B" w:rsidP="00A92081">
            <w:pPr>
              <w:rPr>
                <w:sz w:val="22"/>
                <w:szCs w:val="22"/>
              </w:rPr>
            </w:pPr>
            <w:r w:rsidRPr="00174090">
              <w:rPr>
                <w:sz w:val="22"/>
                <w:szCs w:val="22"/>
              </w:rPr>
              <w:t>New policy</w:t>
            </w:r>
          </w:p>
        </w:tc>
      </w:tr>
      <w:tr w:rsidR="00E90A4F" w:rsidRPr="00174090" w14:paraId="1B3D0698" w14:textId="77777777" w:rsidTr="006615EB">
        <w:tc>
          <w:tcPr>
            <w:tcW w:w="1260" w:type="dxa"/>
          </w:tcPr>
          <w:p w14:paraId="0A33ADAA" w14:textId="77777777" w:rsidR="00E90A4F" w:rsidRPr="00174090" w:rsidRDefault="00D13E69" w:rsidP="00A92081">
            <w:pPr>
              <w:jc w:val="center"/>
              <w:rPr>
                <w:sz w:val="22"/>
                <w:szCs w:val="22"/>
              </w:rPr>
            </w:pPr>
            <w:r w:rsidRPr="00174090">
              <w:rPr>
                <w:sz w:val="22"/>
                <w:szCs w:val="22"/>
              </w:rPr>
              <w:t>2</w:t>
            </w:r>
          </w:p>
        </w:tc>
        <w:tc>
          <w:tcPr>
            <w:tcW w:w="1151" w:type="dxa"/>
          </w:tcPr>
          <w:p w14:paraId="7B99F60C" w14:textId="77777777" w:rsidR="00E90A4F" w:rsidRPr="00174090" w:rsidRDefault="00D13E69" w:rsidP="00A92081">
            <w:pPr>
              <w:jc w:val="center"/>
              <w:rPr>
                <w:sz w:val="22"/>
                <w:szCs w:val="22"/>
              </w:rPr>
            </w:pPr>
            <w:r w:rsidRPr="00174090">
              <w:rPr>
                <w:sz w:val="22"/>
                <w:szCs w:val="22"/>
              </w:rPr>
              <w:t>January 2017</w:t>
            </w:r>
          </w:p>
        </w:tc>
        <w:tc>
          <w:tcPr>
            <w:tcW w:w="1984" w:type="dxa"/>
          </w:tcPr>
          <w:p w14:paraId="5C811967" w14:textId="77777777" w:rsidR="00E90A4F" w:rsidRPr="00174090" w:rsidRDefault="00D13E69" w:rsidP="00A92081">
            <w:pPr>
              <w:jc w:val="center"/>
              <w:rPr>
                <w:sz w:val="22"/>
                <w:szCs w:val="22"/>
              </w:rPr>
            </w:pPr>
            <w:r w:rsidRPr="00174090">
              <w:rPr>
                <w:sz w:val="22"/>
                <w:szCs w:val="22"/>
              </w:rPr>
              <w:t>26 January 2017</w:t>
            </w:r>
          </w:p>
        </w:tc>
        <w:tc>
          <w:tcPr>
            <w:tcW w:w="1560" w:type="dxa"/>
          </w:tcPr>
          <w:p w14:paraId="5FB865C0" w14:textId="77777777" w:rsidR="00E90A4F" w:rsidRPr="00174090" w:rsidRDefault="00D13E69" w:rsidP="00A92081">
            <w:pPr>
              <w:jc w:val="center"/>
              <w:rPr>
                <w:sz w:val="22"/>
                <w:szCs w:val="22"/>
              </w:rPr>
            </w:pPr>
            <w:r w:rsidRPr="00174090">
              <w:rPr>
                <w:sz w:val="22"/>
                <w:szCs w:val="22"/>
              </w:rPr>
              <w:t>26 January 2017</w:t>
            </w:r>
          </w:p>
        </w:tc>
        <w:tc>
          <w:tcPr>
            <w:tcW w:w="4365" w:type="dxa"/>
          </w:tcPr>
          <w:p w14:paraId="4BECA5C3" w14:textId="0E0D581B" w:rsidR="00D13E69" w:rsidRPr="00174090" w:rsidRDefault="00D13E69" w:rsidP="00A92081">
            <w:pPr>
              <w:pStyle w:val="Default"/>
              <w:rPr>
                <w:rFonts w:ascii="Verdana" w:hAnsi="Verdana"/>
                <w:sz w:val="22"/>
                <w:szCs w:val="22"/>
              </w:rPr>
            </w:pPr>
            <w:r w:rsidRPr="00174090">
              <w:rPr>
                <w:rFonts w:ascii="Verdana" w:hAnsi="Verdana"/>
                <w:sz w:val="22"/>
                <w:szCs w:val="22"/>
              </w:rPr>
              <w:t>Public Health Wales address has been updated from 14 Cathedral Road to Capital Quarter 2</w:t>
            </w:r>
            <w:r w:rsidR="00A92081">
              <w:rPr>
                <w:rFonts w:ascii="Verdana" w:hAnsi="Verdana"/>
                <w:sz w:val="22"/>
                <w:szCs w:val="22"/>
              </w:rPr>
              <w:t>.</w:t>
            </w:r>
          </w:p>
          <w:p w14:paraId="23D9F17B" w14:textId="75A9F575" w:rsidR="00D13E69" w:rsidRPr="00174090" w:rsidRDefault="00D13E69" w:rsidP="00A92081">
            <w:pPr>
              <w:pStyle w:val="Default"/>
              <w:rPr>
                <w:rFonts w:ascii="Verdana" w:hAnsi="Verdana"/>
                <w:sz w:val="22"/>
                <w:szCs w:val="22"/>
              </w:rPr>
            </w:pPr>
            <w:r w:rsidRPr="00174090">
              <w:rPr>
                <w:rFonts w:ascii="Verdana" w:hAnsi="Verdana"/>
                <w:sz w:val="22"/>
                <w:szCs w:val="22"/>
              </w:rPr>
              <w:t xml:space="preserve">Reference to Whistleblowing policy in paragraph 1 amended to ‘Procedure for NHS Staff to Raise a Concern’. </w:t>
            </w:r>
          </w:p>
          <w:p w14:paraId="7B11D2BF" w14:textId="77777777" w:rsidR="00D13E69" w:rsidRPr="00174090" w:rsidRDefault="00D13E69" w:rsidP="00A92081">
            <w:pPr>
              <w:pStyle w:val="Default"/>
              <w:rPr>
                <w:rFonts w:ascii="Verdana" w:hAnsi="Verdana"/>
                <w:sz w:val="22"/>
                <w:szCs w:val="22"/>
              </w:rPr>
            </w:pPr>
            <w:r w:rsidRPr="00174090">
              <w:rPr>
                <w:rFonts w:ascii="Verdana" w:hAnsi="Verdana"/>
                <w:sz w:val="22"/>
                <w:szCs w:val="22"/>
              </w:rPr>
              <w:t>Sentence added to paragraph 5.4 to reiterate the need to declare, even if there is doubt.</w:t>
            </w:r>
          </w:p>
          <w:p w14:paraId="1E45D335" w14:textId="6B4CF0E4" w:rsidR="00D13E69" w:rsidRPr="00174090" w:rsidRDefault="00D13E69" w:rsidP="00A92081">
            <w:pPr>
              <w:pStyle w:val="Default"/>
              <w:rPr>
                <w:rFonts w:ascii="Verdana" w:hAnsi="Verdana"/>
                <w:sz w:val="22"/>
                <w:szCs w:val="22"/>
              </w:rPr>
            </w:pPr>
            <w:r w:rsidRPr="00174090">
              <w:rPr>
                <w:rFonts w:ascii="Verdana" w:hAnsi="Verdana"/>
                <w:sz w:val="22"/>
                <w:szCs w:val="22"/>
              </w:rPr>
              <w:t xml:space="preserve">Paragraph added to section 5.4.1 about the pharmaceutical industry code of practice. </w:t>
            </w:r>
          </w:p>
          <w:p w14:paraId="4396B434" w14:textId="77777777" w:rsidR="00D13E69" w:rsidRPr="00174090" w:rsidRDefault="00D13E69" w:rsidP="00A92081">
            <w:pPr>
              <w:pStyle w:val="Default"/>
              <w:rPr>
                <w:rFonts w:ascii="Verdana" w:hAnsi="Verdana"/>
                <w:sz w:val="22"/>
                <w:szCs w:val="22"/>
              </w:rPr>
            </w:pPr>
            <w:r w:rsidRPr="00174090">
              <w:rPr>
                <w:rFonts w:ascii="Verdana" w:hAnsi="Verdana"/>
                <w:sz w:val="22"/>
                <w:szCs w:val="22"/>
              </w:rPr>
              <w:t xml:space="preserve">Reference to HR Officer amended to HR Business Partner in section 6.2 </w:t>
            </w:r>
          </w:p>
          <w:p w14:paraId="24992431" w14:textId="77777777" w:rsidR="00D13E69" w:rsidRPr="00174090" w:rsidRDefault="00D13E69" w:rsidP="00A92081">
            <w:pPr>
              <w:pStyle w:val="Default"/>
              <w:rPr>
                <w:rFonts w:ascii="Verdana" w:hAnsi="Verdana"/>
                <w:sz w:val="22"/>
                <w:szCs w:val="22"/>
              </w:rPr>
            </w:pPr>
            <w:r w:rsidRPr="00174090">
              <w:rPr>
                <w:rFonts w:ascii="Verdana" w:hAnsi="Verdana"/>
                <w:sz w:val="22"/>
                <w:szCs w:val="22"/>
              </w:rPr>
              <w:t xml:space="preserve">‘members of the Executive Team’ added to paragraph 6.3.2 </w:t>
            </w:r>
          </w:p>
          <w:p w14:paraId="140EEA3E" w14:textId="77777777" w:rsidR="00E90A4F" w:rsidRPr="00174090" w:rsidRDefault="00D13E69" w:rsidP="00A92081">
            <w:pPr>
              <w:rPr>
                <w:sz w:val="22"/>
                <w:szCs w:val="22"/>
              </w:rPr>
            </w:pPr>
            <w:r w:rsidRPr="00174090">
              <w:rPr>
                <w:sz w:val="22"/>
                <w:szCs w:val="22"/>
              </w:rPr>
              <w:t xml:space="preserve">Reference to ‘staff e-bulletin’ changed to ‘staff news’ in paragraph 10 </w:t>
            </w:r>
          </w:p>
        </w:tc>
      </w:tr>
      <w:tr w:rsidR="00B84A61" w:rsidRPr="00174090" w14:paraId="36549EA4" w14:textId="77777777" w:rsidTr="006615EB">
        <w:tc>
          <w:tcPr>
            <w:tcW w:w="1260" w:type="dxa"/>
          </w:tcPr>
          <w:p w14:paraId="0F32C64B" w14:textId="77777777" w:rsidR="00B84A61" w:rsidRPr="00174090" w:rsidRDefault="00B84A61" w:rsidP="00A92081">
            <w:pPr>
              <w:jc w:val="center"/>
              <w:rPr>
                <w:sz w:val="22"/>
                <w:szCs w:val="22"/>
              </w:rPr>
            </w:pPr>
            <w:r w:rsidRPr="00174090">
              <w:rPr>
                <w:sz w:val="22"/>
                <w:szCs w:val="22"/>
              </w:rPr>
              <w:t>3</w:t>
            </w:r>
          </w:p>
        </w:tc>
        <w:tc>
          <w:tcPr>
            <w:tcW w:w="1151" w:type="dxa"/>
          </w:tcPr>
          <w:p w14:paraId="29EDF341" w14:textId="77777777" w:rsidR="00B84A61" w:rsidRPr="00174090" w:rsidRDefault="00B84A61" w:rsidP="00A92081">
            <w:pPr>
              <w:jc w:val="center"/>
              <w:rPr>
                <w:sz w:val="22"/>
                <w:szCs w:val="22"/>
              </w:rPr>
            </w:pPr>
            <w:r w:rsidRPr="00174090">
              <w:rPr>
                <w:sz w:val="22"/>
                <w:szCs w:val="22"/>
              </w:rPr>
              <w:t>August 2017</w:t>
            </w:r>
          </w:p>
        </w:tc>
        <w:tc>
          <w:tcPr>
            <w:tcW w:w="1984" w:type="dxa"/>
          </w:tcPr>
          <w:p w14:paraId="2899CD72" w14:textId="77777777" w:rsidR="00B84A61" w:rsidRPr="00174090" w:rsidRDefault="00E73B5D" w:rsidP="00A92081">
            <w:pPr>
              <w:jc w:val="center"/>
              <w:rPr>
                <w:sz w:val="22"/>
                <w:szCs w:val="22"/>
              </w:rPr>
            </w:pPr>
            <w:r w:rsidRPr="00174090">
              <w:rPr>
                <w:sz w:val="22"/>
                <w:szCs w:val="22"/>
              </w:rPr>
              <w:t>30 November 2017</w:t>
            </w:r>
          </w:p>
        </w:tc>
        <w:tc>
          <w:tcPr>
            <w:tcW w:w="1560" w:type="dxa"/>
          </w:tcPr>
          <w:p w14:paraId="2F6B572C" w14:textId="77777777" w:rsidR="00B84A61" w:rsidRPr="00174090" w:rsidRDefault="00E73B5D" w:rsidP="00A92081">
            <w:pPr>
              <w:jc w:val="center"/>
              <w:rPr>
                <w:sz w:val="22"/>
                <w:szCs w:val="22"/>
              </w:rPr>
            </w:pPr>
            <w:r w:rsidRPr="00174090">
              <w:rPr>
                <w:sz w:val="22"/>
                <w:szCs w:val="22"/>
              </w:rPr>
              <w:t>19 December 2017</w:t>
            </w:r>
          </w:p>
        </w:tc>
        <w:tc>
          <w:tcPr>
            <w:tcW w:w="4365" w:type="dxa"/>
          </w:tcPr>
          <w:p w14:paraId="43FBF4C6" w14:textId="77777777" w:rsidR="00B84A61" w:rsidRPr="00174090" w:rsidRDefault="00B84A61" w:rsidP="00A92081">
            <w:pPr>
              <w:rPr>
                <w:sz w:val="22"/>
                <w:szCs w:val="22"/>
              </w:rPr>
            </w:pPr>
            <w:r w:rsidRPr="00174090">
              <w:rPr>
                <w:sz w:val="22"/>
                <w:szCs w:val="22"/>
              </w:rPr>
              <w:t>Extensive amendments made to policy.  High level policy statement identified.  Detailed information and guidance, which appeared in original policy, has been moved to a supporting, more detailed, procedure, which accompanies this policy.</w:t>
            </w:r>
          </w:p>
          <w:p w14:paraId="33EA15D7" w14:textId="77777777" w:rsidR="00B84A61" w:rsidRPr="00174090" w:rsidRDefault="00B84A61" w:rsidP="00A92081">
            <w:pPr>
              <w:rPr>
                <w:sz w:val="22"/>
                <w:szCs w:val="22"/>
              </w:rPr>
            </w:pPr>
            <w:r w:rsidRPr="00174090">
              <w:rPr>
                <w:sz w:val="22"/>
                <w:szCs w:val="22"/>
              </w:rPr>
              <w:t>Inclusion of suggested amendments received during consultation</w:t>
            </w:r>
          </w:p>
        </w:tc>
      </w:tr>
      <w:tr w:rsidR="007D582E" w:rsidRPr="00174090" w14:paraId="503FB805" w14:textId="77777777" w:rsidTr="006615EB">
        <w:tc>
          <w:tcPr>
            <w:tcW w:w="1260" w:type="dxa"/>
          </w:tcPr>
          <w:p w14:paraId="6756C2A2" w14:textId="77777777" w:rsidR="007D582E" w:rsidRPr="00174090" w:rsidRDefault="007D582E" w:rsidP="00A92081">
            <w:pPr>
              <w:jc w:val="center"/>
              <w:rPr>
                <w:sz w:val="22"/>
                <w:szCs w:val="22"/>
              </w:rPr>
            </w:pPr>
            <w:r w:rsidRPr="00174090">
              <w:rPr>
                <w:sz w:val="22"/>
                <w:szCs w:val="22"/>
              </w:rPr>
              <w:t>3</w:t>
            </w:r>
          </w:p>
        </w:tc>
        <w:tc>
          <w:tcPr>
            <w:tcW w:w="1151" w:type="dxa"/>
          </w:tcPr>
          <w:p w14:paraId="06759E84" w14:textId="77777777" w:rsidR="007D582E" w:rsidRPr="00174090" w:rsidRDefault="007D582E" w:rsidP="00A92081">
            <w:pPr>
              <w:jc w:val="center"/>
              <w:rPr>
                <w:sz w:val="22"/>
                <w:szCs w:val="22"/>
              </w:rPr>
            </w:pPr>
            <w:r w:rsidRPr="00174090">
              <w:rPr>
                <w:sz w:val="22"/>
                <w:szCs w:val="22"/>
              </w:rPr>
              <w:t>September 2019</w:t>
            </w:r>
          </w:p>
        </w:tc>
        <w:tc>
          <w:tcPr>
            <w:tcW w:w="1984" w:type="dxa"/>
          </w:tcPr>
          <w:p w14:paraId="694EE360" w14:textId="77777777" w:rsidR="007D582E" w:rsidRPr="00174090" w:rsidRDefault="007D582E" w:rsidP="00A92081">
            <w:pPr>
              <w:jc w:val="center"/>
              <w:rPr>
                <w:sz w:val="22"/>
                <w:szCs w:val="22"/>
              </w:rPr>
            </w:pPr>
          </w:p>
        </w:tc>
        <w:tc>
          <w:tcPr>
            <w:tcW w:w="1560" w:type="dxa"/>
          </w:tcPr>
          <w:p w14:paraId="1275C746" w14:textId="77777777" w:rsidR="007D582E" w:rsidRPr="00174090" w:rsidRDefault="007D582E" w:rsidP="00A92081">
            <w:pPr>
              <w:jc w:val="center"/>
              <w:rPr>
                <w:sz w:val="22"/>
                <w:szCs w:val="22"/>
              </w:rPr>
            </w:pPr>
          </w:p>
        </w:tc>
        <w:tc>
          <w:tcPr>
            <w:tcW w:w="4365" w:type="dxa"/>
          </w:tcPr>
          <w:p w14:paraId="4B6A8366" w14:textId="77777777" w:rsidR="007D582E" w:rsidRPr="00174090" w:rsidRDefault="007D582E" w:rsidP="00A92081">
            <w:pPr>
              <w:rPr>
                <w:sz w:val="22"/>
                <w:szCs w:val="22"/>
              </w:rPr>
            </w:pPr>
            <w:r w:rsidRPr="00174090">
              <w:rPr>
                <w:sz w:val="22"/>
                <w:szCs w:val="22"/>
              </w:rPr>
              <w:t>Website links updated</w:t>
            </w:r>
          </w:p>
        </w:tc>
      </w:tr>
      <w:tr w:rsidR="00E125B6" w:rsidRPr="00174090" w14:paraId="1EEA21CF" w14:textId="77777777" w:rsidTr="006615EB">
        <w:tc>
          <w:tcPr>
            <w:tcW w:w="1260" w:type="dxa"/>
          </w:tcPr>
          <w:p w14:paraId="69D8317F" w14:textId="505AF5C4" w:rsidR="00E125B6" w:rsidRPr="00174090" w:rsidRDefault="00E125B6" w:rsidP="00A92081">
            <w:pPr>
              <w:jc w:val="center"/>
              <w:rPr>
                <w:sz w:val="22"/>
                <w:szCs w:val="22"/>
              </w:rPr>
            </w:pPr>
            <w:r w:rsidRPr="00174090">
              <w:rPr>
                <w:sz w:val="22"/>
                <w:szCs w:val="22"/>
              </w:rPr>
              <w:t>4</w:t>
            </w:r>
          </w:p>
        </w:tc>
        <w:tc>
          <w:tcPr>
            <w:tcW w:w="1151" w:type="dxa"/>
          </w:tcPr>
          <w:p w14:paraId="25EFBCD7" w14:textId="2BE351D6" w:rsidR="00E125B6" w:rsidRPr="00174090" w:rsidRDefault="00E125B6" w:rsidP="00A92081">
            <w:pPr>
              <w:jc w:val="center"/>
              <w:rPr>
                <w:sz w:val="22"/>
                <w:szCs w:val="22"/>
              </w:rPr>
            </w:pPr>
            <w:r w:rsidRPr="00174090">
              <w:rPr>
                <w:sz w:val="22"/>
                <w:szCs w:val="22"/>
              </w:rPr>
              <w:t>October 2020</w:t>
            </w:r>
          </w:p>
        </w:tc>
        <w:tc>
          <w:tcPr>
            <w:tcW w:w="1984" w:type="dxa"/>
          </w:tcPr>
          <w:p w14:paraId="792C4690" w14:textId="77777777" w:rsidR="00E125B6" w:rsidRPr="00174090" w:rsidRDefault="00E125B6" w:rsidP="00A92081">
            <w:pPr>
              <w:jc w:val="center"/>
              <w:rPr>
                <w:sz w:val="22"/>
                <w:szCs w:val="22"/>
              </w:rPr>
            </w:pPr>
          </w:p>
        </w:tc>
        <w:tc>
          <w:tcPr>
            <w:tcW w:w="1560" w:type="dxa"/>
          </w:tcPr>
          <w:p w14:paraId="329C06F0" w14:textId="77777777" w:rsidR="00E125B6" w:rsidRPr="00174090" w:rsidRDefault="00E125B6" w:rsidP="00A92081">
            <w:pPr>
              <w:jc w:val="center"/>
              <w:rPr>
                <w:sz w:val="22"/>
                <w:szCs w:val="22"/>
              </w:rPr>
            </w:pPr>
          </w:p>
        </w:tc>
        <w:tc>
          <w:tcPr>
            <w:tcW w:w="4365" w:type="dxa"/>
          </w:tcPr>
          <w:p w14:paraId="26C2EC25" w14:textId="7C1032F0" w:rsidR="0020098A" w:rsidRPr="00174090" w:rsidRDefault="0020098A" w:rsidP="00A92081">
            <w:pPr>
              <w:rPr>
                <w:sz w:val="22"/>
                <w:szCs w:val="22"/>
              </w:rPr>
            </w:pPr>
            <w:r w:rsidRPr="00174090">
              <w:rPr>
                <w:sz w:val="22"/>
                <w:szCs w:val="22"/>
              </w:rPr>
              <w:t xml:space="preserve">Major revision to the Declaration of interest policy, to expand the remit to become a standards of behaviour policy. The main additions as a result of this are the inclusion of election and confidentiality as components of this policy. </w:t>
            </w:r>
          </w:p>
        </w:tc>
      </w:tr>
    </w:tbl>
    <w:p w14:paraId="49912D6E" w14:textId="6474B934" w:rsidR="00074B65" w:rsidRDefault="00074B65" w:rsidP="00E01371">
      <w:pPr>
        <w:rPr>
          <w:rFonts w:ascii="Arial" w:hAnsi="Arial"/>
          <w:b/>
          <w:sz w:val="28"/>
          <w:szCs w:val="28"/>
        </w:rPr>
      </w:pPr>
    </w:p>
    <w:sectPr w:rsidR="00074B65" w:rsidSect="00831A9E">
      <w:footerReference w:type="default" r:id="rId35"/>
      <w:pgSz w:w="11906" w:h="16838" w:code="9"/>
      <w:pgMar w:top="993" w:right="1797" w:bottom="99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FB829" w14:textId="77777777" w:rsidR="009C20ED" w:rsidRDefault="009C20ED">
      <w:r>
        <w:separator/>
      </w:r>
    </w:p>
  </w:endnote>
  <w:endnote w:type="continuationSeparator" w:id="0">
    <w:p w14:paraId="509AAF71" w14:textId="77777777" w:rsidR="009C20ED" w:rsidRDefault="009C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B9C92" w14:textId="47B27A6D" w:rsidR="009C20ED" w:rsidRPr="00642E2D" w:rsidRDefault="009C20ED">
    <w:pPr>
      <w:pStyle w:val="Footer"/>
      <w:jc w:val="center"/>
      <w:rPr>
        <w:sz w:val="20"/>
      </w:rPr>
    </w:pPr>
    <w:r w:rsidRPr="00642E2D">
      <w:rPr>
        <w:sz w:val="20"/>
      </w:rPr>
      <w:t xml:space="preserve">Page </w:t>
    </w:r>
    <w:r w:rsidRPr="00642E2D">
      <w:rPr>
        <w:b/>
        <w:sz w:val="20"/>
      </w:rPr>
      <w:fldChar w:fldCharType="begin"/>
    </w:r>
    <w:r w:rsidRPr="00642E2D">
      <w:rPr>
        <w:b/>
        <w:sz w:val="20"/>
      </w:rPr>
      <w:instrText xml:space="preserve"> PAGE </w:instrText>
    </w:r>
    <w:r w:rsidRPr="00642E2D">
      <w:rPr>
        <w:b/>
        <w:sz w:val="20"/>
      </w:rPr>
      <w:fldChar w:fldCharType="separate"/>
    </w:r>
    <w:r w:rsidR="004A1D4A">
      <w:rPr>
        <w:b/>
        <w:noProof/>
        <w:sz w:val="20"/>
      </w:rPr>
      <w:t>8</w:t>
    </w:r>
    <w:r w:rsidRPr="00642E2D">
      <w:rPr>
        <w:b/>
        <w:sz w:val="20"/>
      </w:rPr>
      <w:fldChar w:fldCharType="end"/>
    </w:r>
    <w:r w:rsidRPr="00642E2D">
      <w:rPr>
        <w:sz w:val="20"/>
      </w:rPr>
      <w:t xml:space="preserve"> of </w:t>
    </w:r>
    <w:r w:rsidRPr="00642E2D">
      <w:rPr>
        <w:b/>
        <w:sz w:val="20"/>
      </w:rPr>
      <w:fldChar w:fldCharType="begin"/>
    </w:r>
    <w:r w:rsidRPr="00642E2D">
      <w:rPr>
        <w:b/>
        <w:sz w:val="20"/>
      </w:rPr>
      <w:instrText xml:space="preserve"> NUMPAGES  </w:instrText>
    </w:r>
    <w:r w:rsidRPr="00642E2D">
      <w:rPr>
        <w:b/>
        <w:sz w:val="20"/>
      </w:rPr>
      <w:fldChar w:fldCharType="separate"/>
    </w:r>
    <w:r w:rsidR="004A1D4A">
      <w:rPr>
        <w:b/>
        <w:noProof/>
        <w:sz w:val="20"/>
      </w:rPr>
      <w:t>9</w:t>
    </w:r>
    <w:r w:rsidRPr="00642E2D">
      <w:rPr>
        <w:b/>
        <w:sz w:val="20"/>
      </w:rPr>
      <w:fldChar w:fldCharType="end"/>
    </w:r>
  </w:p>
  <w:p w14:paraId="40126D52" w14:textId="77777777" w:rsidR="009C20ED" w:rsidRPr="00642E2D" w:rsidRDefault="009C20ED" w:rsidP="00561D4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016D9" w14:textId="77777777" w:rsidR="009C20ED" w:rsidRDefault="009C20ED">
      <w:r>
        <w:separator/>
      </w:r>
    </w:p>
  </w:footnote>
  <w:footnote w:type="continuationSeparator" w:id="0">
    <w:p w14:paraId="58E97A45" w14:textId="77777777" w:rsidR="009C20ED" w:rsidRDefault="009C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C0"/>
    <w:multiLevelType w:val="hybridMultilevel"/>
    <w:tmpl w:val="1166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95BCB"/>
    <w:multiLevelType w:val="hybridMultilevel"/>
    <w:tmpl w:val="9150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4F1582"/>
    <w:multiLevelType w:val="hybridMultilevel"/>
    <w:tmpl w:val="9C56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FE4875"/>
    <w:multiLevelType w:val="hybridMultilevel"/>
    <w:tmpl w:val="D36C8B86"/>
    <w:lvl w:ilvl="0" w:tplc="1F22DD52">
      <w:start w:val="1"/>
      <w:numFmt w:val="bullet"/>
      <w:lvlText w:val="•"/>
      <w:lvlJc w:val="left"/>
      <w:pPr>
        <w:tabs>
          <w:tab w:val="num" w:pos="720"/>
        </w:tabs>
        <w:ind w:left="720" w:hanging="360"/>
      </w:pPr>
      <w:rPr>
        <w:rFonts w:ascii="Times New Roman" w:hAnsi="Times New Roman" w:hint="default"/>
      </w:rPr>
    </w:lvl>
    <w:lvl w:ilvl="1" w:tplc="3E70D77C" w:tentative="1">
      <w:start w:val="1"/>
      <w:numFmt w:val="bullet"/>
      <w:lvlText w:val="•"/>
      <w:lvlJc w:val="left"/>
      <w:pPr>
        <w:tabs>
          <w:tab w:val="num" w:pos="1440"/>
        </w:tabs>
        <w:ind w:left="1440" w:hanging="360"/>
      </w:pPr>
      <w:rPr>
        <w:rFonts w:ascii="Times New Roman" w:hAnsi="Times New Roman" w:hint="default"/>
      </w:rPr>
    </w:lvl>
    <w:lvl w:ilvl="2" w:tplc="4A088120" w:tentative="1">
      <w:start w:val="1"/>
      <w:numFmt w:val="bullet"/>
      <w:lvlText w:val="•"/>
      <w:lvlJc w:val="left"/>
      <w:pPr>
        <w:tabs>
          <w:tab w:val="num" w:pos="2160"/>
        </w:tabs>
        <w:ind w:left="2160" w:hanging="360"/>
      </w:pPr>
      <w:rPr>
        <w:rFonts w:ascii="Times New Roman" w:hAnsi="Times New Roman" w:hint="default"/>
      </w:rPr>
    </w:lvl>
    <w:lvl w:ilvl="3" w:tplc="388CDF16" w:tentative="1">
      <w:start w:val="1"/>
      <w:numFmt w:val="bullet"/>
      <w:lvlText w:val="•"/>
      <w:lvlJc w:val="left"/>
      <w:pPr>
        <w:tabs>
          <w:tab w:val="num" w:pos="2880"/>
        </w:tabs>
        <w:ind w:left="2880" w:hanging="360"/>
      </w:pPr>
      <w:rPr>
        <w:rFonts w:ascii="Times New Roman" w:hAnsi="Times New Roman" w:hint="default"/>
      </w:rPr>
    </w:lvl>
    <w:lvl w:ilvl="4" w:tplc="D4463AA8" w:tentative="1">
      <w:start w:val="1"/>
      <w:numFmt w:val="bullet"/>
      <w:lvlText w:val="•"/>
      <w:lvlJc w:val="left"/>
      <w:pPr>
        <w:tabs>
          <w:tab w:val="num" w:pos="3600"/>
        </w:tabs>
        <w:ind w:left="3600" w:hanging="360"/>
      </w:pPr>
      <w:rPr>
        <w:rFonts w:ascii="Times New Roman" w:hAnsi="Times New Roman" w:hint="default"/>
      </w:rPr>
    </w:lvl>
    <w:lvl w:ilvl="5" w:tplc="A148F16C" w:tentative="1">
      <w:start w:val="1"/>
      <w:numFmt w:val="bullet"/>
      <w:lvlText w:val="•"/>
      <w:lvlJc w:val="left"/>
      <w:pPr>
        <w:tabs>
          <w:tab w:val="num" w:pos="4320"/>
        </w:tabs>
        <w:ind w:left="4320" w:hanging="360"/>
      </w:pPr>
      <w:rPr>
        <w:rFonts w:ascii="Times New Roman" w:hAnsi="Times New Roman" w:hint="default"/>
      </w:rPr>
    </w:lvl>
    <w:lvl w:ilvl="6" w:tplc="40FA27F2" w:tentative="1">
      <w:start w:val="1"/>
      <w:numFmt w:val="bullet"/>
      <w:lvlText w:val="•"/>
      <w:lvlJc w:val="left"/>
      <w:pPr>
        <w:tabs>
          <w:tab w:val="num" w:pos="5040"/>
        </w:tabs>
        <w:ind w:left="5040" w:hanging="360"/>
      </w:pPr>
      <w:rPr>
        <w:rFonts w:ascii="Times New Roman" w:hAnsi="Times New Roman" w:hint="default"/>
      </w:rPr>
    </w:lvl>
    <w:lvl w:ilvl="7" w:tplc="E1B47AA4" w:tentative="1">
      <w:start w:val="1"/>
      <w:numFmt w:val="bullet"/>
      <w:lvlText w:val="•"/>
      <w:lvlJc w:val="left"/>
      <w:pPr>
        <w:tabs>
          <w:tab w:val="num" w:pos="5760"/>
        </w:tabs>
        <w:ind w:left="5760" w:hanging="360"/>
      </w:pPr>
      <w:rPr>
        <w:rFonts w:ascii="Times New Roman" w:hAnsi="Times New Roman" w:hint="default"/>
      </w:rPr>
    </w:lvl>
    <w:lvl w:ilvl="8" w:tplc="690C58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2F173E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667F5B"/>
    <w:multiLevelType w:val="hybridMultilevel"/>
    <w:tmpl w:val="25D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F301E4"/>
    <w:multiLevelType w:val="hybridMultilevel"/>
    <w:tmpl w:val="5680CE46"/>
    <w:lvl w:ilvl="0" w:tplc="C9D201B4">
      <w:start w:val="1"/>
      <w:numFmt w:val="bullet"/>
      <w:lvlText w:val="•"/>
      <w:lvlJc w:val="left"/>
      <w:pPr>
        <w:tabs>
          <w:tab w:val="num" w:pos="720"/>
        </w:tabs>
        <w:ind w:left="720" w:hanging="360"/>
      </w:pPr>
      <w:rPr>
        <w:rFonts w:ascii="Times New Roman" w:hAnsi="Times New Roman" w:hint="default"/>
      </w:rPr>
    </w:lvl>
    <w:lvl w:ilvl="1" w:tplc="B3AA1EC6" w:tentative="1">
      <w:start w:val="1"/>
      <w:numFmt w:val="bullet"/>
      <w:lvlText w:val="•"/>
      <w:lvlJc w:val="left"/>
      <w:pPr>
        <w:tabs>
          <w:tab w:val="num" w:pos="1440"/>
        </w:tabs>
        <w:ind w:left="1440" w:hanging="360"/>
      </w:pPr>
      <w:rPr>
        <w:rFonts w:ascii="Times New Roman" w:hAnsi="Times New Roman" w:hint="default"/>
      </w:rPr>
    </w:lvl>
    <w:lvl w:ilvl="2" w:tplc="02501DB6" w:tentative="1">
      <w:start w:val="1"/>
      <w:numFmt w:val="bullet"/>
      <w:lvlText w:val="•"/>
      <w:lvlJc w:val="left"/>
      <w:pPr>
        <w:tabs>
          <w:tab w:val="num" w:pos="2160"/>
        </w:tabs>
        <w:ind w:left="2160" w:hanging="360"/>
      </w:pPr>
      <w:rPr>
        <w:rFonts w:ascii="Times New Roman" w:hAnsi="Times New Roman" w:hint="default"/>
      </w:rPr>
    </w:lvl>
    <w:lvl w:ilvl="3" w:tplc="46187206" w:tentative="1">
      <w:start w:val="1"/>
      <w:numFmt w:val="bullet"/>
      <w:lvlText w:val="•"/>
      <w:lvlJc w:val="left"/>
      <w:pPr>
        <w:tabs>
          <w:tab w:val="num" w:pos="2880"/>
        </w:tabs>
        <w:ind w:left="2880" w:hanging="360"/>
      </w:pPr>
      <w:rPr>
        <w:rFonts w:ascii="Times New Roman" w:hAnsi="Times New Roman" w:hint="default"/>
      </w:rPr>
    </w:lvl>
    <w:lvl w:ilvl="4" w:tplc="C354FBC0" w:tentative="1">
      <w:start w:val="1"/>
      <w:numFmt w:val="bullet"/>
      <w:lvlText w:val="•"/>
      <w:lvlJc w:val="left"/>
      <w:pPr>
        <w:tabs>
          <w:tab w:val="num" w:pos="3600"/>
        </w:tabs>
        <w:ind w:left="3600" w:hanging="360"/>
      </w:pPr>
      <w:rPr>
        <w:rFonts w:ascii="Times New Roman" w:hAnsi="Times New Roman" w:hint="default"/>
      </w:rPr>
    </w:lvl>
    <w:lvl w:ilvl="5" w:tplc="9F1C5EA0" w:tentative="1">
      <w:start w:val="1"/>
      <w:numFmt w:val="bullet"/>
      <w:lvlText w:val="•"/>
      <w:lvlJc w:val="left"/>
      <w:pPr>
        <w:tabs>
          <w:tab w:val="num" w:pos="4320"/>
        </w:tabs>
        <w:ind w:left="4320" w:hanging="360"/>
      </w:pPr>
      <w:rPr>
        <w:rFonts w:ascii="Times New Roman" w:hAnsi="Times New Roman" w:hint="default"/>
      </w:rPr>
    </w:lvl>
    <w:lvl w:ilvl="6" w:tplc="89C0F95A" w:tentative="1">
      <w:start w:val="1"/>
      <w:numFmt w:val="bullet"/>
      <w:lvlText w:val="•"/>
      <w:lvlJc w:val="left"/>
      <w:pPr>
        <w:tabs>
          <w:tab w:val="num" w:pos="5040"/>
        </w:tabs>
        <w:ind w:left="5040" w:hanging="360"/>
      </w:pPr>
      <w:rPr>
        <w:rFonts w:ascii="Times New Roman" w:hAnsi="Times New Roman" w:hint="default"/>
      </w:rPr>
    </w:lvl>
    <w:lvl w:ilvl="7" w:tplc="89D07420" w:tentative="1">
      <w:start w:val="1"/>
      <w:numFmt w:val="bullet"/>
      <w:lvlText w:val="•"/>
      <w:lvlJc w:val="left"/>
      <w:pPr>
        <w:tabs>
          <w:tab w:val="num" w:pos="5760"/>
        </w:tabs>
        <w:ind w:left="5760" w:hanging="360"/>
      </w:pPr>
      <w:rPr>
        <w:rFonts w:ascii="Times New Roman" w:hAnsi="Times New Roman" w:hint="default"/>
      </w:rPr>
    </w:lvl>
    <w:lvl w:ilvl="8" w:tplc="7E9C9F7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6E6B00"/>
    <w:multiLevelType w:val="hybridMultilevel"/>
    <w:tmpl w:val="7666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5A65EB"/>
    <w:multiLevelType w:val="hybridMultilevel"/>
    <w:tmpl w:val="50E4CDF4"/>
    <w:lvl w:ilvl="0" w:tplc="D638E206">
      <w:numFmt w:val="bullet"/>
      <w:lvlText w:val=""/>
      <w:lvlJc w:val="left"/>
      <w:pPr>
        <w:tabs>
          <w:tab w:val="num" w:pos="720"/>
        </w:tabs>
        <w:ind w:left="720" w:hanging="360"/>
      </w:pPr>
      <w:rPr>
        <w:rFonts w:ascii="Symbol" w:eastAsia="Times New Roman" w:hAnsi="Symbol" w:cs="Tahoma" w:hint="default"/>
      </w:rPr>
    </w:lvl>
    <w:lvl w:ilvl="1" w:tplc="8AD0BA90">
      <w:start w:val="1"/>
      <w:numFmt w:val="bullet"/>
      <w:lvlText w:val=""/>
      <w:lvlJc w:val="left"/>
      <w:pPr>
        <w:tabs>
          <w:tab w:val="num" w:pos="1440"/>
        </w:tabs>
        <w:ind w:left="1440" w:hanging="360"/>
      </w:pPr>
      <w:rPr>
        <w:rFonts w:ascii="Symbol" w:hAnsi="Symbol" w:hint="default"/>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A8778D"/>
    <w:multiLevelType w:val="hybridMultilevel"/>
    <w:tmpl w:val="C8E8F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32839"/>
    <w:multiLevelType w:val="hybridMultilevel"/>
    <w:tmpl w:val="3E4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C3306"/>
    <w:multiLevelType w:val="hybridMultilevel"/>
    <w:tmpl w:val="4FE473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30FEC"/>
    <w:multiLevelType w:val="hybridMultilevel"/>
    <w:tmpl w:val="11EA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57F7"/>
    <w:multiLevelType w:val="hybridMultilevel"/>
    <w:tmpl w:val="B5B2F5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CE771D"/>
    <w:multiLevelType w:val="multilevel"/>
    <w:tmpl w:val="176000A6"/>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50F3A"/>
    <w:multiLevelType w:val="hybridMultilevel"/>
    <w:tmpl w:val="CED8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834DA"/>
    <w:multiLevelType w:val="hybridMultilevel"/>
    <w:tmpl w:val="9C22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D5646"/>
    <w:multiLevelType w:val="hybridMultilevel"/>
    <w:tmpl w:val="0D34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D6497"/>
    <w:multiLevelType w:val="hybridMultilevel"/>
    <w:tmpl w:val="928C7D1C"/>
    <w:lvl w:ilvl="0" w:tplc="2A14899C">
      <w:start w:val="1"/>
      <w:numFmt w:val="bullet"/>
      <w:lvlText w:val="•"/>
      <w:lvlJc w:val="left"/>
      <w:pPr>
        <w:tabs>
          <w:tab w:val="num" w:pos="720"/>
        </w:tabs>
        <w:ind w:left="720" w:hanging="360"/>
      </w:pPr>
      <w:rPr>
        <w:rFonts w:ascii="Times New Roman" w:hAnsi="Times New Roman" w:hint="default"/>
      </w:rPr>
    </w:lvl>
    <w:lvl w:ilvl="1" w:tplc="87041928" w:tentative="1">
      <w:start w:val="1"/>
      <w:numFmt w:val="bullet"/>
      <w:lvlText w:val="•"/>
      <w:lvlJc w:val="left"/>
      <w:pPr>
        <w:tabs>
          <w:tab w:val="num" w:pos="1440"/>
        </w:tabs>
        <w:ind w:left="1440" w:hanging="360"/>
      </w:pPr>
      <w:rPr>
        <w:rFonts w:ascii="Times New Roman" w:hAnsi="Times New Roman" w:hint="default"/>
      </w:rPr>
    </w:lvl>
    <w:lvl w:ilvl="2" w:tplc="6238709C" w:tentative="1">
      <w:start w:val="1"/>
      <w:numFmt w:val="bullet"/>
      <w:lvlText w:val="•"/>
      <w:lvlJc w:val="left"/>
      <w:pPr>
        <w:tabs>
          <w:tab w:val="num" w:pos="2160"/>
        </w:tabs>
        <w:ind w:left="2160" w:hanging="360"/>
      </w:pPr>
      <w:rPr>
        <w:rFonts w:ascii="Times New Roman" w:hAnsi="Times New Roman" w:hint="default"/>
      </w:rPr>
    </w:lvl>
    <w:lvl w:ilvl="3" w:tplc="844E378C" w:tentative="1">
      <w:start w:val="1"/>
      <w:numFmt w:val="bullet"/>
      <w:lvlText w:val="•"/>
      <w:lvlJc w:val="left"/>
      <w:pPr>
        <w:tabs>
          <w:tab w:val="num" w:pos="2880"/>
        </w:tabs>
        <w:ind w:left="2880" w:hanging="360"/>
      </w:pPr>
      <w:rPr>
        <w:rFonts w:ascii="Times New Roman" w:hAnsi="Times New Roman" w:hint="default"/>
      </w:rPr>
    </w:lvl>
    <w:lvl w:ilvl="4" w:tplc="586469CE" w:tentative="1">
      <w:start w:val="1"/>
      <w:numFmt w:val="bullet"/>
      <w:lvlText w:val="•"/>
      <w:lvlJc w:val="left"/>
      <w:pPr>
        <w:tabs>
          <w:tab w:val="num" w:pos="3600"/>
        </w:tabs>
        <w:ind w:left="3600" w:hanging="360"/>
      </w:pPr>
      <w:rPr>
        <w:rFonts w:ascii="Times New Roman" w:hAnsi="Times New Roman" w:hint="default"/>
      </w:rPr>
    </w:lvl>
    <w:lvl w:ilvl="5" w:tplc="9622FD88" w:tentative="1">
      <w:start w:val="1"/>
      <w:numFmt w:val="bullet"/>
      <w:lvlText w:val="•"/>
      <w:lvlJc w:val="left"/>
      <w:pPr>
        <w:tabs>
          <w:tab w:val="num" w:pos="4320"/>
        </w:tabs>
        <w:ind w:left="4320" w:hanging="360"/>
      </w:pPr>
      <w:rPr>
        <w:rFonts w:ascii="Times New Roman" w:hAnsi="Times New Roman" w:hint="default"/>
      </w:rPr>
    </w:lvl>
    <w:lvl w:ilvl="6" w:tplc="F67EDFD2" w:tentative="1">
      <w:start w:val="1"/>
      <w:numFmt w:val="bullet"/>
      <w:lvlText w:val="•"/>
      <w:lvlJc w:val="left"/>
      <w:pPr>
        <w:tabs>
          <w:tab w:val="num" w:pos="5040"/>
        </w:tabs>
        <w:ind w:left="5040" w:hanging="360"/>
      </w:pPr>
      <w:rPr>
        <w:rFonts w:ascii="Times New Roman" w:hAnsi="Times New Roman" w:hint="default"/>
      </w:rPr>
    </w:lvl>
    <w:lvl w:ilvl="7" w:tplc="245AF154" w:tentative="1">
      <w:start w:val="1"/>
      <w:numFmt w:val="bullet"/>
      <w:lvlText w:val="•"/>
      <w:lvlJc w:val="left"/>
      <w:pPr>
        <w:tabs>
          <w:tab w:val="num" w:pos="5760"/>
        </w:tabs>
        <w:ind w:left="5760" w:hanging="360"/>
      </w:pPr>
      <w:rPr>
        <w:rFonts w:ascii="Times New Roman" w:hAnsi="Times New Roman" w:hint="default"/>
      </w:rPr>
    </w:lvl>
    <w:lvl w:ilvl="8" w:tplc="EA3CBF4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96B073E"/>
    <w:multiLevelType w:val="hybridMultilevel"/>
    <w:tmpl w:val="25E08C0A"/>
    <w:lvl w:ilvl="0" w:tplc="EA2050B6">
      <w:start w:val="1"/>
      <w:numFmt w:val="bullet"/>
      <w:lvlText w:val="•"/>
      <w:lvlJc w:val="left"/>
      <w:pPr>
        <w:tabs>
          <w:tab w:val="num" w:pos="720"/>
        </w:tabs>
        <w:ind w:left="720" w:hanging="360"/>
      </w:pPr>
      <w:rPr>
        <w:rFonts w:ascii="Times New Roman" w:hAnsi="Times New Roman" w:hint="default"/>
      </w:rPr>
    </w:lvl>
    <w:lvl w:ilvl="1" w:tplc="C374ABA6" w:tentative="1">
      <w:start w:val="1"/>
      <w:numFmt w:val="bullet"/>
      <w:lvlText w:val="•"/>
      <w:lvlJc w:val="left"/>
      <w:pPr>
        <w:tabs>
          <w:tab w:val="num" w:pos="1440"/>
        </w:tabs>
        <w:ind w:left="1440" w:hanging="360"/>
      </w:pPr>
      <w:rPr>
        <w:rFonts w:ascii="Times New Roman" w:hAnsi="Times New Roman" w:hint="default"/>
      </w:rPr>
    </w:lvl>
    <w:lvl w:ilvl="2" w:tplc="7F9853F6" w:tentative="1">
      <w:start w:val="1"/>
      <w:numFmt w:val="bullet"/>
      <w:lvlText w:val="•"/>
      <w:lvlJc w:val="left"/>
      <w:pPr>
        <w:tabs>
          <w:tab w:val="num" w:pos="2160"/>
        </w:tabs>
        <w:ind w:left="2160" w:hanging="360"/>
      </w:pPr>
      <w:rPr>
        <w:rFonts w:ascii="Times New Roman" w:hAnsi="Times New Roman" w:hint="default"/>
      </w:rPr>
    </w:lvl>
    <w:lvl w:ilvl="3" w:tplc="6C4E4BB0" w:tentative="1">
      <w:start w:val="1"/>
      <w:numFmt w:val="bullet"/>
      <w:lvlText w:val="•"/>
      <w:lvlJc w:val="left"/>
      <w:pPr>
        <w:tabs>
          <w:tab w:val="num" w:pos="2880"/>
        </w:tabs>
        <w:ind w:left="2880" w:hanging="360"/>
      </w:pPr>
      <w:rPr>
        <w:rFonts w:ascii="Times New Roman" w:hAnsi="Times New Roman" w:hint="default"/>
      </w:rPr>
    </w:lvl>
    <w:lvl w:ilvl="4" w:tplc="00109D0A" w:tentative="1">
      <w:start w:val="1"/>
      <w:numFmt w:val="bullet"/>
      <w:lvlText w:val="•"/>
      <w:lvlJc w:val="left"/>
      <w:pPr>
        <w:tabs>
          <w:tab w:val="num" w:pos="3600"/>
        </w:tabs>
        <w:ind w:left="3600" w:hanging="360"/>
      </w:pPr>
      <w:rPr>
        <w:rFonts w:ascii="Times New Roman" w:hAnsi="Times New Roman" w:hint="default"/>
      </w:rPr>
    </w:lvl>
    <w:lvl w:ilvl="5" w:tplc="210877E6" w:tentative="1">
      <w:start w:val="1"/>
      <w:numFmt w:val="bullet"/>
      <w:lvlText w:val="•"/>
      <w:lvlJc w:val="left"/>
      <w:pPr>
        <w:tabs>
          <w:tab w:val="num" w:pos="4320"/>
        </w:tabs>
        <w:ind w:left="4320" w:hanging="360"/>
      </w:pPr>
      <w:rPr>
        <w:rFonts w:ascii="Times New Roman" w:hAnsi="Times New Roman" w:hint="default"/>
      </w:rPr>
    </w:lvl>
    <w:lvl w:ilvl="6" w:tplc="4BA8009C" w:tentative="1">
      <w:start w:val="1"/>
      <w:numFmt w:val="bullet"/>
      <w:lvlText w:val="•"/>
      <w:lvlJc w:val="left"/>
      <w:pPr>
        <w:tabs>
          <w:tab w:val="num" w:pos="5040"/>
        </w:tabs>
        <w:ind w:left="5040" w:hanging="360"/>
      </w:pPr>
      <w:rPr>
        <w:rFonts w:ascii="Times New Roman" w:hAnsi="Times New Roman" w:hint="default"/>
      </w:rPr>
    </w:lvl>
    <w:lvl w:ilvl="7" w:tplc="A4304650" w:tentative="1">
      <w:start w:val="1"/>
      <w:numFmt w:val="bullet"/>
      <w:lvlText w:val="•"/>
      <w:lvlJc w:val="left"/>
      <w:pPr>
        <w:tabs>
          <w:tab w:val="num" w:pos="5760"/>
        </w:tabs>
        <w:ind w:left="5760" w:hanging="360"/>
      </w:pPr>
      <w:rPr>
        <w:rFonts w:ascii="Times New Roman" w:hAnsi="Times New Roman" w:hint="default"/>
      </w:rPr>
    </w:lvl>
    <w:lvl w:ilvl="8" w:tplc="D2C8BFD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97B68F2"/>
    <w:multiLevelType w:val="hybridMultilevel"/>
    <w:tmpl w:val="990C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9A54D7"/>
    <w:multiLevelType w:val="hybridMultilevel"/>
    <w:tmpl w:val="4460A17A"/>
    <w:lvl w:ilvl="0" w:tplc="08090001">
      <w:start w:val="1"/>
      <w:numFmt w:val="bullet"/>
      <w:lvlText w:val=""/>
      <w:lvlJc w:val="left"/>
      <w:pPr>
        <w:ind w:left="720" w:hanging="360"/>
      </w:pPr>
      <w:rPr>
        <w:rFonts w:ascii="Symbol" w:hAnsi="Symbol" w:hint="default"/>
      </w:rPr>
    </w:lvl>
    <w:lvl w:ilvl="1" w:tplc="45A42D5E">
      <w:start w:val="7"/>
      <w:numFmt w:val="bullet"/>
      <w:lvlText w:val="-"/>
      <w:lvlJc w:val="left"/>
      <w:pPr>
        <w:ind w:left="1440" w:hanging="360"/>
      </w:pPr>
      <w:rPr>
        <w:rFonts w:ascii="Verdana" w:eastAsia="Times New Roman"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634B2"/>
    <w:multiLevelType w:val="hybridMultilevel"/>
    <w:tmpl w:val="A61AD6E2"/>
    <w:lvl w:ilvl="0" w:tplc="3C1A11D4">
      <w:start w:val="1"/>
      <w:numFmt w:val="bullet"/>
      <w:lvlText w:val="•"/>
      <w:lvlJc w:val="left"/>
      <w:pPr>
        <w:tabs>
          <w:tab w:val="num" w:pos="720"/>
        </w:tabs>
        <w:ind w:left="720" w:hanging="360"/>
      </w:pPr>
      <w:rPr>
        <w:rFonts w:ascii="Times New Roman" w:hAnsi="Times New Roman" w:hint="default"/>
      </w:rPr>
    </w:lvl>
    <w:lvl w:ilvl="1" w:tplc="51F6C082" w:tentative="1">
      <w:start w:val="1"/>
      <w:numFmt w:val="bullet"/>
      <w:lvlText w:val="•"/>
      <w:lvlJc w:val="left"/>
      <w:pPr>
        <w:tabs>
          <w:tab w:val="num" w:pos="1440"/>
        </w:tabs>
        <w:ind w:left="1440" w:hanging="360"/>
      </w:pPr>
      <w:rPr>
        <w:rFonts w:ascii="Times New Roman" w:hAnsi="Times New Roman" w:hint="default"/>
      </w:rPr>
    </w:lvl>
    <w:lvl w:ilvl="2" w:tplc="ED50D952" w:tentative="1">
      <w:start w:val="1"/>
      <w:numFmt w:val="bullet"/>
      <w:lvlText w:val="•"/>
      <w:lvlJc w:val="left"/>
      <w:pPr>
        <w:tabs>
          <w:tab w:val="num" w:pos="2160"/>
        </w:tabs>
        <w:ind w:left="2160" w:hanging="360"/>
      </w:pPr>
      <w:rPr>
        <w:rFonts w:ascii="Times New Roman" w:hAnsi="Times New Roman" w:hint="default"/>
      </w:rPr>
    </w:lvl>
    <w:lvl w:ilvl="3" w:tplc="C93EF5CE" w:tentative="1">
      <w:start w:val="1"/>
      <w:numFmt w:val="bullet"/>
      <w:lvlText w:val="•"/>
      <w:lvlJc w:val="left"/>
      <w:pPr>
        <w:tabs>
          <w:tab w:val="num" w:pos="2880"/>
        </w:tabs>
        <w:ind w:left="2880" w:hanging="360"/>
      </w:pPr>
      <w:rPr>
        <w:rFonts w:ascii="Times New Roman" w:hAnsi="Times New Roman" w:hint="default"/>
      </w:rPr>
    </w:lvl>
    <w:lvl w:ilvl="4" w:tplc="69A8CE26" w:tentative="1">
      <w:start w:val="1"/>
      <w:numFmt w:val="bullet"/>
      <w:lvlText w:val="•"/>
      <w:lvlJc w:val="left"/>
      <w:pPr>
        <w:tabs>
          <w:tab w:val="num" w:pos="3600"/>
        </w:tabs>
        <w:ind w:left="3600" w:hanging="360"/>
      </w:pPr>
      <w:rPr>
        <w:rFonts w:ascii="Times New Roman" w:hAnsi="Times New Roman" w:hint="default"/>
      </w:rPr>
    </w:lvl>
    <w:lvl w:ilvl="5" w:tplc="3C40DE70" w:tentative="1">
      <w:start w:val="1"/>
      <w:numFmt w:val="bullet"/>
      <w:lvlText w:val="•"/>
      <w:lvlJc w:val="left"/>
      <w:pPr>
        <w:tabs>
          <w:tab w:val="num" w:pos="4320"/>
        </w:tabs>
        <w:ind w:left="4320" w:hanging="360"/>
      </w:pPr>
      <w:rPr>
        <w:rFonts w:ascii="Times New Roman" w:hAnsi="Times New Roman" w:hint="default"/>
      </w:rPr>
    </w:lvl>
    <w:lvl w:ilvl="6" w:tplc="0F3A7FE8" w:tentative="1">
      <w:start w:val="1"/>
      <w:numFmt w:val="bullet"/>
      <w:lvlText w:val="•"/>
      <w:lvlJc w:val="left"/>
      <w:pPr>
        <w:tabs>
          <w:tab w:val="num" w:pos="5040"/>
        </w:tabs>
        <w:ind w:left="5040" w:hanging="360"/>
      </w:pPr>
      <w:rPr>
        <w:rFonts w:ascii="Times New Roman" w:hAnsi="Times New Roman" w:hint="default"/>
      </w:rPr>
    </w:lvl>
    <w:lvl w:ilvl="7" w:tplc="51744910" w:tentative="1">
      <w:start w:val="1"/>
      <w:numFmt w:val="bullet"/>
      <w:lvlText w:val="•"/>
      <w:lvlJc w:val="left"/>
      <w:pPr>
        <w:tabs>
          <w:tab w:val="num" w:pos="5760"/>
        </w:tabs>
        <w:ind w:left="5760" w:hanging="360"/>
      </w:pPr>
      <w:rPr>
        <w:rFonts w:ascii="Times New Roman" w:hAnsi="Times New Roman" w:hint="default"/>
      </w:rPr>
    </w:lvl>
    <w:lvl w:ilvl="8" w:tplc="6A0CEC3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09601B0"/>
    <w:multiLevelType w:val="hybridMultilevel"/>
    <w:tmpl w:val="B23E61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AE2C9D"/>
    <w:multiLevelType w:val="hybridMultilevel"/>
    <w:tmpl w:val="7486D1FE"/>
    <w:lvl w:ilvl="0" w:tplc="A880B498">
      <w:start w:val="1"/>
      <w:numFmt w:val="bullet"/>
      <w:lvlText w:val="•"/>
      <w:lvlJc w:val="left"/>
      <w:pPr>
        <w:tabs>
          <w:tab w:val="num" w:pos="720"/>
        </w:tabs>
        <w:ind w:left="720" w:hanging="360"/>
      </w:pPr>
      <w:rPr>
        <w:rFonts w:ascii="Times New Roman" w:hAnsi="Times New Roman" w:hint="default"/>
      </w:rPr>
    </w:lvl>
    <w:lvl w:ilvl="1" w:tplc="CA885F18" w:tentative="1">
      <w:start w:val="1"/>
      <w:numFmt w:val="bullet"/>
      <w:lvlText w:val="•"/>
      <w:lvlJc w:val="left"/>
      <w:pPr>
        <w:tabs>
          <w:tab w:val="num" w:pos="1440"/>
        </w:tabs>
        <w:ind w:left="1440" w:hanging="360"/>
      </w:pPr>
      <w:rPr>
        <w:rFonts w:ascii="Times New Roman" w:hAnsi="Times New Roman" w:hint="default"/>
      </w:rPr>
    </w:lvl>
    <w:lvl w:ilvl="2" w:tplc="7FBE38BE" w:tentative="1">
      <w:start w:val="1"/>
      <w:numFmt w:val="bullet"/>
      <w:lvlText w:val="•"/>
      <w:lvlJc w:val="left"/>
      <w:pPr>
        <w:tabs>
          <w:tab w:val="num" w:pos="2160"/>
        </w:tabs>
        <w:ind w:left="2160" w:hanging="360"/>
      </w:pPr>
      <w:rPr>
        <w:rFonts w:ascii="Times New Roman" w:hAnsi="Times New Roman" w:hint="default"/>
      </w:rPr>
    </w:lvl>
    <w:lvl w:ilvl="3" w:tplc="4C7805A8" w:tentative="1">
      <w:start w:val="1"/>
      <w:numFmt w:val="bullet"/>
      <w:lvlText w:val="•"/>
      <w:lvlJc w:val="left"/>
      <w:pPr>
        <w:tabs>
          <w:tab w:val="num" w:pos="2880"/>
        </w:tabs>
        <w:ind w:left="2880" w:hanging="360"/>
      </w:pPr>
      <w:rPr>
        <w:rFonts w:ascii="Times New Roman" w:hAnsi="Times New Roman" w:hint="default"/>
      </w:rPr>
    </w:lvl>
    <w:lvl w:ilvl="4" w:tplc="41245628" w:tentative="1">
      <w:start w:val="1"/>
      <w:numFmt w:val="bullet"/>
      <w:lvlText w:val="•"/>
      <w:lvlJc w:val="left"/>
      <w:pPr>
        <w:tabs>
          <w:tab w:val="num" w:pos="3600"/>
        </w:tabs>
        <w:ind w:left="3600" w:hanging="360"/>
      </w:pPr>
      <w:rPr>
        <w:rFonts w:ascii="Times New Roman" w:hAnsi="Times New Roman" w:hint="default"/>
      </w:rPr>
    </w:lvl>
    <w:lvl w:ilvl="5" w:tplc="A4FA918E" w:tentative="1">
      <w:start w:val="1"/>
      <w:numFmt w:val="bullet"/>
      <w:lvlText w:val="•"/>
      <w:lvlJc w:val="left"/>
      <w:pPr>
        <w:tabs>
          <w:tab w:val="num" w:pos="4320"/>
        </w:tabs>
        <w:ind w:left="4320" w:hanging="360"/>
      </w:pPr>
      <w:rPr>
        <w:rFonts w:ascii="Times New Roman" w:hAnsi="Times New Roman" w:hint="default"/>
      </w:rPr>
    </w:lvl>
    <w:lvl w:ilvl="6" w:tplc="9306E48E" w:tentative="1">
      <w:start w:val="1"/>
      <w:numFmt w:val="bullet"/>
      <w:lvlText w:val="•"/>
      <w:lvlJc w:val="left"/>
      <w:pPr>
        <w:tabs>
          <w:tab w:val="num" w:pos="5040"/>
        </w:tabs>
        <w:ind w:left="5040" w:hanging="360"/>
      </w:pPr>
      <w:rPr>
        <w:rFonts w:ascii="Times New Roman" w:hAnsi="Times New Roman" w:hint="default"/>
      </w:rPr>
    </w:lvl>
    <w:lvl w:ilvl="7" w:tplc="BBB6E6BA" w:tentative="1">
      <w:start w:val="1"/>
      <w:numFmt w:val="bullet"/>
      <w:lvlText w:val="•"/>
      <w:lvlJc w:val="left"/>
      <w:pPr>
        <w:tabs>
          <w:tab w:val="num" w:pos="5760"/>
        </w:tabs>
        <w:ind w:left="5760" w:hanging="360"/>
      </w:pPr>
      <w:rPr>
        <w:rFonts w:ascii="Times New Roman" w:hAnsi="Times New Roman" w:hint="default"/>
      </w:rPr>
    </w:lvl>
    <w:lvl w:ilvl="8" w:tplc="2828FF9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2238CA"/>
    <w:multiLevelType w:val="hybridMultilevel"/>
    <w:tmpl w:val="CE6C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16E58"/>
    <w:multiLevelType w:val="hybridMultilevel"/>
    <w:tmpl w:val="E778659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7" w15:restartNumberingAfterBreak="0">
    <w:nsid w:val="540A5898"/>
    <w:multiLevelType w:val="hybridMultilevel"/>
    <w:tmpl w:val="2DEC4344"/>
    <w:lvl w:ilvl="0" w:tplc="14708436">
      <w:start w:val="1"/>
      <w:numFmt w:val="bullet"/>
      <w:lvlText w:val="•"/>
      <w:lvlJc w:val="left"/>
      <w:pPr>
        <w:tabs>
          <w:tab w:val="num" w:pos="720"/>
        </w:tabs>
        <w:ind w:left="720" w:hanging="360"/>
      </w:pPr>
      <w:rPr>
        <w:rFonts w:ascii="Times New Roman" w:hAnsi="Times New Roman" w:hint="default"/>
      </w:rPr>
    </w:lvl>
    <w:lvl w:ilvl="1" w:tplc="6E24CB00" w:tentative="1">
      <w:start w:val="1"/>
      <w:numFmt w:val="bullet"/>
      <w:lvlText w:val="•"/>
      <w:lvlJc w:val="left"/>
      <w:pPr>
        <w:tabs>
          <w:tab w:val="num" w:pos="1440"/>
        </w:tabs>
        <w:ind w:left="1440" w:hanging="360"/>
      </w:pPr>
      <w:rPr>
        <w:rFonts w:ascii="Times New Roman" w:hAnsi="Times New Roman" w:hint="default"/>
      </w:rPr>
    </w:lvl>
    <w:lvl w:ilvl="2" w:tplc="45DC91DC" w:tentative="1">
      <w:start w:val="1"/>
      <w:numFmt w:val="bullet"/>
      <w:lvlText w:val="•"/>
      <w:lvlJc w:val="left"/>
      <w:pPr>
        <w:tabs>
          <w:tab w:val="num" w:pos="2160"/>
        </w:tabs>
        <w:ind w:left="2160" w:hanging="360"/>
      </w:pPr>
      <w:rPr>
        <w:rFonts w:ascii="Times New Roman" w:hAnsi="Times New Roman" w:hint="default"/>
      </w:rPr>
    </w:lvl>
    <w:lvl w:ilvl="3" w:tplc="0BCC0D32" w:tentative="1">
      <w:start w:val="1"/>
      <w:numFmt w:val="bullet"/>
      <w:lvlText w:val="•"/>
      <w:lvlJc w:val="left"/>
      <w:pPr>
        <w:tabs>
          <w:tab w:val="num" w:pos="2880"/>
        </w:tabs>
        <w:ind w:left="2880" w:hanging="360"/>
      </w:pPr>
      <w:rPr>
        <w:rFonts w:ascii="Times New Roman" w:hAnsi="Times New Roman" w:hint="default"/>
      </w:rPr>
    </w:lvl>
    <w:lvl w:ilvl="4" w:tplc="B2481AF8" w:tentative="1">
      <w:start w:val="1"/>
      <w:numFmt w:val="bullet"/>
      <w:lvlText w:val="•"/>
      <w:lvlJc w:val="left"/>
      <w:pPr>
        <w:tabs>
          <w:tab w:val="num" w:pos="3600"/>
        </w:tabs>
        <w:ind w:left="3600" w:hanging="360"/>
      </w:pPr>
      <w:rPr>
        <w:rFonts w:ascii="Times New Roman" w:hAnsi="Times New Roman" w:hint="default"/>
      </w:rPr>
    </w:lvl>
    <w:lvl w:ilvl="5" w:tplc="02E42AE2" w:tentative="1">
      <w:start w:val="1"/>
      <w:numFmt w:val="bullet"/>
      <w:lvlText w:val="•"/>
      <w:lvlJc w:val="left"/>
      <w:pPr>
        <w:tabs>
          <w:tab w:val="num" w:pos="4320"/>
        </w:tabs>
        <w:ind w:left="4320" w:hanging="360"/>
      </w:pPr>
      <w:rPr>
        <w:rFonts w:ascii="Times New Roman" w:hAnsi="Times New Roman" w:hint="default"/>
      </w:rPr>
    </w:lvl>
    <w:lvl w:ilvl="6" w:tplc="9956FAAE" w:tentative="1">
      <w:start w:val="1"/>
      <w:numFmt w:val="bullet"/>
      <w:lvlText w:val="•"/>
      <w:lvlJc w:val="left"/>
      <w:pPr>
        <w:tabs>
          <w:tab w:val="num" w:pos="5040"/>
        </w:tabs>
        <w:ind w:left="5040" w:hanging="360"/>
      </w:pPr>
      <w:rPr>
        <w:rFonts w:ascii="Times New Roman" w:hAnsi="Times New Roman" w:hint="default"/>
      </w:rPr>
    </w:lvl>
    <w:lvl w:ilvl="7" w:tplc="B1E2AB10" w:tentative="1">
      <w:start w:val="1"/>
      <w:numFmt w:val="bullet"/>
      <w:lvlText w:val="•"/>
      <w:lvlJc w:val="left"/>
      <w:pPr>
        <w:tabs>
          <w:tab w:val="num" w:pos="5760"/>
        </w:tabs>
        <w:ind w:left="5760" w:hanging="360"/>
      </w:pPr>
      <w:rPr>
        <w:rFonts w:ascii="Times New Roman" w:hAnsi="Times New Roman" w:hint="default"/>
      </w:rPr>
    </w:lvl>
    <w:lvl w:ilvl="8" w:tplc="F208DE1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5317C3A"/>
    <w:multiLevelType w:val="hybridMultilevel"/>
    <w:tmpl w:val="0C58F430"/>
    <w:lvl w:ilvl="0" w:tplc="7346A25E">
      <w:start w:val="1"/>
      <w:numFmt w:val="bullet"/>
      <w:lvlText w:val="•"/>
      <w:lvlJc w:val="left"/>
      <w:pPr>
        <w:tabs>
          <w:tab w:val="num" w:pos="720"/>
        </w:tabs>
        <w:ind w:left="720" w:hanging="360"/>
      </w:pPr>
      <w:rPr>
        <w:rFonts w:ascii="Times New Roman" w:hAnsi="Times New Roman" w:hint="default"/>
      </w:rPr>
    </w:lvl>
    <w:lvl w:ilvl="1" w:tplc="78D4D88C" w:tentative="1">
      <w:start w:val="1"/>
      <w:numFmt w:val="bullet"/>
      <w:lvlText w:val="•"/>
      <w:lvlJc w:val="left"/>
      <w:pPr>
        <w:tabs>
          <w:tab w:val="num" w:pos="1440"/>
        </w:tabs>
        <w:ind w:left="1440" w:hanging="360"/>
      </w:pPr>
      <w:rPr>
        <w:rFonts w:ascii="Times New Roman" w:hAnsi="Times New Roman" w:hint="default"/>
      </w:rPr>
    </w:lvl>
    <w:lvl w:ilvl="2" w:tplc="EE6A1ED6" w:tentative="1">
      <w:start w:val="1"/>
      <w:numFmt w:val="bullet"/>
      <w:lvlText w:val="•"/>
      <w:lvlJc w:val="left"/>
      <w:pPr>
        <w:tabs>
          <w:tab w:val="num" w:pos="2160"/>
        </w:tabs>
        <w:ind w:left="2160" w:hanging="360"/>
      </w:pPr>
      <w:rPr>
        <w:rFonts w:ascii="Times New Roman" w:hAnsi="Times New Roman" w:hint="default"/>
      </w:rPr>
    </w:lvl>
    <w:lvl w:ilvl="3" w:tplc="5F546E56" w:tentative="1">
      <w:start w:val="1"/>
      <w:numFmt w:val="bullet"/>
      <w:lvlText w:val="•"/>
      <w:lvlJc w:val="left"/>
      <w:pPr>
        <w:tabs>
          <w:tab w:val="num" w:pos="2880"/>
        </w:tabs>
        <w:ind w:left="2880" w:hanging="360"/>
      </w:pPr>
      <w:rPr>
        <w:rFonts w:ascii="Times New Roman" w:hAnsi="Times New Roman" w:hint="default"/>
      </w:rPr>
    </w:lvl>
    <w:lvl w:ilvl="4" w:tplc="3334C6B4" w:tentative="1">
      <w:start w:val="1"/>
      <w:numFmt w:val="bullet"/>
      <w:lvlText w:val="•"/>
      <w:lvlJc w:val="left"/>
      <w:pPr>
        <w:tabs>
          <w:tab w:val="num" w:pos="3600"/>
        </w:tabs>
        <w:ind w:left="3600" w:hanging="360"/>
      </w:pPr>
      <w:rPr>
        <w:rFonts w:ascii="Times New Roman" w:hAnsi="Times New Roman" w:hint="default"/>
      </w:rPr>
    </w:lvl>
    <w:lvl w:ilvl="5" w:tplc="9ACE8204" w:tentative="1">
      <w:start w:val="1"/>
      <w:numFmt w:val="bullet"/>
      <w:lvlText w:val="•"/>
      <w:lvlJc w:val="left"/>
      <w:pPr>
        <w:tabs>
          <w:tab w:val="num" w:pos="4320"/>
        </w:tabs>
        <w:ind w:left="4320" w:hanging="360"/>
      </w:pPr>
      <w:rPr>
        <w:rFonts w:ascii="Times New Roman" w:hAnsi="Times New Roman" w:hint="default"/>
      </w:rPr>
    </w:lvl>
    <w:lvl w:ilvl="6" w:tplc="735C1558" w:tentative="1">
      <w:start w:val="1"/>
      <w:numFmt w:val="bullet"/>
      <w:lvlText w:val="•"/>
      <w:lvlJc w:val="left"/>
      <w:pPr>
        <w:tabs>
          <w:tab w:val="num" w:pos="5040"/>
        </w:tabs>
        <w:ind w:left="5040" w:hanging="360"/>
      </w:pPr>
      <w:rPr>
        <w:rFonts w:ascii="Times New Roman" w:hAnsi="Times New Roman" w:hint="default"/>
      </w:rPr>
    </w:lvl>
    <w:lvl w:ilvl="7" w:tplc="4ECECF3A" w:tentative="1">
      <w:start w:val="1"/>
      <w:numFmt w:val="bullet"/>
      <w:lvlText w:val="•"/>
      <w:lvlJc w:val="left"/>
      <w:pPr>
        <w:tabs>
          <w:tab w:val="num" w:pos="5760"/>
        </w:tabs>
        <w:ind w:left="5760" w:hanging="360"/>
      </w:pPr>
      <w:rPr>
        <w:rFonts w:ascii="Times New Roman" w:hAnsi="Times New Roman" w:hint="default"/>
      </w:rPr>
    </w:lvl>
    <w:lvl w:ilvl="8" w:tplc="7B6C837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7B2B4D"/>
    <w:multiLevelType w:val="hybridMultilevel"/>
    <w:tmpl w:val="3CE217F0"/>
    <w:lvl w:ilvl="0" w:tplc="1A0A3712">
      <w:start w:val="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915DC"/>
    <w:multiLevelType w:val="hybridMultilevel"/>
    <w:tmpl w:val="AB705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3F20F8"/>
    <w:multiLevelType w:val="hybridMultilevel"/>
    <w:tmpl w:val="0FC689C2"/>
    <w:lvl w:ilvl="0" w:tplc="4AE6DBAC">
      <w:start w:val="1"/>
      <w:numFmt w:val="bullet"/>
      <w:lvlText w:val="•"/>
      <w:lvlJc w:val="left"/>
      <w:pPr>
        <w:tabs>
          <w:tab w:val="num" w:pos="720"/>
        </w:tabs>
        <w:ind w:left="720" w:hanging="360"/>
      </w:pPr>
      <w:rPr>
        <w:rFonts w:ascii="Times New Roman" w:hAnsi="Times New Roman" w:hint="default"/>
      </w:rPr>
    </w:lvl>
    <w:lvl w:ilvl="1" w:tplc="0D46BA16" w:tentative="1">
      <w:start w:val="1"/>
      <w:numFmt w:val="bullet"/>
      <w:lvlText w:val="•"/>
      <w:lvlJc w:val="left"/>
      <w:pPr>
        <w:tabs>
          <w:tab w:val="num" w:pos="1440"/>
        </w:tabs>
        <w:ind w:left="1440" w:hanging="360"/>
      </w:pPr>
      <w:rPr>
        <w:rFonts w:ascii="Times New Roman" w:hAnsi="Times New Roman" w:hint="default"/>
      </w:rPr>
    </w:lvl>
    <w:lvl w:ilvl="2" w:tplc="71C27FCA" w:tentative="1">
      <w:start w:val="1"/>
      <w:numFmt w:val="bullet"/>
      <w:lvlText w:val="•"/>
      <w:lvlJc w:val="left"/>
      <w:pPr>
        <w:tabs>
          <w:tab w:val="num" w:pos="2160"/>
        </w:tabs>
        <w:ind w:left="2160" w:hanging="360"/>
      </w:pPr>
      <w:rPr>
        <w:rFonts w:ascii="Times New Roman" w:hAnsi="Times New Roman" w:hint="default"/>
      </w:rPr>
    </w:lvl>
    <w:lvl w:ilvl="3" w:tplc="048CCC66" w:tentative="1">
      <w:start w:val="1"/>
      <w:numFmt w:val="bullet"/>
      <w:lvlText w:val="•"/>
      <w:lvlJc w:val="left"/>
      <w:pPr>
        <w:tabs>
          <w:tab w:val="num" w:pos="2880"/>
        </w:tabs>
        <w:ind w:left="2880" w:hanging="360"/>
      </w:pPr>
      <w:rPr>
        <w:rFonts w:ascii="Times New Roman" w:hAnsi="Times New Roman" w:hint="default"/>
      </w:rPr>
    </w:lvl>
    <w:lvl w:ilvl="4" w:tplc="1D687060" w:tentative="1">
      <w:start w:val="1"/>
      <w:numFmt w:val="bullet"/>
      <w:lvlText w:val="•"/>
      <w:lvlJc w:val="left"/>
      <w:pPr>
        <w:tabs>
          <w:tab w:val="num" w:pos="3600"/>
        </w:tabs>
        <w:ind w:left="3600" w:hanging="360"/>
      </w:pPr>
      <w:rPr>
        <w:rFonts w:ascii="Times New Roman" w:hAnsi="Times New Roman" w:hint="default"/>
      </w:rPr>
    </w:lvl>
    <w:lvl w:ilvl="5" w:tplc="B58C533A" w:tentative="1">
      <w:start w:val="1"/>
      <w:numFmt w:val="bullet"/>
      <w:lvlText w:val="•"/>
      <w:lvlJc w:val="left"/>
      <w:pPr>
        <w:tabs>
          <w:tab w:val="num" w:pos="4320"/>
        </w:tabs>
        <w:ind w:left="4320" w:hanging="360"/>
      </w:pPr>
      <w:rPr>
        <w:rFonts w:ascii="Times New Roman" w:hAnsi="Times New Roman" w:hint="default"/>
      </w:rPr>
    </w:lvl>
    <w:lvl w:ilvl="6" w:tplc="6F6E7118" w:tentative="1">
      <w:start w:val="1"/>
      <w:numFmt w:val="bullet"/>
      <w:lvlText w:val="•"/>
      <w:lvlJc w:val="left"/>
      <w:pPr>
        <w:tabs>
          <w:tab w:val="num" w:pos="5040"/>
        </w:tabs>
        <w:ind w:left="5040" w:hanging="360"/>
      </w:pPr>
      <w:rPr>
        <w:rFonts w:ascii="Times New Roman" w:hAnsi="Times New Roman" w:hint="default"/>
      </w:rPr>
    </w:lvl>
    <w:lvl w:ilvl="7" w:tplc="29D639DA" w:tentative="1">
      <w:start w:val="1"/>
      <w:numFmt w:val="bullet"/>
      <w:lvlText w:val="•"/>
      <w:lvlJc w:val="left"/>
      <w:pPr>
        <w:tabs>
          <w:tab w:val="num" w:pos="5760"/>
        </w:tabs>
        <w:ind w:left="5760" w:hanging="360"/>
      </w:pPr>
      <w:rPr>
        <w:rFonts w:ascii="Times New Roman" w:hAnsi="Times New Roman" w:hint="default"/>
      </w:rPr>
    </w:lvl>
    <w:lvl w:ilvl="8" w:tplc="E56270F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4530EEA"/>
    <w:multiLevelType w:val="hybridMultilevel"/>
    <w:tmpl w:val="9EDAC07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3" w15:restartNumberingAfterBreak="0">
    <w:nsid w:val="6F24185F"/>
    <w:multiLevelType w:val="hybridMultilevel"/>
    <w:tmpl w:val="4A2ABBBA"/>
    <w:lvl w:ilvl="0" w:tplc="1A0A3712">
      <w:start w:val="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452C0"/>
    <w:multiLevelType w:val="hybridMultilevel"/>
    <w:tmpl w:val="CF42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97F30"/>
    <w:multiLevelType w:val="hybridMultilevel"/>
    <w:tmpl w:val="53AC5D24"/>
    <w:lvl w:ilvl="0" w:tplc="BA967D04">
      <w:start w:val="1"/>
      <w:numFmt w:val="bullet"/>
      <w:lvlText w:val="•"/>
      <w:lvlJc w:val="left"/>
      <w:pPr>
        <w:tabs>
          <w:tab w:val="num" w:pos="720"/>
        </w:tabs>
        <w:ind w:left="720" w:hanging="360"/>
      </w:pPr>
      <w:rPr>
        <w:rFonts w:ascii="Times New Roman" w:hAnsi="Times New Roman" w:hint="default"/>
      </w:rPr>
    </w:lvl>
    <w:lvl w:ilvl="1" w:tplc="7EC60B02" w:tentative="1">
      <w:start w:val="1"/>
      <w:numFmt w:val="bullet"/>
      <w:lvlText w:val="•"/>
      <w:lvlJc w:val="left"/>
      <w:pPr>
        <w:tabs>
          <w:tab w:val="num" w:pos="1440"/>
        </w:tabs>
        <w:ind w:left="1440" w:hanging="360"/>
      </w:pPr>
      <w:rPr>
        <w:rFonts w:ascii="Times New Roman" w:hAnsi="Times New Roman" w:hint="default"/>
      </w:rPr>
    </w:lvl>
    <w:lvl w:ilvl="2" w:tplc="CFB859FE" w:tentative="1">
      <w:start w:val="1"/>
      <w:numFmt w:val="bullet"/>
      <w:lvlText w:val="•"/>
      <w:lvlJc w:val="left"/>
      <w:pPr>
        <w:tabs>
          <w:tab w:val="num" w:pos="2160"/>
        </w:tabs>
        <w:ind w:left="2160" w:hanging="360"/>
      </w:pPr>
      <w:rPr>
        <w:rFonts w:ascii="Times New Roman" w:hAnsi="Times New Roman" w:hint="default"/>
      </w:rPr>
    </w:lvl>
    <w:lvl w:ilvl="3" w:tplc="E42AB0F0" w:tentative="1">
      <w:start w:val="1"/>
      <w:numFmt w:val="bullet"/>
      <w:lvlText w:val="•"/>
      <w:lvlJc w:val="left"/>
      <w:pPr>
        <w:tabs>
          <w:tab w:val="num" w:pos="2880"/>
        </w:tabs>
        <w:ind w:left="2880" w:hanging="360"/>
      </w:pPr>
      <w:rPr>
        <w:rFonts w:ascii="Times New Roman" w:hAnsi="Times New Roman" w:hint="default"/>
      </w:rPr>
    </w:lvl>
    <w:lvl w:ilvl="4" w:tplc="5CEADE6E" w:tentative="1">
      <w:start w:val="1"/>
      <w:numFmt w:val="bullet"/>
      <w:lvlText w:val="•"/>
      <w:lvlJc w:val="left"/>
      <w:pPr>
        <w:tabs>
          <w:tab w:val="num" w:pos="3600"/>
        </w:tabs>
        <w:ind w:left="3600" w:hanging="360"/>
      </w:pPr>
      <w:rPr>
        <w:rFonts w:ascii="Times New Roman" w:hAnsi="Times New Roman" w:hint="default"/>
      </w:rPr>
    </w:lvl>
    <w:lvl w:ilvl="5" w:tplc="AEEE9458" w:tentative="1">
      <w:start w:val="1"/>
      <w:numFmt w:val="bullet"/>
      <w:lvlText w:val="•"/>
      <w:lvlJc w:val="left"/>
      <w:pPr>
        <w:tabs>
          <w:tab w:val="num" w:pos="4320"/>
        </w:tabs>
        <w:ind w:left="4320" w:hanging="360"/>
      </w:pPr>
      <w:rPr>
        <w:rFonts w:ascii="Times New Roman" w:hAnsi="Times New Roman" w:hint="default"/>
      </w:rPr>
    </w:lvl>
    <w:lvl w:ilvl="6" w:tplc="857C7E7A" w:tentative="1">
      <w:start w:val="1"/>
      <w:numFmt w:val="bullet"/>
      <w:lvlText w:val="•"/>
      <w:lvlJc w:val="left"/>
      <w:pPr>
        <w:tabs>
          <w:tab w:val="num" w:pos="5040"/>
        </w:tabs>
        <w:ind w:left="5040" w:hanging="360"/>
      </w:pPr>
      <w:rPr>
        <w:rFonts w:ascii="Times New Roman" w:hAnsi="Times New Roman" w:hint="default"/>
      </w:rPr>
    </w:lvl>
    <w:lvl w:ilvl="7" w:tplc="B02E4914" w:tentative="1">
      <w:start w:val="1"/>
      <w:numFmt w:val="bullet"/>
      <w:lvlText w:val="•"/>
      <w:lvlJc w:val="left"/>
      <w:pPr>
        <w:tabs>
          <w:tab w:val="num" w:pos="5760"/>
        </w:tabs>
        <w:ind w:left="5760" w:hanging="360"/>
      </w:pPr>
      <w:rPr>
        <w:rFonts w:ascii="Times New Roman" w:hAnsi="Times New Roman" w:hint="default"/>
      </w:rPr>
    </w:lvl>
    <w:lvl w:ilvl="8" w:tplc="152EC65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A695092"/>
    <w:multiLevelType w:val="hybridMultilevel"/>
    <w:tmpl w:val="48C0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25"/>
  </w:num>
  <w:num w:numId="4">
    <w:abstractNumId w:val="36"/>
  </w:num>
  <w:num w:numId="5">
    <w:abstractNumId w:val="10"/>
  </w:num>
  <w:num w:numId="6">
    <w:abstractNumId w:val="32"/>
  </w:num>
  <w:num w:numId="7">
    <w:abstractNumId w:val="13"/>
  </w:num>
  <w:num w:numId="8">
    <w:abstractNumId w:val="4"/>
  </w:num>
  <w:num w:numId="9">
    <w:abstractNumId w:val="9"/>
  </w:num>
  <w:num w:numId="10">
    <w:abstractNumId w:val="20"/>
  </w:num>
  <w:num w:numId="11">
    <w:abstractNumId w:val="2"/>
  </w:num>
  <w:num w:numId="12">
    <w:abstractNumId w:val="14"/>
  </w:num>
  <w:num w:numId="13">
    <w:abstractNumId w:val="12"/>
  </w:num>
  <w:num w:numId="14">
    <w:abstractNumId w:val="18"/>
  </w:num>
  <w:num w:numId="15">
    <w:abstractNumId w:val="35"/>
  </w:num>
  <w:num w:numId="16">
    <w:abstractNumId w:val="22"/>
  </w:num>
  <w:num w:numId="17">
    <w:abstractNumId w:val="24"/>
  </w:num>
  <w:num w:numId="18">
    <w:abstractNumId w:val="27"/>
  </w:num>
  <w:num w:numId="19">
    <w:abstractNumId w:val="28"/>
  </w:num>
  <w:num w:numId="20">
    <w:abstractNumId w:val="6"/>
  </w:num>
  <w:num w:numId="21">
    <w:abstractNumId w:val="19"/>
  </w:num>
  <w:num w:numId="22">
    <w:abstractNumId w:val="31"/>
  </w:num>
  <w:num w:numId="23">
    <w:abstractNumId w:val="3"/>
  </w:num>
  <w:num w:numId="24">
    <w:abstractNumId w:val="26"/>
  </w:num>
  <w:num w:numId="25">
    <w:abstractNumId w:val="16"/>
  </w:num>
  <w:num w:numId="26">
    <w:abstractNumId w:val="15"/>
  </w:num>
  <w:num w:numId="27">
    <w:abstractNumId w:val="1"/>
  </w:num>
  <w:num w:numId="28">
    <w:abstractNumId w:val="11"/>
  </w:num>
  <w:num w:numId="29">
    <w:abstractNumId w:val="0"/>
  </w:num>
  <w:num w:numId="30">
    <w:abstractNumId w:val="21"/>
  </w:num>
  <w:num w:numId="31">
    <w:abstractNumId w:val="7"/>
  </w:num>
  <w:num w:numId="32">
    <w:abstractNumId w:val="17"/>
  </w:num>
  <w:num w:numId="33">
    <w:abstractNumId w:val="29"/>
  </w:num>
  <w:num w:numId="34">
    <w:abstractNumId w:val="33"/>
  </w:num>
  <w:num w:numId="35">
    <w:abstractNumId w:val="34"/>
  </w:num>
  <w:num w:numId="36">
    <w:abstractNumId w:val="2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BB"/>
    <w:rsid w:val="00001FFE"/>
    <w:rsid w:val="00004892"/>
    <w:rsid w:val="0001156B"/>
    <w:rsid w:val="000139B9"/>
    <w:rsid w:val="00015964"/>
    <w:rsid w:val="000172C2"/>
    <w:rsid w:val="00023ADE"/>
    <w:rsid w:val="000258A4"/>
    <w:rsid w:val="00025B5F"/>
    <w:rsid w:val="00026240"/>
    <w:rsid w:val="00047F9A"/>
    <w:rsid w:val="00056838"/>
    <w:rsid w:val="00061B44"/>
    <w:rsid w:val="000679B5"/>
    <w:rsid w:val="00071C6D"/>
    <w:rsid w:val="0007343D"/>
    <w:rsid w:val="00074091"/>
    <w:rsid w:val="00074B65"/>
    <w:rsid w:val="00083596"/>
    <w:rsid w:val="000847EF"/>
    <w:rsid w:val="0009118C"/>
    <w:rsid w:val="00092935"/>
    <w:rsid w:val="0009331D"/>
    <w:rsid w:val="00093F1D"/>
    <w:rsid w:val="00094749"/>
    <w:rsid w:val="00096CED"/>
    <w:rsid w:val="000A6D8C"/>
    <w:rsid w:val="000A7747"/>
    <w:rsid w:val="000B3457"/>
    <w:rsid w:val="000C0930"/>
    <w:rsid w:val="000C2930"/>
    <w:rsid w:val="000C6677"/>
    <w:rsid w:val="000E4E16"/>
    <w:rsid w:val="000F1ACF"/>
    <w:rsid w:val="000F60CB"/>
    <w:rsid w:val="000F661E"/>
    <w:rsid w:val="000F7289"/>
    <w:rsid w:val="00101B18"/>
    <w:rsid w:val="001046C4"/>
    <w:rsid w:val="001050BC"/>
    <w:rsid w:val="0011555F"/>
    <w:rsid w:val="00115734"/>
    <w:rsid w:val="00121A63"/>
    <w:rsid w:val="0012445C"/>
    <w:rsid w:val="0014257E"/>
    <w:rsid w:val="00142E18"/>
    <w:rsid w:val="00143055"/>
    <w:rsid w:val="00145690"/>
    <w:rsid w:val="00150334"/>
    <w:rsid w:val="00153402"/>
    <w:rsid w:val="00155089"/>
    <w:rsid w:val="00162E32"/>
    <w:rsid w:val="00163638"/>
    <w:rsid w:val="001647CA"/>
    <w:rsid w:val="001702AF"/>
    <w:rsid w:val="0017282C"/>
    <w:rsid w:val="001734FE"/>
    <w:rsid w:val="00174090"/>
    <w:rsid w:val="001767ED"/>
    <w:rsid w:val="00176C9E"/>
    <w:rsid w:val="001775E6"/>
    <w:rsid w:val="00182902"/>
    <w:rsid w:val="001902F1"/>
    <w:rsid w:val="0019130B"/>
    <w:rsid w:val="00192419"/>
    <w:rsid w:val="001929D7"/>
    <w:rsid w:val="0019647A"/>
    <w:rsid w:val="001A1533"/>
    <w:rsid w:val="001A1B6F"/>
    <w:rsid w:val="001A352E"/>
    <w:rsid w:val="001A37CF"/>
    <w:rsid w:val="001A54F6"/>
    <w:rsid w:val="001B1DF0"/>
    <w:rsid w:val="001B1F78"/>
    <w:rsid w:val="001B315D"/>
    <w:rsid w:val="001B4459"/>
    <w:rsid w:val="001B6F27"/>
    <w:rsid w:val="001C0DCB"/>
    <w:rsid w:val="001C61C9"/>
    <w:rsid w:val="001C664B"/>
    <w:rsid w:val="001C6D87"/>
    <w:rsid w:val="001D3459"/>
    <w:rsid w:val="001D38BD"/>
    <w:rsid w:val="001D44AA"/>
    <w:rsid w:val="001D68E4"/>
    <w:rsid w:val="001E3950"/>
    <w:rsid w:val="001E6666"/>
    <w:rsid w:val="001F0FED"/>
    <w:rsid w:val="001F1FF7"/>
    <w:rsid w:val="001F64BB"/>
    <w:rsid w:val="0020098A"/>
    <w:rsid w:val="0021516E"/>
    <w:rsid w:val="002273F8"/>
    <w:rsid w:val="00230876"/>
    <w:rsid w:val="002319B5"/>
    <w:rsid w:val="00233691"/>
    <w:rsid w:val="00234D5B"/>
    <w:rsid w:val="002376C7"/>
    <w:rsid w:val="0025500C"/>
    <w:rsid w:val="00255488"/>
    <w:rsid w:val="002601B7"/>
    <w:rsid w:val="00261748"/>
    <w:rsid w:val="002643E3"/>
    <w:rsid w:val="0026798F"/>
    <w:rsid w:val="00284588"/>
    <w:rsid w:val="00286797"/>
    <w:rsid w:val="00290A0A"/>
    <w:rsid w:val="00291409"/>
    <w:rsid w:val="002A13AB"/>
    <w:rsid w:val="002A17CE"/>
    <w:rsid w:val="002B1459"/>
    <w:rsid w:val="002B56F0"/>
    <w:rsid w:val="002C15C6"/>
    <w:rsid w:val="002C2D66"/>
    <w:rsid w:val="002D2761"/>
    <w:rsid w:val="002D36C0"/>
    <w:rsid w:val="002D53D0"/>
    <w:rsid w:val="002D6C9B"/>
    <w:rsid w:val="002E01B8"/>
    <w:rsid w:val="002E242C"/>
    <w:rsid w:val="002E3ED9"/>
    <w:rsid w:val="002F01FA"/>
    <w:rsid w:val="002F4B4D"/>
    <w:rsid w:val="002F63B3"/>
    <w:rsid w:val="002F693A"/>
    <w:rsid w:val="002F779A"/>
    <w:rsid w:val="00300C88"/>
    <w:rsid w:val="003033E6"/>
    <w:rsid w:val="00304B8C"/>
    <w:rsid w:val="003050ED"/>
    <w:rsid w:val="003065F4"/>
    <w:rsid w:val="003073EF"/>
    <w:rsid w:val="00310223"/>
    <w:rsid w:val="0031138F"/>
    <w:rsid w:val="00312369"/>
    <w:rsid w:val="0031433D"/>
    <w:rsid w:val="003148B0"/>
    <w:rsid w:val="00320F75"/>
    <w:rsid w:val="003300CA"/>
    <w:rsid w:val="0033416A"/>
    <w:rsid w:val="00336F17"/>
    <w:rsid w:val="003414D8"/>
    <w:rsid w:val="00343E0D"/>
    <w:rsid w:val="003527C9"/>
    <w:rsid w:val="00356703"/>
    <w:rsid w:val="00360828"/>
    <w:rsid w:val="00365FC5"/>
    <w:rsid w:val="00366F91"/>
    <w:rsid w:val="00367652"/>
    <w:rsid w:val="00373888"/>
    <w:rsid w:val="0037417C"/>
    <w:rsid w:val="00377090"/>
    <w:rsid w:val="00381EE3"/>
    <w:rsid w:val="00382067"/>
    <w:rsid w:val="003831E0"/>
    <w:rsid w:val="00393B71"/>
    <w:rsid w:val="003964D2"/>
    <w:rsid w:val="00397709"/>
    <w:rsid w:val="003A0CD8"/>
    <w:rsid w:val="003A320B"/>
    <w:rsid w:val="003A48F6"/>
    <w:rsid w:val="003A4CB0"/>
    <w:rsid w:val="003A6254"/>
    <w:rsid w:val="003B04A4"/>
    <w:rsid w:val="003B6022"/>
    <w:rsid w:val="003B7EE9"/>
    <w:rsid w:val="003C04F5"/>
    <w:rsid w:val="003C2A8A"/>
    <w:rsid w:val="003C2D99"/>
    <w:rsid w:val="003C4984"/>
    <w:rsid w:val="003D24C8"/>
    <w:rsid w:val="003D588C"/>
    <w:rsid w:val="003D6F01"/>
    <w:rsid w:val="003E49FD"/>
    <w:rsid w:val="003E6E9F"/>
    <w:rsid w:val="003F0FC8"/>
    <w:rsid w:val="003F1DE1"/>
    <w:rsid w:val="003F20B2"/>
    <w:rsid w:val="003F5DCB"/>
    <w:rsid w:val="003F6570"/>
    <w:rsid w:val="003F67B3"/>
    <w:rsid w:val="00400778"/>
    <w:rsid w:val="004017B1"/>
    <w:rsid w:val="00401E87"/>
    <w:rsid w:val="00402764"/>
    <w:rsid w:val="00405E52"/>
    <w:rsid w:val="00406721"/>
    <w:rsid w:val="00411DA7"/>
    <w:rsid w:val="00430882"/>
    <w:rsid w:val="00433F84"/>
    <w:rsid w:val="00435051"/>
    <w:rsid w:val="004371AE"/>
    <w:rsid w:val="0043770E"/>
    <w:rsid w:val="004379BA"/>
    <w:rsid w:val="00440826"/>
    <w:rsid w:val="00440FC2"/>
    <w:rsid w:val="00447AC9"/>
    <w:rsid w:val="00453651"/>
    <w:rsid w:val="00454074"/>
    <w:rsid w:val="00456110"/>
    <w:rsid w:val="00456320"/>
    <w:rsid w:val="00460505"/>
    <w:rsid w:val="00461FE4"/>
    <w:rsid w:val="00472A67"/>
    <w:rsid w:val="00472A90"/>
    <w:rsid w:val="00472FBE"/>
    <w:rsid w:val="00474D5D"/>
    <w:rsid w:val="00475520"/>
    <w:rsid w:val="00476D64"/>
    <w:rsid w:val="004800B1"/>
    <w:rsid w:val="004815C3"/>
    <w:rsid w:val="0048524B"/>
    <w:rsid w:val="004900F4"/>
    <w:rsid w:val="004940AA"/>
    <w:rsid w:val="004950AF"/>
    <w:rsid w:val="004A1D4A"/>
    <w:rsid w:val="004A6BC0"/>
    <w:rsid w:val="004A7BDB"/>
    <w:rsid w:val="004B04F3"/>
    <w:rsid w:val="004B2083"/>
    <w:rsid w:val="004B3E42"/>
    <w:rsid w:val="004B5047"/>
    <w:rsid w:val="004B5733"/>
    <w:rsid w:val="004B79C5"/>
    <w:rsid w:val="004C1007"/>
    <w:rsid w:val="004C23FE"/>
    <w:rsid w:val="004C6367"/>
    <w:rsid w:val="004C6ADC"/>
    <w:rsid w:val="004D0BE3"/>
    <w:rsid w:val="004D29F0"/>
    <w:rsid w:val="004D609E"/>
    <w:rsid w:val="004E58BE"/>
    <w:rsid w:val="004F16EE"/>
    <w:rsid w:val="004F4BDE"/>
    <w:rsid w:val="004F7469"/>
    <w:rsid w:val="004F79FA"/>
    <w:rsid w:val="005028AF"/>
    <w:rsid w:val="005045EC"/>
    <w:rsid w:val="005161AA"/>
    <w:rsid w:val="00516C7E"/>
    <w:rsid w:val="00520C08"/>
    <w:rsid w:val="00523C7A"/>
    <w:rsid w:val="00524179"/>
    <w:rsid w:val="005266F5"/>
    <w:rsid w:val="00532CBB"/>
    <w:rsid w:val="0054343D"/>
    <w:rsid w:val="00546FB2"/>
    <w:rsid w:val="00547F01"/>
    <w:rsid w:val="00550C5F"/>
    <w:rsid w:val="00551DD2"/>
    <w:rsid w:val="00552BB4"/>
    <w:rsid w:val="005569A7"/>
    <w:rsid w:val="005600F2"/>
    <w:rsid w:val="00561A27"/>
    <w:rsid w:val="00561D4E"/>
    <w:rsid w:val="00564A8E"/>
    <w:rsid w:val="005656A6"/>
    <w:rsid w:val="005670C4"/>
    <w:rsid w:val="00567FE9"/>
    <w:rsid w:val="005705A7"/>
    <w:rsid w:val="00572084"/>
    <w:rsid w:val="00575DBC"/>
    <w:rsid w:val="005826FD"/>
    <w:rsid w:val="005865B6"/>
    <w:rsid w:val="00592253"/>
    <w:rsid w:val="00594EFD"/>
    <w:rsid w:val="005A15BD"/>
    <w:rsid w:val="005A2EE2"/>
    <w:rsid w:val="005A397D"/>
    <w:rsid w:val="005A3C2F"/>
    <w:rsid w:val="005B0B0A"/>
    <w:rsid w:val="005B1CEC"/>
    <w:rsid w:val="005B39D6"/>
    <w:rsid w:val="005B566D"/>
    <w:rsid w:val="005C46EA"/>
    <w:rsid w:val="005C7FD5"/>
    <w:rsid w:val="005D1500"/>
    <w:rsid w:val="005D338F"/>
    <w:rsid w:val="005D5AF6"/>
    <w:rsid w:val="005E087A"/>
    <w:rsid w:val="005E0986"/>
    <w:rsid w:val="005E2B72"/>
    <w:rsid w:val="005F1B1F"/>
    <w:rsid w:val="005F3CD3"/>
    <w:rsid w:val="005F3F2B"/>
    <w:rsid w:val="005F7392"/>
    <w:rsid w:val="0061036B"/>
    <w:rsid w:val="00610BED"/>
    <w:rsid w:val="00612868"/>
    <w:rsid w:val="00614025"/>
    <w:rsid w:val="00616ADB"/>
    <w:rsid w:val="006171DA"/>
    <w:rsid w:val="0062718E"/>
    <w:rsid w:val="00630A4D"/>
    <w:rsid w:val="00631A94"/>
    <w:rsid w:val="00633251"/>
    <w:rsid w:val="0063489E"/>
    <w:rsid w:val="00634E0D"/>
    <w:rsid w:val="00635C71"/>
    <w:rsid w:val="00635E34"/>
    <w:rsid w:val="00635F8A"/>
    <w:rsid w:val="00636DAD"/>
    <w:rsid w:val="00637DD6"/>
    <w:rsid w:val="00637E02"/>
    <w:rsid w:val="00637FAA"/>
    <w:rsid w:val="00642E2D"/>
    <w:rsid w:val="00643E1A"/>
    <w:rsid w:val="00652794"/>
    <w:rsid w:val="00654918"/>
    <w:rsid w:val="006566DB"/>
    <w:rsid w:val="0065696F"/>
    <w:rsid w:val="006574C7"/>
    <w:rsid w:val="006615EB"/>
    <w:rsid w:val="0066537D"/>
    <w:rsid w:val="00666575"/>
    <w:rsid w:val="006723FA"/>
    <w:rsid w:val="0067557E"/>
    <w:rsid w:val="00681E6A"/>
    <w:rsid w:val="00681EEC"/>
    <w:rsid w:val="006824C5"/>
    <w:rsid w:val="00687E18"/>
    <w:rsid w:val="00691C6F"/>
    <w:rsid w:val="00693006"/>
    <w:rsid w:val="00693D1B"/>
    <w:rsid w:val="00694A31"/>
    <w:rsid w:val="00695252"/>
    <w:rsid w:val="006A083C"/>
    <w:rsid w:val="006A0C42"/>
    <w:rsid w:val="006A24E6"/>
    <w:rsid w:val="006A4EA7"/>
    <w:rsid w:val="006A561F"/>
    <w:rsid w:val="006A5959"/>
    <w:rsid w:val="006B13A4"/>
    <w:rsid w:val="006C1C29"/>
    <w:rsid w:val="006C2754"/>
    <w:rsid w:val="006C43AF"/>
    <w:rsid w:val="006D0A70"/>
    <w:rsid w:val="006D4ED9"/>
    <w:rsid w:val="006D53D7"/>
    <w:rsid w:val="006D56D2"/>
    <w:rsid w:val="006D7B16"/>
    <w:rsid w:val="006E11D0"/>
    <w:rsid w:val="006E296B"/>
    <w:rsid w:val="006E3C58"/>
    <w:rsid w:val="006F3717"/>
    <w:rsid w:val="006F7011"/>
    <w:rsid w:val="007003C6"/>
    <w:rsid w:val="007004CC"/>
    <w:rsid w:val="00701169"/>
    <w:rsid w:val="00701C62"/>
    <w:rsid w:val="00710BC5"/>
    <w:rsid w:val="007118BA"/>
    <w:rsid w:val="00720D29"/>
    <w:rsid w:val="007210B2"/>
    <w:rsid w:val="00721403"/>
    <w:rsid w:val="00726F46"/>
    <w:rsid w:val="007341E1"/>
    <w:rsid w:val="007410C1"/>
    <w:rsid w:val="0074319E"/>
    <w:rsid w:val="0074348B"/>
    <w:rsid w:val="00743ADC"/>
    <w:rsid w:val="007469ED"/>
    <w:rsid w:val="00751072"/>
    <w:rsid w:val="00754F10"/>
    <w:rsid w:val="0075576A"/>
    <w:rsid w:val="0075706E"/>
    <w:rsid w:val="007572DC"/>
    <w:rsid w:val="00763E0F"/>
    <w:rsid w:val="007648AE"/>
    <w:rsid w:val="00764BAC"/>
    <w:rsid w:val="00781171"/>
    <w:rsid w:val="007916D0"/>
    <w:rsid w:val="00795260"/>
    <w:rsid w:val="007A3223"/>
    <w:rsid w:val="007A6376"/>
    <w:rsid w:val="007B2E47"/>
    <w:rsid w:val="007B59CD"/>
    <w:rsid w:val="007C044E"/>
    <w:rsid w:val="007C46E4"/>
    <w:rsid w:val="007D0676"/>
    <w:rsid w:val="007D3E81"/>
    <w:rsid w:val="007D4D13"/>
    <w:rsid w:val="007D5691"/>
    <w:rsid w:val="007D582E"/>
    <w:rsid w:val="007E06CA"/>
    <w:rsid w:val="007E4AAB"/>
    <w:rsid w:val="007F0121"/>
    <w:rsid w:val="007F05C8"/>
    <w:rsid w:val="00804C9A"/>
    <w:rsid w:val="00813474"/>
    <w:rsid w:val="00823480"/>
    <w:rsid w:val="00824AA3"/>
    <w:rsid w:val="00831A9E"/>
    <w:rsid w:val="008326B4"/>
    <w:rsid w:val="00834403"/>
    <w:rsid w:val="00840BDB"/>
    <w:rsid w:val="00842C09"/>
    <w:rsid w:val="00845A6A"/>
    <w:rsid w:val="00846C2B"/>
    <w:rsid w:val="00847CB0"/>
    <w:rsid w:val="008524EF"/>
    <w:rsid w:val="00852772"/>
    <w:rsid w:val="008623D6"/>
    <w:rsid w:val="00862D4E"/>
    <w:rsid w:val="008703D3"/>
    <w:rsid w:val="00871152"/>
    <w:rsid w:val="008716E6"/>
    <w:rsid w:val="00875CD4"/>
    <w:rsid w:val="0088008B"/>
    <w:rsid w:val="00883515"/>
    <w:rsid w:val="00886759"/>
    <w:rsid w:val="0089059A"/>
    <w:rsid w:val="00891A54"/>
    <w:rsid w:val="00892D16"/>
    <w:rsid w:val="008935EE"/>
    <w:rsid w:val="008A0832"/>
    <w:rsid w:val="008A42AD"/>
    <w:rsid w:val="008A7121"/>
    <w:rsid w:val="008B4397"/>
    <w:rsid w:val="008B4FD3"/>
    <w:rsid w:val="008B583F"/>
    <w:rsid w:val="008C5978"/>
    <w:rsid w:val="008D1B55"/>
    <w:rsid w:val="008D3133"/>
    <w:rsid w:val="008D7F38"/>
    <w:rsid w:val="008E6497"/>
    <w:rsid w:val="008F1A94"/>
    <w:rsid w:val="008F40A0"/>
    <w:rsid w:val="0091277E"/>
    <w:rsid w:val="00915370"/>
    <w:rsid w:val="00915489"/>
    <w:rsid w:val="00915E37"/>
    <w:rsid w:val="009178E9"/>
    <w:rsid w:val="00917EB8"/>
    <w:rsid w:val="00921323"/>
    <w:rsid w:val="009249DA"/>
    <w:rsid w:val="00924C7F"/>
    <w:rsid w:val="00943562"/>
    <w:rsid w:val="00946D5B"/>
    <w:rsid w:val="0094764A"/>
    <w:rsid w:val="00950697"/>
    <w:rsid w:val="00954059"/>
    <w:rsid w:val="00955274"/>
    <w:rsid w:val="009601D6"/>
    <w:rsid w:val="00962F90"/>
    <w:rsid w:val="009652B8"/>
    <w:rsid w:val="009679B4"/>
    <w:rsid w:val="00970709"/>
    <w:rsid w:val="00971077"/>
    <w:rsid w:val="00971D1B"/>
    <w:rsid w:val="00972CF3"/>
    <w:rsid w:val="00975DC4"/>
    <w:rsid w:val="00981641"/>
    <w:rsid w:val="00982F28"/>
    <w:rsid w:val="009850DD"/>
    <w:rsid w:val="009904B4"/>
    <w:rsid w:val="009A0367"/>
    <w:rsid w:val="009A35DF"/>
    <w:rsid w:val="009A4FB5"/>
    <w:rsid w:val="009A5BAF"/>
    <w:rsid w:val="009A6A35"/>
    <w:rsid w:val="009A73F3"/>
    <w:rsid w:val="009A7B96"/>
    <w:rsid w:val="009B0541"/>
    <w:rsid w:val="009B40E0"/>
    <w:rsid w:val="009C0AAB"/>
    <w:rsid w:val="009C20ED"/>
    <w:rsid w:val="009D3706"/>
    <w:rsid w:val="009D4D9B"/>
    <w:rsid w:val="009D70B8"/>
    <w:rsid w:val="009E2F68"/>
    <w:rsid w:val="009E6D1D"/>
    <w:rsid w:val="009F7FC4"/>
    <w:rsid w:val="00A02CAE"/>
    <w:rsid w:val="00A061F7"/>
    <w:rsid w:val="00A12478"/>
    <w:rsid w:val="00A25328"/>
    <w:rsid w:val="00A27071"/>
    <w:rsid w:val="00A32AD2"/>
    <w:rsid w:val="00A32E47"/>
    <w:rsid w:val="00A36FB4"/>
    <w:rsid w:val="00A418D6"/>
    <w:rsid w:val="00A4426D"/>
    <w:rsid w:val="00A46E12"/>
    <w:rsid w:val="00A50729"/>
    <w:rsid w:val="00A5401B"/>
    <w:rsid w:val="00A56EB8"/>
    <w:rsid w:val="00A57DEB"/>
    <w:rsid w:val="00A6645D"/>
    <w:rsid w:val="00A751E0"/>
    <w:rsid w:val="00A86D46"/>
    <w:rsid w:val="00A92081"/>
    <w:rsid w:val="00A930BB"/>
    <w:rsid w:val="00A95E62"/>
    <w:rsid w:val="00A97DAB"/>
    <w:rsid w:val="00AA0771"/>
    <w:rsid w:val="00AA5D61"/>
    <w:rsid w:val="00AB0D0B"/>
    <w:rsid w:val="00AB3DEA"/>
    <w:rsid w:val="00AB5C7D"/>
    <w:rsid w:val="00AC0325"/>
    <w:rsid w:val="00AC2029"/>
    <w:rsid w:val="00AC71FB"/>
    <w:rsid w:val="00AD761A"/>
    <w:rsid w:val="00AE1798"/>
    <w:rsid w:val="00AE5D91"/>
    <w:rsid w:val="00AF0231"/>
    <w:rsid w:val="00AF28DD"/>
    <w:rsid w:val="00AF3541"/>
    <w:rsid w:val="00AF53AC"/>
    <w:rsid w:val="00AF719E"/>
    <w:rsid w:val="00B001A2"/>
    <w:rsid w:val="00B0163C"/>
    <w:rsid w:val="00B022C2"/>
    <w:rsid w:val="00B06453"/>
    <w:rsid w:val="00B10C51"/>
    <w:rsid w:val="00B1240D"/>
    <w:rsid w:val="00B13C4E"/>
    <w:rsid w:val="00B140FA"/>
    <w:rsid w:val="00B15168"/>
    <w:rsid w:val="00B20018"/>
    <w:rsid w:val="00B21476"/>
    <w:rsid w:val="00B2338F"/>
    <w:rsid w:val="00B24196"/>
    <w:rsid w:val="00B31B40"/>
    <w:rsid w:val="00B34B51"/>
    <w:rsid w:val="00B36838"/>
    <w:rsid w:val="00B36D7B"/>
    <w:rsid w:val="00B402F0"/>
    <w:rsid w:val="00B42C1B"/>
    <w:rsid w:val="00B42E4E"/>
    <w:rsid w:val="00B43329"/>
    <w:rsid w:val="00B44236"/>
    <w:rsid w:val="00B45C85"/>
    <w:rsid w:val="00B463A6"/>
    <w:rsid w:val="00B51C13"/>
    <w:rsid w:val="00B72199"/>
    <w:rsid w:val="00B73EC3"/>
    <w:rsid w:val="00B75698"/>
    <w:rsid w:val="00B7765C"/>
    <w:rsid w:val="00B80192"/>
    <w:rsid w:val="00B805C8"/>
    <w:rsid w:val="00B81364"/>
    <w:rsid w:val="00B84A61"/>
    <w:rsid w:val="00B84FFF"/>
    <w:rsid w:val="00B85AA2"/>
    <w:rsid w:val="00B90E02"/>
    <w:rsid w:val="00B91E60"/>
    <w:rsid w:val="00B92E34"/>
    <w:rsid w:val="00B960E7"/>
    <w:rsid w:val="00B966F2"/>
    <w:rsid w:val="00BA225D"/>
    <w:rsid w:val="00BA2BE2"/>
    <w:rsid w:val="00BA4082"/>
    <w:rsid w:val="00BA79B5"/>
    <w:rsid w:val="00BB7B61"/>
    <w:rsid w:val="00BB7E3D"/>
    <w:rsid w:val="00BC17D6"/>
    <w:rsid w:val="00BC4050"/>
    <w:rsid w:val="00BC4D75"/>
    <w:rsid w:val="00BD0B83"/>
    <w:rsid w:val="00BD1148"/>
    <w:rsid w:val="00BD365A"/>
    <w:rsid w:val="00BD3F3E"/>
    <w:rsid w:val="00BD4764"/>
    <w:rsid w:val="00BD6540"/>
    <w:rsid w:val="00BD6DDC"/>
    <w:rsid w:val="00BE3C27"/>
    <w:rsid w:val="00BE48A2"/>
    <w:rsid w:val="00BF0E38"/>
    <w:rsid w:val="00BF1B3A"/>
    <w:rsid w:val="00BF33A7"/>
    <w:rsid w:val="00BF7695"/>
    <w:rsid w:val="00C0561F"/>
    <w:rsid w:val="00C06C8F"/>
    <w:rsid w:val="00C117EE"/>
    <w:rsid w:val="00C14447"/>
    <w:rsid w:val="00C163F3"/>
    <w:rsid w:val="00C1772C"/>
    <w:rsid w:val="00C21A55"/>
    <w:rsid w:val="00C24536"/>
    <w:rsid w:val="00C25EF8"/>
    <w:rsid w:val="00C31253"/>
    <w:rsid w:val="00C314F2"/>
    <w:rsid w:val="00C31976"/>
    <w:rsid w:val="00C34497"/>
    <w:rsid w:val="00C34D90"/>
    <w:rsid w:val="00C4658F"/>
    <w:rsid w:val="00C55871"/>
    <w:rsid w:val="00C565FD"/>
    <w:rsid w:val="00C56771"/>
    <w:rsid w:val="00C57FD5"/>
    <w:rsid w:val="00C60174"/>
    <w:rsid w:val="00C60698"/>
    <w:rsid w:val="00C61DDF"/>
    <w:rsid w:val="00C62922"/>
    <w:rsid w:val="00C7029B"/>
    <w:rsid w:val="00C71FB2"/>
    <w:rsid w:val="00C810A5"/>
    <w:rsid w:val="00C83A75"/>
    <w:rsid w:val="00C9775F"/>
    <w:rsid w:val="00CA1F38"/>
    <w:rsid w:val="00CA2019"/>
    <w:rsid w:val="00CA27CD"/>
    <w:rsid w:val="00CA3AED"/>
    <w:rsid w:val="00CA502D"/>
    <w:rsid w:val="00CA5FB9"/>
    <w:rsid w:val="00CB0646"/>
    <w:rsid w:val="00CB0B9F"/>
    <w:rsid w:val="00CB25DE"/>
    <w:rsid w:val="00CB72AE"/>
    <w:rsid w:val="00CB79D7"/>
    <w:rsid w:val="00CC161D"/>
    <w:rsid w:val="00CC23C4"/>
    <w:rsid w:val="00CC2FB0"/>
    <w:rsid w:val="00CC563A"/>
    <w:rsid w:val="00CC7A27"/>
    <w:rsid w:val="00CD2203"/>
    <w:rsid w:val="00CD6F8B"/>
    <w:rsid w:val="00CD7148"/>
    <w:rsid w:val="00CE4B23"/>
    <w:rsid w:val="00D009B8"/>
    <w:rsid w:val="00D02A32"/>
    <w:rsid w:val="00D0442C"/>
    <w:rsid w:val="00D0512B"/>
    <w:rsid w:val="00D063D6"/>
    <w:rsid w:val="00D07F34"/>
    <w:rsid w:val="00D13E69"/>
    <w:rsid w:val="00D163DC"/>
    <w:rsid w:val="00D216B9"/>
    <w:rsid w:val="00D22DA8"/>
    <w:rsid w:val="00D259CB"/>
    <w:rsid w:val="00D30A8D"/>
    <w:rsid w:val="00D4030C"/>
    <w:rsid w:val="00D40B1B"/>
    <w:rsid w:val="00D43718"/>
    <w:rsid w:val="00D449C7"/>
    <w:rsid w:val="00D45833"/>
    <w:rsid w:val="00D45C4D"/>
    <w:rsid w:val="00D5173D"/>
    <w:rsid w:val="00D56391"/>
    <w:rsid w:val="00D62094"/>
    <w:rsid w:val="00D65E4A"/>
    <w:rsid w:val="00D670AD"/>
    <w:rsid w:val="00D71461"/>
    <w:rsid w:val="00D72363"/>
    <w:rsid w:val="00D72E6F"/>
    <w:rsid w:val="00D740A3"/>
    <w:rsid w:val="00D75364"/>
    <w:rsid w:val="00D80DC9"/>
    <w:rsid w:val="00D83021"/>
    <w:rsid w:val="00D830F8"/>
    <w:rsid w:val="00D84D00"/>
    <w:rsid w:val="00D8746A"/>
    <w:rsid w:val="00D90D66"/>
    <w:rsid w:val="00D95153"/>
    <w:rsid w:val="00DA199D"/>
    <w:rsid w:val="00DA2CD2"/>
    <w:rsid w:val="00DA2E7F"/>
    <w:rsid w:val="00DA509F"/>
    <w:rsid w:val="00DB0BCA"/>
    <w:rsid w:val="00DB3F9A"/>
    <w:rsid w:val="00DB7783"/>
    <w:rsid w:val="00DC0C73"/>
    <w:rsid w:val="00DC4009"/>
    <w:rsid w:val="00DD47D8"/>
    <w:rsid w:val="00DE2846"/>
    <w:rsid w:val="00DF3262"/>
    <w:rsid w:val="00E01371"/>
    <w:rsid w:val="00E05ED1"/>
    <w:rsid w:val="00E10C26"/>
    <w:rsid w:val="00E125B6"/>
    <w:rsid w:val="00E12653"/>
    <w:rsid w:val="00E131FB"/>
    <w:rsid w:val="00E22D06"/>
    <w:rsid w:val="00E27757"/>
    <w:rsid w:val="00E31FB4"/>
    <w:rsid w:val="00E33763"/>
    <w:rsid w:val="00E357FA"/>
    <w:rsid w:val="00E5053D"/>
    <w:rsid w:val="00E512D0"/>
    <w:rsid w:val="00E61F8F"/>
    <w:rsid w:val="00E72F1B"/>
    <w:rsid w:val="00E73B5D"/>
    <w:rsid w:val="00E83DBE"/>
    <w:rsid w:val="00E8432B"/>
    <w:rsid w:val="00E84AAA"/>
    <w:rsid w:val="00E8563F"/>
    <w:rsid w:val="00E90A4F"/>
    <w:rsid w:val="00E95209"/>
    <w:rsid w:val="00E96827"/>
    <w:rsid w:val="00E968EE"/>
    <w:rsid w:val="00EA7E22"/>
    <w:rsid w:val="00EB0A7F"/>
    <w:rsid w:val="00EB4352"/>
    <w:rsid w:val="00EB4D0F"/>
    <w:rsid w:val="00EB546F"/>
    <w:rsid w:val="00EC3DB2"/>
    <w:rsid w:val="00EC6215"/>
    <w:rsid w:val="00EC7276"/>
    <w:rsid w:val="00EC72F8"/>
    <w:rsid w:val="00ED6825"/>
    <w:rsid w:val="00EE18B2"/>
    <w:rsid w:val="00EE7CE6"/>
    <w:rsid w:val="00EF2353"/>
    <w:rsid w:val="00EF42ED"/>
    <w:rsid w:val="00F00771"/>
    <w:rsid w:val="00F0382B"/>
    <w:rsid w:val="00F03914"/>
    <w:rsid w:val="00F03E2A"/>
    <w:rsid w:val="00F06E71"/>
    <w:rsid w:val="00F13788"/>
    <w:rsid w:val="00F21ADB"/>
    <w:rsid w:val="00F242B8"/>
    <w:rsid w:val="00F30330"/>
    <w:rsid w:val="00F316BC"/>
    <w:rsid w:val="00F33197"/>
    <w:rsid w:val="00F345A0"/>
    <w:rsid w:val="00F349B3"/>
    <w:rsid w:val="00F3727F"/>
    <w:rsid w:val="00F37726"/>
    <w:rsid w:val="00F43E5F"/>
    <w:rsid w:val="00F47A2B"/>
    <w:rsid w:val="00F5592F"/>
    <w:rsid w:val="00F67A95"/>
    <w:rsid w:val="00F738A7"/>
    <w:rsid w:val="00F75B89"/>
    <w:rsid w:val="00F817DF"/>
    <w:rsid w:val="00F81EA0"/>
    <w:rsid w:val="00F839A6"/>
    <w:rsid w:val="00F84136"/>
    <w:rsid w:val="00F84BF7"/>
    <w:rsid w:val="00F87DD4"/>
    <w:rsid w:val="00F91612"/>
    <w:rsid w:val="00F93C66"/>
    <w:rsid w:val="00F93E62"/>
    <w:rsid w:val="00F9445C"/>
    <w:rsid w:val="00FA67FF"/>
    <w:rsid w:val="00FB0B79"/>
    <w:rsid w:val="00FB297F"/>
    <w:rsid w:val="00FB4583"/>
    <w:rsid w:val="00FB5D8E"/>
    <w:rsid w:val="00FC0695"/>
    <w:rsid w:val="00FC30E8"/>
    <w:rsid w:val="00FC3EC2"/>
    <w:rsid w:val="00FD1A79"/>
    <w:rsid w:val="00FD288F"/>
    <w:rsid w:val="00FD3C0B"/>
    <w:rsid w:val="00FD46E4"/>
    <w:rsid w:val="00FD4761"/>
    <w:rsid w:val="00FE0351"/>
    <w:rsid w:val="00FE2DBD"/>
    <w:rsid w:val="00FE5A42"/>
    <w:rsid w:val="00FF11DA"/>
    <w:rsid w:val="00FF5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FE6699C"/>
  <w15:docId w15:val="{863ABADE-554C-4AB0-956C-A789D89F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5C3"/>
    <w:rPr>
      <w:rFonts w:ascii="Verdana" w:hAnsi="Verdana"/>
      <w:sz w:val="24"/>
      <w:lang w:eastAsia="en-US"/>
    </w:rPr>
  </w:style>
  <w:style w:type="paragraph" w:styleId="Heading1">
    <w:name w:val="heading 1"/>
    <w:basedOn w:val="Normal"/>
    <w:next w:val="Normal"/>
    <w:link w:val="Heading1Char"/>
    <w:qFormat/>
    <w:rsid w:val="00A36F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815C3"/>
    <w:pPr>
      <w:keepNext/>
      <w:spacing w:before="240" w:after="60"/>
      <w:outlineLvl w:val="1"/>
    </w:pPr>
    <w:rPr>
      <w:rFonts w:ascii="Cambria" w:hAnsi="Cambria"/>
      <w:b/>
      <w:bCs/>
      <w:i/>
      <w:iCs/>
      <w:sz w:val="28"/>
      <w:szCs w:val="28"/>
    </w:rPr>
  </w:style>
  <w:style w:type="paragraph" w:styleId="Heading6">
    <w:name w:val="heading 6"/>
    <w:basedOn w:val="Normal"/>
    <w:next w:val="Normal"/>
    <w:qFormat/>
    <w:rsid w:val="00532CBB"/>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2CBB"/>
    <w:rPr>
      <w:rFonts w:ascii="Arial" w:hAnsi="Arial"/>
    </w:rPr>
  </w:style>
  <w:style w:type="table" w:styleId="TableGrid">
    <w:name w:val="Table Grid"/>
    <w:basedOn w:val="TableNormal"/>
    <w:rsid w:val="0053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2CBB"/>
    <w:pPr>
      <w:tabs>
        <w:tab w:val="center" w:pos="4153"/>
        <w:tab w:val="right" w:pos="8306"/>
      </w:tabs>
    </w:pPr>
  </w:style>
  <w:style w:type="paragraph" w:styleId="Footer">
    <w:name w:val="footer"/>
    <w:basedOn w:val="Normal"/>
    <w:link w:val="FooterChar"/>
    <w:uiPriority w:val="99"/>
    <w:rsid w:val="00532CBB"/>
    <w:pPr>
      <w:tabs>
        <w:tab w:val="center" w:pos="4153"/>
        <w:tab w:val="right" w:pos="8306"/>
      </w:tabs>
    </w:pPr>
  </w:style>
  <w:style w:type="character" w:styleId="PageNumber">
    <w:name w:val="page number"/>
    <w:basedOn w:val="DefaultParagraphFont"/>
    <w:rsid w:val="00710BC5"/>
  </w:style>
  <w:style w:type="paragraph" w:styleId="BodyTextIndent">
    <w:name w:val="Body Text Indent"/>
    <w:basedOn w:val="Normal"/>
    <w:rsid w:val="004B79C5"/>
    <w:pPr>
      <w:spacing w:after="120"/>
      <w:ind w:left="283"/>
    </w:pPr>
  </w:style>
  <w:style w:type="paragraph" w:customStyle="1" w:styleId="Default">
    <w:name w:val="Default"/>
    <w:rsid w:val="000C2930"/>
    <w:pPr>
      <w:widowControl w:val="0"/>
      <w:autoSpaceDE w:val="0"/>
      <w:autoSpaceDN w:val="0"/>
      <w:adjustRightInd w:val="0"/>
    </w:pPr>
    <w:rPr>
      <w:color w:val="000000"/>
      <w:sz w:val="24"/>
      <w:szCs w:val="24"/>
    </w:rPr>
  </w:style>
  <w:style w:type="character" w:styleId="Hyperlink">
    <w:name w:val="Hyperlink"/>
    <w:basedOn w:val="DefaultParagraphFont"/>
    <w:rsid w:val="00DC0C73"/>
    <w:rPr>
      <w:color w:val="0000FF"/>
      <w:u w:val="single"/>
    </w:rPr>
  </w:style>
  <w:style w:type="character" w:styleId="FollowedHyperlink">
    <w:name w:val="FollowedHyperlink"/>
    <w:basedOn w:val="DefaultParagraphFont"/>
    <w:rsid w:val="00DC0C73"/>
    <w:rPr>
      <w:color w:val="800080"/>
      <w:u w:val="single"/>
    </w:rPr>
  </w:style>
  <w:style w:type="character" w:styleId="CommentReference">
    <w:name w:val="annotation reference"/>
    <w:basedOn w:val="DefaultParagraphFont"/>
    <w:rsid w:val="00A5401B"/>
    <w:rPr>
      <w:sz w:val="16"/>
      <w:szCs w:val="16"/>
    </w:rPr>
  </w:style>
  <w:style w:type="paragraph" w:styleId="CommentText">
    <w:name w:val="annotation text"/>
    <w:basedOn w:val="Normal"/>
    <w:link w:val="CommentTextChar"/>
    <w:uiPriority w:val="99"/>
    <w:rsid w:val="00A5401B"/>
  </w:style>
  <w:style w:type="character" w:customStyle="1" w:styleId="CommentTextChar">
    <w:name w:val="Comment Text Char"/>
    <w:basedOn w:val="DefaultParagraphFont"/>
    <w:link w:val="CommentText"/>
    <w:uiPriority w:val="99"/>
    <w:rsid w:val="00A5401B"/>
    <w:rPr>
      <w:lang w:eastAsia="en-US"/>
    </w:rPr>
  </w:style>
  <w:style w:type="paragraph" w:styleId="CommentSubject">
    <w:name w:val="annotation subject"/>
    <w:basedOn w:val="CommentText"/>
    <w:next w:val="CommentText"/>
    <w:link w:val="CommentSubjectChar"/>
    <w:rsid w:val="00A5401B"/>
    <w:rPr>
      <w:b/>
      <w:bCs/>
    </w:rPr>
  </w:style>
  <w:style w:type="character" w:customStyle="1" w:styleId="CommentSubjectChar">
    <w:name w:val="Comment Subject Char"/>
    <w:basedOn w:val="CommentTextChar"/>
    <w:link w:val="CommentSubject"/>
    <w:rsid w:val="00A5401B"/>
    <w:rPr>
      <w:b/>
      <w:bCs/>
      <w:lang w:eastAsia="en-US"/>
    </w:rPr>
  </w:style>
  <w:style w:type="paragraph" w:styleId="BalloonText">
    <w:name w:val="Balloon Text"/>
    <w:basedOn w:val="Normal"/>
    <w:link w:val="BalloonTextChar"/>
    <w:rsid w:val="00A5401B"/>
    <w:rPr>
      <w:rFonts w:ascii="Tahoma" w:hAnsi="Tahoma" w:cs="Tahoma"/>
      <w:sz w:val="16"/>
      <w:szCs w:val="16"/>
    </w:rPr>
  </w:style>
  <w:style w:type="character" w:customStyle="1" w:styleId="BalloonTextChar">
    <w:name w:val="Balloon Text Char"/>
    <w:basedOn w:val="DefaultParagraphFont"/>
    <w:link w:val="BalloonText"/>
    <w:rsid w:val="00A5401B"/>
    <w:rPr>
      <w:rFonts w:ascii="Tahoma" w:hAnsi="Tahoma" w:cs="Tahoma"/>
      <w:sz w:val="16"/>
      <w:szCs w:val="16"/>
      <w:lang w:eastAsia="en-US"/>
    </w:rPr>
  </w:style>
  <w:style w:type="character" w:customStyle="1" w:styleId="FooterChar">
    <w:name w:val="Footer Char"/>
    <w:basedOn w:val="DefaultParagraphFont"/>
    <w:link w:val="Footer"/>
    <w:uiPriority w:val="99"/>
    <w:rsid w:val="007F05C8"/>
    <w:rPr>
      <w:lang w:eastAsia="en-US"/>
    </w:rPr>
  </w:style>
  <w:style w:type="character" w:customStyle="1" w:styleId="Heading2Char">
    <w:name w:val="Heading 2 Char"/>
    <w:basedOn w:val="DefaultParagraphFont"/>
    <w:link w:val="Heading2"/>
    <w:semiHidden/>
    <w:rsid w:val="004815C3"/>
    <w:rPr>
      <w:rFonts w:ascii="Cambria" w:eastAsia="Times New Roman" w:hAnsi="Cambria" w:cs="Times New Roman"/>
      <w:b/>
      <w:bCs/>
      <w:i/>
      <w:iCs/>
      <w:sz w:val="28"/>
      <w:szCs w:val="28"/>
      <w:lang w:eastAsia="en-US"/>
    </w:rPr>
  </w:style>
  <w:style w:type="character" w:styleId="FootnoteReference">
    <w:name w:val="footnote reference"/>
    <w:basedOn w:val="DefaultParagraphFont"/>
    <w:uiPriority w:val="99"/>
    <w:unhideWhenUsed/>
    <w:rsid w:val="00564A8E"/>
    <w:rPr>
      <w:vertAlign w:val="superscript"/>
    </w:rPr>
  </w:style>
  <w:style w:type="character" w:customStyle="1" w:styleId="Heading1Char">
    <w:name w:val="Heading 1 Char"/>
    <w:basedOn w:val="DefaultParagraphFont"/>
    <w:link w:val="Heading1"/>
    <w:rsid w:val="00A36FB4"/>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237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3060">
      <w:bodyDiv w:val="1"/>
      <w:marLeft w:val="0"/>
      <w:marRight w:val="0"/>
      <w:marTop w:val="0"/>
      <w:marBottom w:val="0"/>
      <w:divBdr>
        <w:top w:val="none" w:sz="0" w:space="0" w:color="auto"/>
        <w:left w:val="none" w:sz="0" w:space="0" w:color="auto"/>
        <w:bottom w:val="none" w:sz="0" w:space="0" w:color="auto"/>
        <w:right w:val="none" w:sz="0" w:space="0" w:color="auto"/>
      </w:divBdr>
      <w:divsChild>
        <w:div w:id="710617895">
          <w:marLeft w:val="547"/>
          <w:marRight w:val="0"/>
          <w:marTop w:val="0"/>
          <w:marBottom w:val="0"/>
          <w:divBdr>
            <w:top w:val="none" w:sz="0" w:space="0" w:color="auto"/>
            <w:left w:val="none" w:sz="0" w:space="0" w:color="auto"/>
            <w:bottom w:val="none" w:sz="0" w:space="0" w:color="auto"/>
            <w:right w:val="none" w:sz="0" w:space="0" w:color="auto"/>
          </w:divBdr>
        </w:div>
      </w:divsChild>
    </w:div>
    <w:div w:id="98257640">
      <w:bodyDiv w:val="1"/>
      <w:marLeft w:val="0"/>
      <w:marRight w:val="0"/>
      <w:marTop w:val="0"/>
      <w:marBottom w:val="0"/>
      <w:divBdr>
        <w:top w:val="none" w:sz="0" w:space="0" w:color="auto"/>
        <w:left w:val="none" w:sz="0" w:space="0" w:color="auto"/>
        <w:bottom w:val="none" w:sz="0" w:space="0" w:color="auto"/>
        <w:right w:val="none" w:sz="0" w:space="0" w:color="auto"/>
      </w:divBdr>
      <w:divsChild>
        <w:div w:id="1979145169">
          <w:marLeft w:val="547"/>
          <w:marRight w:val="0"/>
          <w:marTop w:val="0"/>
          <w:marBottom w:val="0"/>
          <w:divBdr>
            <w:top w:val="none" w:sz="0" w:space="0" w:color="auto"/>
            <w:left w:val="none" w:sz="0" w:space="0" w:color="auto"/>
            <w:bottom w:val="none" w:sz="0" w:space="0" w:color="auto"/>
            <w:right w:val="none" w:sz="0" w:space="0" w:color="auto"/>
          </w:divBdr>
        </w:div>
      </w:divsChild>
    </w:div>
    <w:div w:id="126431709">
      <w:bodyDiv w:val="1"/>
      <w:marLeft w:val="0"/>
      <w:marRight w:val="0"/>
      <w:marTop w:val="0"/>
      <w:marBottom w:val="0"/>
      <w:divBdr>
        <w:top w:val="none" w:sz="0" w:space="0" w:color="auto"/>
        <w:left w:val="none" w:sz="0" w:space="0" w:color="auto"/>
        <w:bottom w:val="none" w:sz="0" w:space="0" w:color="auto"/>
        <w:right w:val="none" w:sz="0" w:space="0" w:color="auto"/>
      </w:divBdr>
      <w:divsChild>
        <w:div w:id="614479139">
          <w:marLeft w:val="547"/>
          <w:marRight w:val="0"/>
          <w:marTop w:val="0"/>
          <w:marBottom w:val="0"/>
          <w:divBdr>
            <w:top w:val="none" w:sz="0" w:space="0" w:color="auto"/>
            <w:left w:val="none" w:sz="0" w:space="0" w:color="auto"/>
            <w:bottom w:val="none" w:sz="0" w:space="0" w:color="auto"/>
            <w:right w:val="none" w:sz="0" w:space="0" w:color="auto"/>
          </w:divBdr>
        </w:div>
      </w:divsChild>
    </w:div>
    <w:div w:id="400299031">
      <w:bodyDiv w:val="1"/>
      <w:marLeft w:val="0"/>
      <w:marRight w:val="0"/>
      <w:marTop w:val="0"/>
      <w:marBottom w:val="0"/>
      <w:divBdr>
        <w:top w:val="none" w:sz="0" w:space="0" w:color="auto"/>
        <w:left w:val="none" w:sz="0" w:space="0" w:color="auto"/>
        <w:bottom w:val="none" w:sz="0" w:space="0" w:color="auto"/>
        <w:right w:val="none" w:sz="0" w:space="0" w:color="auto"/>
      </w:divBdr>
    </w:div>
    <w:div w:id="935597579">
      <w:bodyDiv w:val="1"/>
      <w:marLeft w:val="0"/>
      <w:marRight w:val="0"/>
      <w:marTop w:val="0"/>
      <w:marBottom w:val="0"/>
      <w:divBdr>
        <w:top w:val="none" w:sz="0" w:space="0" w:color="auto"/>
        <w:left w:val="none" w:sz="0" w:space="0" w:color="auto"/>
        <w:bottom w:val="none" w:sz="0" w:space="0" w:color="auto"/>
        <w:right w:val="none" w:sz="0" w:space="0" w:color="auto"/>
      </w:divBdr>
      <w:divsChild>
        <w:div w:id="1846089957">
          <w:marLeft w:val="547"/>
          <w:marRight w:val="0"/>
          <w:marTop w:val="0"/>
          <w:marBottom w:val="0"/>
          <w:divBdr>
            <w:top w:val="none" w:sz="0" w:space="0" w:color="auto"/>
            <w:left w:val="none" w:sz="0" w:space="0" w:color="auto"/>
            <w:bottom w:val="none" w:sz="0" w:space="0" w:color="auto"/>
            <w:right w:val="none" w:sz="0" w:space="0" w:color="auto"/>
          </w:divBdr>
        </w:div>
        <w:div w:id="1620143242">
          <w:marLeft w:val="547"/>
          <w:marRight w:val="0"/>
          <w:marTop w:val="0"/>
          <w:marBottom w:val="0"/>
          <w:divBdr>
            <w:top w:val="none" w:sz="0" w:space="0" w:color="auto"/>
            <w:left w:val="none" w:sz="0" w:space="0" w:color="auto"/>
            <w:bottom w:val="none" w:sz="0" w:space="0" w:color="auto"/>
            <w:right w:val="none" w:sz="0" w:space="0" w:color="auto"/>
          </w:divBdr>
        </w:div>
        <w:div w:id="1340962259">
          <w:marLeft w:val="547"/>
          <w:marRight w:val="0"/>
          <w:marTop w:val="0"/>
          <w:marBottom w:val="0"/>
          <w:divBdr>
            <w:top w:val="none" w:sz="0" w:space="0" w:color="auto"/>
            <w:left w:val="none" w:sz="0" w:space="0" w:color="auto"/>
            <w:bottom w:val="none" w:sz="0" w:space="0" w:color="auto"/>
            <w:right w:val="none" w:sz="0" w:space="0" w:color="auto"/>
          </w:divBdr>
        </w:div>
      </w:divsChild>
    </w:div>
    <w:div w:id="1156651279">
      <w:bodyDiv w:val="1"/>
      <w:marLeft w:val="0"/>
      <w:marRight w:val="0"/>
      <w:marTop w:val="0"/>
      <w:marBottom w:val="0"/>
      <w:divBdr>
        <w:top w:val="none" w:sz="0" w:space="0" w:color="auto"/>
        <w:left w:val="none" w:sz="0" w:space="0" w:color="auto"/>
        <w:bottom w:val="none" w:sz="0" w:space="0" w:color="auto"/>
        <w:right w:val="none" w:sz="0" w:space="0" w:color="auto"/>
      </w:divBdr>
    </w:div>
    <w:div w:id="1282226683">
      <w:bodyDiv w:val="1"/>
      <w:marLeft w:val="0"/>
      <w:marRight w:val="0"/>
      <w:marTop w:val="0"/>
      <w:marBottom w:val="0"/>
      <w:divBdr>
        <w:top w:val="none" w:sz="0" w:space="0" w:color="auto"/>
        <w:left w:val="none" w:sz="0" w:space="0" w:color="auto"/>
        <w:bottom w:val="none" w:sz="0" w:space="0" w:color="auto"/>
        <w:right w:val="none" w:sz="0" w:space="0" w:color="auto"/>
      </w:divBdr>
      <w:divsChild>
        <w:div w:id="1329141251">
          <w:marLeft w:val="547"/>
          <w:marRight w:val="0"/>
          <w:marTop w:val="0"/>
          <w:marBottom w:val="0"/>
          <w:divBdr>
            <w:top w:val="none" w:sz="0" w:space="0" w:color="auto"/>
            <w:left w:val="none" w:sz="0" w:space="0" w:color="auto"/>
            <w:bottom w:val="none" w:sz="0" w:space="0" w:color="auto"/>
            <w:right w:val="none" w:sz="0" w:space="0" w:color="auto"/>
          </w:divBdr>
        </w:div>
        <w:div w:id="1297640200">
          <w:marLeft w:val="547"/>
          <w:marRight w:val="0"/>
          <w:marTop w:val="0"/>
          <w:marBottom w:val="0"/>
          <w:divBdr>
            <w:top w:val="none" w:sz="0" w:space="0" w:color="auto"/>
            <w:left w:val="none" w:sz="0" w:space="0" w:color="auto"/>
            <w:bottom w:val="none" w:sz="0" w:space="0" w:color="auto"/>
            <w:right w:val="none" w:sz="0" w:space="0" w:color="auto"/>
          </w:divBdr>
        </w:div>
      </w:divsChild>
    </w:div>
    <w:div w:id="1334986924">
      <w:bodyDiv w:val="1"/>
      <w:marLeft w:val="0"/>
      <w:marRight w:val="0"/>
      <w:marTop w:val="0"/>
      <w:marBottom w:val="0"/>
      <w:divBdr>
        <w:top w:val="none" w:sz="0" w:space="0" w:color="auto"/>
        <w:left w:val="none" w:sz="0" w:space="0" w:color="auto"/>
        <w:bottom w:val="none" w:sz="0" w:space="0" w:color="auto"/>
        <w:right w:val="none" w:sz="0" w:space="0" w:color="auto"/>
      </w:divBdr>
      <w:divsChild>
        <w:div w:id="255986434">
          <w:marLeft w:val="547"/>
          <w:marRight w:val="0"/>
          <w:marTop w:val="0"/>
          <w:marBottom w:val="0"/>
          <w:divBdr>
            <w:top w:val="none" w:sz="0" w:space="0" w:color="auto"/>
            <w:left w:val="none" w:sz="0" w:space="0" w:color="auto"/>
            <w:bottom w:val="none" w:sz="0" w:space="0" w:color="auto"/>
            <w:right w:val="none" w:sz="0" w:space="0" w:color="auto"/>
          </w:divBdr>
        </w:div>
      </w:divsChild>
    </w:div>
    <w:div w:id="1407799469">
      <w:bodyDiv w:val="1"/>
      <w:marLeft w:val="0"/>
      <w:marRight w:val="0"/>
      <w:marTop w:val="0"/>
      <w:marBottom w:val="0"/>
      <w:divBdr>
        <w:top w:val="none" w:sz="0" w:space="0" w:color="auto"/>
        <w:left w:val="none" w:sz="0" w:space="0" w:color="auto"/>
        <w:bottom w:val="none" w:sz="0" w:space="0" w:color="auto"/>
        <w:right w:val="none" w:sz="0" w:space="0" w:color="auto"/>
      </w:divBdr>
      <w:divsChild>
        <w:div w:id="2049377451">
          <w:marLeft w:val="547"/>
          <w:marRight w:val="0"/>
          <w:marTop w:val="0"/>
          <w:marBottom w:val="0"/>
          <w:divBdr>
            <w:top w:val="none" w:sz="0" w:space="0" w:color="auto"/>
            <w:left w:val="none" w:sz="0" w:space="0" w:color="auto"/>
            <w:bottom w:val="none" w:sz="0" w:space="0" w:color="auto"/>
            <w:right w:val="none" w:sz="0" w:space="0" w:color="auto"/>
          </w:divBdr>
        </w:div>
        <w:div w:id="1672634256">
          <w:marLeft w:val="547"/>
          <w:marRight w:val="0"/>
          <w:marTop w:val="0"/>
          <w:marBottom w:val="0"/>
          <w:divBdr>
            <w:top w:val="none" w:sz="0" w:space="0" w:color="auto"/>
            <w:left w:val="none" w:sz="0" w:space="0" w:color="auto"/>
            <w:bottom w:val="none" w:sz="0" w:space="0" w:color="auto"/>
            <w:right w:val="none" w:sz="0" w:space="0" w:color="auto"/>
          </w:divBdr>
        </w:div>
        <w:div w:id="1187869499">
          <w:marLeft w:val="547"/>
          <w:marRight w:val="0"/>
          <w:marTop w:val="0"/>
          <w:marBottom w:val="0"/>
          <w:divBdr>
            <w:top w:val="none" w:sz="0" w:space="0" w:color="auto"/>
            <w:left w:val="none" w:sz="0" w:space="0" w:color="auto"/>
            <w:bottom w:val="none" w:sz="0" w:space="0" w:color="auto"/>
            <w:right w:val="none" w:sz="0" w:space="0" w:color="auto"/>
          </w:divBdr>
        </w:div>
        <w:div w:id="2076707752">
          <w:marLeft w:val="547"/>
          <w:marRight w:val="0"/>
          <w:marTop w:val="0"/>
          <w:marBottom w:val="0"/>
          <w:divBdr>
            <w:top w:val="none" w:sz="0" w:space="0" w:color="auto"/>
            <w:left w:val="none" w:sz="0" w:space="0" w:color="auto"/>
            <w:bottom w:val="none" w:sz="0" w:space="0" w:color="auto"/>
            <w:right w:val="none" w:sz="0" w:space="0" w:color="auto"/>
          </w:divBdr>
        </w:div>
        <w:div w:id="1582526415">
          <w:marLeft w:val="547"/>
          <w:marRight w:val="0"/>
          <w:marTop w:val="0"/>
          <w:marBottom w:val="0"/>
          <w:divBdr>
            <w:top w:val="none" w:sz="0" w:space="0" w:color="auto"/>
            <w:left w:val="none" w:sz="0" w:space="0" w:color="auto"/>
            <w:bottom w:val="none" w:sz="0" w:space="0" w:color="auto"/>
            <w:right w:val="none" w:sz="0" w:space="0" w:color="auto"/>
          </w:divBdr>
        </w:div>
        <w:div w:id="1973438254">
          <w:marLeft w:val="547"/>
          <w:marRight w:val="0"/>
          <w:marTop w:val="0"/>
          <w:marBottom w:val="0"/>
          <w:divBdr>
            <w:top w:val="none" w:sz="0" w:space="0" w:color="auto"/>
            <w:left w:val="none" w:sz="0" w:space="0" w:color="auto"/>
            <w:bottom w:val="none" w:sz="0" w:space="0" w:color="auto"/>
            <w:right w:val="none" w:sz="0" w:space="0" w:color="auto"/>
          </w:divBdr>
        </w:div>
        <w:div w:id="2007980159">
          <w:marLeft w:val="547"/>
          <w:marRight w:val="0"/>
          <w:marTop w:val="0"/>
          <w:marBottom w:val="0"/>
          <w:divBdr>
            <w:top w:val="none" w:sz="0" w:space="0" w:color="auto"/>
            <w:left w:val="none" w:sz="0" w:space="0" w:color="auto"/>
            <w:bottom w:val="none" w:sz="0" w:space="0" w:color="auto"/>
            <w:right w:val="none" w:sz="0" w:space="0" w:color="auto"/>
          </w:divBdr>
        </w:div>
        <w:div w:id="1578512656">
          <w:marLeft w:val="547"/>
          <w:marRight w:val="0"/>
          <w:marTop w:val="0"/>
          <w:marBottom w:val="0"/>
          <w:divBdr>
            <w:top w:val="none" w:sz="0" w:space="0" w:color="auto"/>
            <w:left w:val="none" w:sz="0" w:space="0" w:color="auto"/>
            <w:bottom w:val="none" w:sz="0" w:space="0" w:color="auto"/>
            <w:right w:val="none" w:sz="0" w:space="0" w:color="auto"/>
          </w:divBdr>
        </w:div>
      </w:divsChild>
    </w:div>
    <w:div w:id="1498230427">
      <w:bodyDiv w:val="1"/>
      <w:marLeft w:val="0"/>
      <w:marRight w:val="0"/>
      <w:marTop w:val="0"/>
      <w:marBottom w:val="0"/>
      <w:divBdr>
        <w:top w:val="none" w:sz="0" w:space="0" w:color="auto"/>
        <w:left w:val="none" w:sz="0" w:space="0" w:color="auto"/>
        <w:bottom w:val="none" w:sz="0" w:space="0" w:color="auto"/>
        <w:right w:val="none" w:sz="0" w:space="0" w:color="auto"/>
      </w:divBdr>
      <w:divsChild>
        <w:div w:id="1827626144">
          <w:marLeft w:val="547"/>
          <w:marRight w:val="0"/>
          <w:marTop w:val="0"/>
          <w:marBottom w:val="0"/>
          <w:divBdr>
            <w:top w:val="none" w:sz="0" w:space="0" w:color="auto"/>
            <w:left w:val="none" w:sz="0" w:space="0" w:color="auto"/>
            <w:bottom w:val="none" w:sz="0" w:space="0" w:color="auto"/>
            <w:right w:val="none" w:sz="0" w:space="0" w:color="auto"/>
          </w:divBdr>
        </w:div>
        <w:div w:id="314847064">
          <w:marLeft w:val="547"/>
          <w:marRight w:val="0"/>
          <w:marTop w:val="0"/>
          <w:marBottom w:val="0"/>
          <w:divBdr>
            <w:top w:val="none" w:sz="0" w:space="0" w:color="auto"/>
            <w:left w:val="none" w:sz="0" w:space="0" w:color="auto"/>
            <w:bottom w:val="none" w:sz="0" w:space="0" w:color="auto"/>
            <w:right w:val="none" w:sz="0" w:space="0" w:color="auto"/>
          </w:divBdr>
        </w:div>
      </w:divsChild>
    </w:div>
    <w:div w:id="150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78824223">
          <w:marLeft w:val="547"/>
          <w:marRight w:val="0"/>
          <w:marTop w:val="0"/>
          <w:marBottom w:val="0"/>
          <w:divBdr>
            <w:top w:val="none" w:sz="0" w:space="0" w:color="auto"/>
            <w:left w:val="none" w:sz="0" w:space="0" w:color="auto"/>
            <w:bottom w:val="none" w:sz="0" w:space="0" w:color="auto"/>
            <w:right w:val="none" w:sz="0" w:space="0" w:color="auto"/>
          </w:divBdr>
        </w:div>
      </w:divsChild>
    </w:div>
    <w:div w:id="1599828127">
      <w:bodyDiv w:val="1"/>
      <w:marLeft w:val="0"/>
      <w:marRight w:val="0"/>
      <w:marTop w:val="0"/>
      <w:marBottom w:val="0"/>
      <w:divBdr>
        <w:top w:val="none" w:sz="0" w:space="0" w:color="auto"/>
        <w:left w:val="none" w:sz="0" w:space="0" w:color="auto"/>
        <w:bottom w:val="none" w:sz="0" w:space="0" w:color="auto"/>
        <w:right w:val="none" w:sz="0" w:space="0" w:color="auto"/>
      </w:divBdr>
      <w:divsChild>
        <w:div w:id="104421334">
          <w:marLeft w:val="547"/>
          <w:marRight w:val="0"/>
          <w:marTop w:val="0"/>
          <w:marBottom w:val="0"/>
          <w:divBdr>
            <w:top w:val="none" w:sz="0" w:space="0" w:color="auto"/>
            <w:left w:val="none" w:sz="0" w:space="0" w:color="auto"/>
            <w:bottom w:val="none" w:sz="0" w:space="0" w:color="auto"/>
            <w:right w:val="none" w:sz="0" w:space="0" w:color="auto"/>
          </w:divBdr>
        </w:div>
      </w:divsChild>
    </w:div>
    <w:div w:id="1642419799">
      <w:bodyDiv w:val="1"/>
      <w:marLeft w:val="0"/>
      <w:marRight w:val="0"/>
      <w:marTop w:val="0"/>
      <w:marBottom w:val="0"/>
      <w:divBdr>
        <w:top w:val="none" w:sz="0" w:space="0" w:color="auto"/>
        <w:left w:val="none" w:sz="0" w:space="0" w:color="auto"/>
        <w:bottom w:val="none" w:sz="0" w:space="0" w:color="auto"/>
        <w:right w:val="none" w:sz="0" w:space="0" w:color="auto"/>
      </w:divBdr>
      <w:divsChild>
        <w:div w:id="477184469">
          <w:marLeft w:val="547"/>
          <w:marRight w:val="0"/>
          <w:marTop w:val="0"/>
          <w:marBottom w:val="0"/>
          <w:divBdr>
            <w:top w:val="none" w:sz="0" w:space="0" w:color="auto"/>
            <w:left w:val="none" w:sz="0" w:space="0" w:color="auto"/>
            <w:bottom w:val="none" w:sz="0" w:space="0" w:color="auto"/>
            <w:right w:val="none" w:sz="0" w:space="0" w:color="auto"/>
          </w:divBdr>
        </w:div>
        <w:div w:id="119811431">
          <w:marLeft w:val="547"/>
          <w:marRight w:val="0"/>
          <w:marTop w:val="0"/>
          <w:marBottom w:val="0"/>
          <w:divBdr>
            <w:top w:val="none" w:sz="0" w:space="0" w:color="auto"/>
            <w:left w:val="none" w:sz="0" w:space="0" w:color="auto"/>
            <w:bottom w:val="none" w:sz="0" w:space="0" w:color="auto"/>
            <w:right w:val="none" w:sz="0" w:space="0" w:color="auto"/>
          </w:divBdr>
        </w:div>
      </w:divsChild>
    </w:div>
    <w:div w:id="1810442307">
      <w:bodyDiv w:val="1"/>
      <w:marLeft w:val="0"/>
      <w:marRight w:val="0"/>
      <w:marTop w:val="0"/>
      <w:marBottom w:val="0"/>
      <w:divBdr>
        <w:top w:val="none" w:sz="0" w:space="0" w:color="auto"/>
        <w:left w:val="none" w:sz="0" w:space="0" w:color="auto"/>
        <w:bottom w:val="none" w:sz="0" w:space="0" w:color="auto"/>
        <w:right w:val="none" w:sz="0" w:space="0" w:color="auto"/>
      </w:divBdr>
      <w:divsChild>
        <w:div w:id="1690138922">
          <w:marLeft w:val="547"/>
          <w:marRight w:val="0"/>
          <w:marTop w:val="0"/>
          <w:marBottom w:val="0"/>
          <w:divBdr>
            <w:top w:val="none" w:sz="0" w:space="0" w:color="auto"/>
            <w:left w:val="none" w:sz="0" w:space="0" w:color="auto"/>
            <w:bottom w:val="none" w:sz="0" w:space="0" w:color="auto"/>
            <w:right w:val="none" w:sz="0" w:space="0" w:color="auto"/>
          </w:divBdr>
        </w:div>
      </w:divsChild>
    </w:div>
    <w:div w:id="1834032701">
      <w:bodyDiv w:val="1"/>
      <w:marLeft w:val="0"/>
      <w:marRight w:val="0"/>
      <w:marTop w:val="0"/>
      <w:marBottom w:val="0"/>
      <w:divBdr>
        <w:top w:val="none" w:sz="0" w:space="0" w:color="auto"/>
        <w:left w:val="none" w:sz="0" w:space="0" w:color="auto"/>
        <w:bottom w:val="none" w:sz="0" w:space="0" w:color="auto"/>
        <w:right w:val="none" w:sz="0" w:space="0" w:color="auto"/>
      </w:divBdr>
    </w:div>
    <w:div w:id="1871409426">
      <w:bodyDiv w:val="1"/>
      <w:marLeft w:val="0"/>
      <w:marRight w:val="0"/>
      <w:marTop w:val="0"/>
      <w:marBottom w:val="0"/>
      <w:divBdr>
        <w:top w:val="none" w:sz="0" w:space="0" w:color="auto"/>
        <w:left w:val="none" w:sz="0" w:space="0" w:color="auto"/>
        <w:bottom w:val="none" w:sz="0" w:space="0" w:color="auto"/>
        <w:right w:val="none" w:sz="0" w:space="0" w:color="auto"/>
      </w:divBdr>
      <w:divsChild>
        <w:div w:id="733819126">
          <w:marLeft w:val="547"/>
          <w:marRight w:val="0"/>
          <w:marTop w:val="0"/>
          <w:marBottom w:val="0"/>
          <w:divBdr>
            <w:top w:val="none" w:sz="0" w:space="0" w:color="auto"/>
            <w:left w:val="none" w:sz="0" w:space="0" w:color="auto"/>
            <w:bottom w:val="none" w:sz="0" w:space="0" w:color="auto"/>
            <w:right w:val="none" w:sz="0" w:space="0" w:color="auto"/>
          </w:divBdr>
        </w:div>
        <w:div w:id="811408292">
          <w:marLeft w:val="547"/>
          <w:marRight w:val="0"/>
          <w:marTop w:val="0"/>
          <w:marBottom w:val="0"/>
          <w:divBdr>
            <w:top w:val="none" w:sz="0" w:space="0" w:color="auto"/>
            <w:left w:val="none" w:sz="0" w:space="0" w:color="auto"/>
            <w:bottom w:val="none" w:sz="0" w:space="0" w:color="auto"/>
            <w:right w:val="none" w:sz="0" w:space="0" w:color="auto"/>
          </w:divBdr>
        </w:div>
      </w:divsChild>
    </w:div>
    <w:div w:id="1924602817">
      <w:bodyDiv w:val="1"/>
      <w:marLeft w:val="0"/>
      <w:marRight w:val="0"/>
      <w:marTop w:val="0"/>
      <w:marBottom w:val="0"/>
      <w:divBdr>
        <w:top w:val="none" w:sz="0" w:space="0" w:color="auto"/>
        <w:left w:val="none" w:sz="0" w:space="0" w:color="auto"/>
        <w:bottom w:val="none" w:sz="0" w:space="0" w:color="auto"/>
        <w:right w:val="none" w:sz="0" w:space="0" w:color="auto"/>
      </w:divBdr>
      <w:divsChild>
        <w:div w:id="1208030332">
          <w:marLeft w:val="547"/>
          <w:marRight w:val="0"/>
          <w:marTop w:val="0"/>
          <w:marBottom w:val="0"/>
          <w:divBdr>
            <w:top w:val="none" w:sz="0" w:space="0" w:color="auto"/>
            <w:left w:val="none" w:sz="0" w:space="0" w:color="auto"/>
            <w:bottom w:val="none" w:sz="0" w:space="0" w:color="auto"/>
            <w:right w:val="none" w:sz="0" w:space="0" w:color="auto"/>
          </w:divBdr>
        </w:div>
      </w:divsChild>
    </w:div>
    <w:div w:id="1992446764">
      <w:bodyDiv w:val="1"/>
      <w:marLeft w:val="0"/>
      <w:marRight w:val="0"/>
      <w:marTop w:val="0"/>
      <w:marBottom w:val="0"/>
      <w:divBdr>
        <w:top w:val="none" w:sz="0" w:space="0" w:color="auto"/>
        <w:left w:val="none" w:sz="0" w:space="0" w:color="auto"/>
        <w:bottom w:val="none" w:sz="0" w:space="0" w:color="auto"/>
        <w:right w:val="none" w:sz="0" w:space="0" w:color="auto"/>
      </w:divBdr>
      <w:divsChild>
        <w:div w:id="1464273810">
          <w:marLeft w:val="547"/>
          <w:marRight w:val="0"/>
          <w:marTop w:val="0"/>
          <w:marBottom w:val="0"/>
          <w:divBdr>
            <w:top w:val="none" w:sz="0" w:space="0" w:color="auto"/>
            <w:left w:val="none" w:sz="0" w:space="0" w:color="auto"/>
            <w:bottom w:val="none" w:sz="0" w:space="0" w:color="auto"/>
            <w:right w:val="none" w:sz="0" w:space="0" w:color="auto"/>
          </w:divBdr>
        </w:div>
        <w:div w:id="128060268">
          <w:marLeft w:val="547"/>
          <w:marRight w:val="0"/>
          <w:marTop w:val="0"/>
          <w:marBottom w:val="0"/>
          <w:divBdr>
            <w:top w:val="none" w:sz="0" w:space="0" w:color="auto"/>
            <w:left w:val="none" w:sz="0" w:space="0" w:color="auto"/>
            <w:bottom w:val="none" w:sz="0" w:space="0" w:color="auto"/>
            <w:right w:val="none" w:sz="0" w:space="0" w:color="auto"/>
          </w:divBdr>
        </w:div>
        <w:div w:id="675572419">
          <w:marLeft w:val="547"/>
          <w:marRight w:val="0"/>
          <w:marTop w:val="0"/>
          <w:marBottom w:val="0"/>
          <w:divBdr>
            <w:top w:val="none" w:sz="0" w:space="0" w:color="auto"/>
            <w:left w:val="none" w:sz="0" w:space="0" w:color="auto"/>
            <w:bottom w:val="none" w:sz="0" w:space="0" w:color="auto"/>
            <w:right w:val="none" w:sz="0" w:space="0" w:color="auto"/>
          </w:divBdr>
        </w:div>
        <w:div w:id="20278598">
          <w:marLeft w:val="547"/>
          <w:marRight w:val="0"/>
          <w:marTop w:val="0"/>
          <w:marBottom w:val="0"/>
          <w:divBdr>
            <w:top w:val="none" w:sz="0" w:space="0" w:color="auto"/>
            <w:left w:val="none" w:sz="0" w:space="0" w:color="auto"/>
            <w:bottom w:val="none" w:sz="0" w:space="0" w:color="auto"/>
            <w:right w:val="none" w:sz="0" w:space="0" w:color="auto"/>
          </w:divBdr>
        </w:div>
        <w:div w:id="286473089">
          <w:marLeft w:val="547"/>
          <w:marRight w:val="0"/>
          <w:marTop w:val="0"/>
          <w:marBottom w:val="0"/>
          <w:divBdr>
            <w:top w:val="none" w:sz="0" w:space="0" w:color="auto"/>
            <w:left w:val="none" w:sz="0" w:space="0" w:color="auto"/>
            <w:bottom w:val="none" w:sz="0" w:space="0" w:color="auto"/>
            <w:right w:val="none" w:sz="0" w:space="0" w:color="auto"/>
          </w:divBdr>
        </w:div>
        <w:div w:id="4073857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the-7-principles-of-public-life" TargetMode="External"/><Relationship Id="rId18" Type="http://schemas.openxmlformats.org/officeDocument/2006/relationships/hyperlink" Target="https://phw.nhs.wales/use-of-site/contact-us/" TargetMode="External"/><Relationship Id="rId26" Type="http://schemas.openxmlformats.org/officeDocument/2006/relationships/hyperlink" Target="https://www.legislation.gov.uk/ukpga/2010/23/contents" TargetMode="External"/><Relationship Id="rId3" Type="http://schemas.openxmlformats.org/officeDocument/2006/relationships/numbering" Target="numbering.xml"/><Relationship Id="rId21" Type="http://schemas.openxmlformats.org/officeDocument/2006/relationships/hyperlink" Target="https://phw.nhs.wales/about-us/policies-and-procedures/policies-and-procedures-documents/clinical-governance-and-infection-control-policies/" TargetMode="External"/><Relationship Id="rId34" Type="http://schemas.openxmlformats.org/officeDocument/2006/relationships/hyperlink" Target="mailto:liz.blayney@wales.nhs.uk"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phw.nhs.wales/about-us/policies-and-procedures1/policies-and-procedures-documents/corporate-governance-communications-and-finance-policies/" TargetMode="External"/><Relationship Id="rId25" Type="http://schemas.openxmlformats.org/officeDocument/2006/relationships/hyperlink" Target="https://phw.nhs.wales/about-us/board-and-executive-team/board-papers/board-meetings/2020-2021/28-january-2021/28-january-2021-board-meeting-papers/" TargetMode="External"/><Relationship Id="rId33" Type="http://schemas.openxmlformats.org/officeDocument/2006/relationships/hyperlink" Target="https://phw.nhs.wales/about-us/policies-and-procedures/policies-and-procedures-documents/corporate-governance-communications-and-finance-policies/policies-procedures-and-other-written-control-documents-management-procedure-pdf/" TargetMode="External"/><Relationship Id="rId2" Type="http://schemas.openxmlformats.org/officeDocument/2006/relationships/customXml" Target="../customXml/item2.xml"/><Relationship Id="rId16" Type="http://schemas.openxmlformats.org/officeDocument/2006/relationships/hyperlink" Target="mailto:helen.bushell@wales.nhs.uk" TargetMode="External"/><Relationship Id="rId20" Type="http://schemas.openxmlformats.org/officeDocument/2006/relationships/hyperlink" Target="https://phw.nhs.wales/about-us/policies-and-procedures/policies-and-procedures-documents/corporate-governance-communications-and-finance-policies/" TargetMode="External"/><Relationship Id="rId29"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hw.nhs.wales/about-us/policies-and-procedures1/policies-and-procedures-documents/corporate-governance-communications-and-finance-policies/" TargetMode="External"/><Relationship Id="rId24" Type="http://schemas.openxmlformats.org/officeDocument/2006/relationships/hyperlink" Target="https://phw.nhs.wales/about-us/policies-and-procedures/policies-and-procedures-documents/corporate-governance-communications-and-finance-policies/policies-procedures-and-other-written-control-documents-management-policy-pdf" TargetMode="External"/><Relationship Id="rId32" Type="http://schemas.openxmlformats.org/officeDocument/2006/relationships/hyperlink" Target="https://www.abpi.org.uk/publications/code-of-practice-for-the-pharmaceutical-industry-2016/"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hw.nhs.wales/about-us/policies-and-procedures1/policies-and-procedures-documents/corporate-governance-communications-and-finance-policies/" TargetMode="External"/><Relationship Id="rId23" Type="http://schemas.openxmlformats.org/officeDocument/2006/relationships/hyperlink" Target="https://phw.nhs.wales/about-us/policies-and-procedures/policies-and-procedures-documents/corporate-governance-communications-and-finance-policies/" TargetMode="External"/><Relationship Id="rId28" Type="http://schemas.openxmlformats.org/officeDocument/2006/relationships/hyperlink" Target="https://www.legislation.gov.uk/wsi/2009/1385/contents/made" TargetMode="External"/><Relationship Id="rId36" Type="http://schemas.openxmlformats.org/officeDocument/2006/relationships/fontTable" Target="fontTable.xml"/><Relationship Id="rId10" Type="http://schemas.openxmlformats.org/officeDocument/2006/relationships/hyperlink" Target="mailto:helen.bushell@wales.nhs.uk" TargetMode="External"/><Relationship Id="rId19" Type="http://schemas.openxmlformats.org/officeDocument/2006/relationships/hyperlink" Target="mailto:https://phw.nhs.wales/about-us/policies-and-procedures/policies-and-procedures-documents/human-resources-policies/" TargetMode="External"/><Relationship Id="rId31" Type="http://schemas.openxmlformats.org/officeDocument/2006/relationships/hyperlink" Target="https://phw.nhs.wales/about-us/policies-and-procedures1/policies-and-procedures-documents/corporate-governance-communications-and-finance-polici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hw.nhs.wales/about-us/policies-and-procedures1/policies-and-procedures-documents/corporate-governance-communications-and-finance-policies/" TargetMode="External"/><Relationship Id="rId22" Type="http://schemas.openxmlformats.org/officeDocument/2006/relationships/hyperlink" Target="https://phw.nhs.wales/about-us/policies-and-procedures/policies-and-procedures-documents/human-resources-policies/" TargetMode="External"/><Relationship Id="rId27" Type="http://schemas.openxmlformats.org/officeDocument/2006/relationships/hyperlink" Target="http://www.wales.nhs.uk/docopen/40672/" TargetMode="External"/><Relationship Id="rId30" Type="http://schemas.openxmlformats.org/officeDocument/2006/relationships/hyperlink" Target="https://gov.wales/sites/default/files/publications/2018-10/managing-welsh-public-money.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687BF-7CE8-4F8E-B730-280B5FED328F}">
  <ds:schemaRefs>
    <ds:schemaRef ds:uri="http://schemas.openxmlformats.org/officeDocument/2006/bibliography"/>
  </ds:schemaRefs>
</ds:datastoreItem>
</file>

<file path=customXml/itemProps2.xml><?xml version="1.0" encoding="utf-8"?>
<ds:datastoreItem xmlns:ds="http://schemas.openxmlformats.org/officeDocument/2006/customXml" ds:itemID="{96E5B5FD-EC73-4724-A787-58D6ED02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9</Pages>
  <Words>3214</Words>
  <Characters>21714</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
    </vt:vector>
  </TitlesOfParts>
  <Company>Cardiff &amp; Vale NHS Trust</Company>
  <LinksUpToDate>false</LinksUpToDate>
  <CharactersWithSpaces>24879</CharactersWithSpaces>
  <SharedDoc>false</SharedDoc>
  <HLinks>
    <vt:vector size="30" baseType="variant">
      <vt:variant>
        <vt:i4>327784</vt:i4>
      </vt:variant>
      <vt:variant>
        <vt:i4>12</vt:i4>
      </vt:variant>
      <vt:variant>
        <vt:i4>0</vt:i4>
      </vt:variant>
      <vt:variant>
        <vt:i4>5</vt:i4>
      </vt:variant>
      <vt:variant>
        <vt:lpwstr>mailto:andrew.richardson2@wales.nhs.uk</vt:lpwstr>
      </vt:variant>
      <vt:variant>
        <vt:lpwstr/>
      </vt:variant>
      <vt:variant>
        <vt:i4>6750329</vt:i4>
      </vt:variant>
      <vt:variant>
        <vt:i4>9</vt:i4>
      </vt:variant>
      <vt:variant>
        <vt:i4>0</vt:i4>
      </vt:variant>
      <vt:variant>
        <vt:i4>5</vt:i4>
      </vt:variant>
      <vt:variant>
        <vt:lpwstr>http://howis.wales.nhs.uk/sitesplus/888/page/54689</vt:lpwstr>
      </vt:variant>
      <vt:variant>
        <vt:lpwstr/>
      </vt:variant>
      <vt:variant>
        <vt:i4>6357115</vt:i4>
      </vt:variant>
      <vt:variant>
        <vt:i4>6</vt:i4>
      </vt:variant>
      <vt:variant>
        <vt:i4>0</vt:i4>
      </vt:variant>
      <vt:variant>
        <vt:i4>5</vt:i4>
      </vt:variant>
      <vt:variant>
        <vt:lpwstr>http://nww2.nphs.wales.nhs.uk:8080/PHWPoliciesDocs.nsf/0/0bad5d2696564ecd80257e4300475508/$FILE/AW 09 - Procedure for NHS staff to raise concerns v1.1.pdf</vt:lpwstr>
      </vt:variant>
      <vt:variant>
        <vt:lpwstr/>
      </vt:variant>
      <vt:variant>
        <vt:i4>3866687</vt:i4>
      </vt:variant>
      <vt:variant>
        <vt:i4>3</vt:i4>
      </vt:variant>
      <vt:variant>
        <vt:i4>0</vt:i4>
      </vt:variant>
      <vt:variant>
        <vt:i4>5</vt:i4>
      </vt:variant>
      <vt:variant>
        <vt:lpwstr>http://nww2.nphs.wales.nhs.uk:8080/PHWPoliciesDocs.nsf/85c50756737f79ac80256f2700534ea3/0d47d5b236d09d11802578f00048b807/$FILE/PHW Counter Fraud Policy updated 6 2 15.docx</vt:lpwstr>
      </vt:variant>
      <vt:variant>
        <vt:lpwstr/>
      </vt:variant>
      <vt:variant>
        <vt:i4>262151</vt:i4>
      </vt:variant>
      <vt:variant>
        <vt:i4>0</vt:i4>
      </vt:variant>
      <vt:variant>
        <vt:i4>0</vt:i4>
      </vt:variant>
      <vt:variant>
        <vt:i4>5</vt:i4>
      </vt:variant>
      <vt:variant>
        <vt:lpwstr>http://nww2.nphs.wales.nhs.uk:8080/CorporateServicesDocuments.nsf/0/0d904d1859c4450280258068003e47bd/$FILE/Standing Orders v 4 November 2016.doc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corpmn02</dc:creator>
  <cp:lastModifiedBy>Liz Blayney (Public Health Wales - No. 2 Capital Quarter)</cp:lastModifiedBy>
  <cp:revision>16</cp:revision>
  <cp:lastPrinted>2019-09-16T11:14:00Z</cp:lastPrinted>
  <dcterms:created xsi:type="dcterms:W3CDTF">2020-10-14T16:37:00Z</dcterms:created>
  <dcterms:modified xsi:type="dcterms:W3CDTF">2021-03-12T15:51:00Z</dcterms:modified>
</cp:coreProperties>
</file>