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4"/>
        <w:tblW w:w="0" w:type="auto"/>
        <w:tblLook w:val="04A0" w:firstRow="1" w:lastRow="0" w:firstColumn="1" w:lastColumn="0" w:noHBand="0" w:noVBand="1"/>
      </w:tblPr>
      <w:tblGrid>
        <w:gridCol w:w="1848"/>
        <w:gridCol w:w="954"/>
        <w:gridCol w:w="894"/>
        <w:gridCol w:w="1506"/>
        <w:gridCol w:w="334"/>
        <w:gridCol w:w="1662"/>
        <w:gridCol w:w="1818"/>
      </w:tblGrid>
      <w:tr w:rsidR="00307318" w:rsidRPr="00AC7380" w:rsidTr="00D62B5A">
        <w:tc>
          <w:tcPr>
            <w:tcW w:w="5202" w:type="dxa"/>
            <w:gridSpan w:val="4"/>
            <w:vMerge w:val="restart"/>
          </w:tcPr>
          <w:p w:rsidR="00307318" w:rsidRPr="00AC7380" w:rsidRDefault="00307318" w:rsidP="00D62B5A">
            <w:r>
              <w:br w:type="page"/>
            </w:r>
            <w:r w:rsidRPr="00AC7380">
              <w:rPr>
                <w:b/>
                <w:noProof/>
                <w:lang w:eastAsia="en-GB"/>
              </w:rPr>
              <w:drawing>
                <wp:inline distT="0" distB="0" distL="0" distR="0" wp14:anchorId="27685CE6" wp14:editId="69C0A856">
                  <wp:extent cx="3122083" cy="734018"/>
                  <wp:effectExtent l="19050" t="0" r="2117" b="0"/>
                  <wp:docPr id="168" name="Picture 1" descr="Compressed Public Health Wal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ressed Public Health Wales logo"/>
                          <pic:cNvPicPr>
                            <a:picLocks noChangeAspect="1" noChangeArrowheads="1"/>
                          </pic:cNvPicPr>
                        </pic:nvPicPr>
                        <pic:blipFill>
                          <a:blip r:embed="rId7" cstate="print"/>
                          <a:srcRect/>
                          <a:stretch>
                            <a:fillRect/>
                          </a:stretch>
                        </pic:blipFill>
                        <pic:spPr bwMode="auto">
                          <a:xfrm>
                            <a:off x="0" y="0"/>
                            <a:ext cx="3125503" cy="734822"/>
                          </a:xfrm>
                          <a:prstGeom prst="rect">
                            <a:avLst/>
                          </a:prstGeom>
                          <a:noFill/>
                          <a:ln w="9525">
                            <a:noFill/>
                            <a:miter lim="800000"/>
                            <a:headEnd/>
                            <a:tailEnd/>
                          </a:ln>
                        </pic:spPr>
                      </pic:pic>
                    </a:graphicData>
                  </a:graphic>
                </wp:inline>
              </w:drawing>
            </w:r>
          </w:p>
        </w:tc>
        <w:tc>
          <w:tcPr>
            <w:tcW w:w="3814" w:type="dxa"/>
            <w:gridSpan w:val="3"/>
            <w:tcBorders>
              <w:bottom w:val="nil"/>
            </w:tcBorders>
          </w:tcPr>
          <w:p w:rsidR="00307318" w:rsidRPr="00AC7380" w:rsidRDefault="00307318" w:rsidP="00D62B5A">
            <w:pPr>
              <w:jc w:val="right"/>
              <w:rPr>
                <w:b/>
                <w:szCs w:val="24"/>
              </w:rPr>
            </w:pPr>
            <w:r w:rsidRPr="00AC7380">
              <w:rPr>
                <w:b/>
                <w:szCs w:val="24"/>
              </w:rPr>
              <w:t>Name of Meeting</w:t>
            </w:r>
          </w:p>
          <w:sdt>
            <w:sdtPr>
              <w:rPr>
                <w:b/>
                <w:szCs w:val="24"/>
              </w:rPr>
              <w:alias w:val="Name of meeting"/>
              <w:tag w:val="Name of meeting"/>
              <w:id w:val="1886526"/>
              <w:placeholder>
                <w:docPart w:val="5EDF0A1431EE40C7A449DF60C8C677B5"/>
              </w:placeholder>
              <w:dropDownList>
                <w:listItem w:value="Choose an item."/>
                <w:listItem w:displayText="Board" w:value="Board"/>
                <w:listItem w:displayText="Audit and Corporate Governance Committee" w:value="Audit and Corporate Governance Committee"/>
                <w:listItem w:displayText="People and Organisational Development Committee" w:value="People and Organisational Development Committee"/>
                <w:listItem w:displayText="Quality, Safety and Improvement Committee" w:value="Quality, Safety and Improvement Committee"/>
                <w:listItem w:displayText="Remuneration and Terms of Service Committee" w:value="Remuneration and Terms of Service Committee"/>
                <w:listItem w:displayText="Business Executive Team Meeting" w:value="Business Executive Team Meeting"/>
                <w:listItem w:displayText="Strategic Planning Executive Team" w:value="Strategic Planning Executive Team"/>
                <w:listItem w:displayText="Policy and Strategy Executive Team Meeting" w:value="Policy and Strategy Executive Team Meeting"/>
                <w:listItem w:displayText="Senior Leadership Team" w:value="Senior Leadership Team"/>
                <w:listItem w:displayText="Other (stated below)" w:value="Other (stated below)"/>
              </w:dropDownList>
            </w:sdtPr>
            <w:sdtEndPr/>
            <w:sdtContent>
              <w:p w:rsidR="00307318" w:rsidRPr="00AC7380" w:rsidRDefault="00307318" w:rsidP="00D62B5A">
                <w:pPr>
                  <w:jc w:val="right"/>
                  <w:rPr>
                    <w:b/>
                    <w:szCs w:val="24"/>
                  </w:rPr>
                </w:pPr>
                <w:r>
                  <w:rPr>
                    <w:b/>
                    <w:szCs w:val="24"/>
                  </w:rPr>
                  <w:t>Board</w:t>
                </w:r>
              </w:p>
            </w:sdtContent>
          </w:sdt>
        </w:tc>
      </w:tr>
      <w:tr w:rsidR="00307318" w:rsidRPr="00AC7380" w:rsidTr="00D62B5A">
        <w:tc>
          <w:tcPr>
            <w:tcW w:w="5202" w:type="dxa"/>
            <w:gridSpan w:val="4"/>
            <w:vMerge/>
          </w:tcPr>
          <w:p w:rsidR="00307318" w:rsidRPr="00AC7380" w:rsidRDefault="00307318" w:rsidP="00D62B5A">
            <w:pPr>
              <w:rPr>
                <w:b/>
                <w:noProof/>
                <w:lang w:eastAsia="en-GB"/>
              </w:rPr>
            </w:pPr>
          </w:p>
        </w:tc>
        <w:tc>
          <w:tcPr>
            <w:tcW w:w="3814" w:type="dxa"/>
            <w:gridSpan w:val="3"/>
            <w:tcBorders>
              <w:top w:val="nil"/>
              <w:bottom w:val="nil"/>
            </w:tcBorders>
          </w:tcPr>
          <w:p w:rsidR="00307318" w:rsidRPr="00AC7380" w:rsidRDefault="00307318" w:rsidP="00D62B5A">
            <w:pPr>
              <w:jc w:val="right"/>
              <w:rPr>
                <w:b/>
              </w:rPr>
            </w:pPr>
            <w:r w:rsidRPr="00AC7380">
              <w:rPr>
                <w:b/>
              </w:rPr>
              <w:t>Date of Meeting</w:t>
            </w:r>
          </w:p>
          <w:p w:rsidR="00307318" w:rsidRPr="00AC7380" w:rsidRDefault="00307318" w:rsidP="00D62B5A">
            <w:pPr>
              <w:jc w:val="right"/>
              <w:rPr>
                <w:color w:val="FF0000"/>
              </w:rPr>
            </w:pPr>
            <w:r>
              <w:t>25 March 2021</w:t>
            </w:r>
          </w:p>
        </w:tc>
      </w:tr>
      <w:tr w:rsidR="00307318" w:rsidRPr="00AC7380" w:rsidTr="00D62B5A">
        <w:tc>
          <w:tcPr>
            <w:tcW w:w="5202" w:type="dxa"/>
            <w:gridSpan w:val="4"/>
            <w:vMerge/>
            <w:tcBorders>
              <w:bottom w:val="single" w:sz="4" w:space="0" w:color="auto"/>
            </w:tcBorders>
          </w:tcPr>
          <w:p w:rsidR="00307318" w:rsidRPr="00AC7380" w:rsidRDefault="00307318" w:rsidP="00D62B5A">
            <w:pPr>
              <w:rPr>
                <w:b/>
                <w:noProof/>
                <w:lang w:eastAsia="en-GB"/>
              </w:rPr>
            </w:pPr>
          </w:p>
        </w:tc>
        <w:tc>
          <w:tcPr>
            <w:tcW w:w="3814" w:type="dxa"/>
            <w:gridSpan w:val="3"/>
            <w:tcBorders>
              <w:top w:val="nil"/>
              <w:bottom w:val="single" w:sz="4" w:space="0" w:color="auto"/>
            </w:tcBorders>
          </w:tcPr>
          <w:p w:rsidR="00307318" w:rsidRPr="00C330C4" w:rsidRDefault="00307318" w:rsidP="00D62B5A">
            <w:pPr>
              <w:jc w:val="right"/>
              <w:rPr>
                <w:b/>
              </w:rPr>
            </w:pPr>
            <w:r w:rsidRPr="00C330C4">
              <w:rPr>
                <w:b/>
              </w:rPr>
              <w:t>Agenda item:</w:t>
            </w:r>
          </w:p>
          <w:p w:rsidR="00307318" w:rsidRPr="001577BB" w:rsidRDefault="00321005" w:rsidP="00D62B5A">
            <w:pPr>
              <w:jc w:val="right"/>
              <w:rPr>
                <w:color w:val="FF0000"/>
              </w:rPr>
            </w:pPr>
            <w:r w:rsidRPr="00321005">
              <w:t>3.7.1</w:t>
            </w:r>
          </w:p>
        </w:tc>
      </w:tr>
      <w:tr w:rsidR="00307318" w:rsidRPr="00AC7380" w:rsidTr="00D62B5A">
        <w:tc>
          <w:tcPr>
            <w:tcW w:w="9016" w:type="dxa"/>
            <w:gridSpan w:val="7"/>
            <w:tcBorders>
              <w:left w:val="nil"/>
              <w:right w:val="nil"/>
            </w:tcBorders>
            <w:vAlign w:val="center"/>
          </w:tcPr>
          <w:p w:rsidR="00307318" w:rsidRPr="00AC7380" w:rsidRDefault="00307318" w:rsidP="00D62B5A">
            <w:pPr>
              <w:rPr>
                <w:b/>
                <w:sz w:val="28"/>
              </w:rPr>
            </w:pPr>
          </w:p>
        </w:tc>
      </w:tr>
      <w:tr w:rsidR="00307318" w:rsidRPr="00AC7380" w:rsidTr="00D62B5A">
        <w:tc>
          <w:tcPr>
            <w:tcW w:w="9016" w:type="dxa"/>
            <w:gridSpan w:val="7"/>
            <w:vAlign w:val="center"/>
          </w:tcPr>
          <w:p w:rsidR="00307318" w:rsidRPr="00AC7380" w:rsidRDefault="00307318" w:rsidP="00D62B5A">
            <w:pPr>
              <w:jc w:val="center"/>
              <w:rPr>
                <w:b/>
                <w:sz w:val="40"/>
                <w:szCs w:val="36"/>
              </w:rPr>
            </w:pPr>
            <w:r>
              <w:rPr>
                <w:b/>
                <w:sz w:val="40"/>
                <w:szCs w:val="36"/>
              </w:rPr>
              <w:t xml:space="preserve">Standards of Behaviour Policy and Declarations of Interest Procedure </w:t>
            </w:r>
          </w:p>
        </w:tc>
      </w:tr>
      <w:tr w:rsidR="00307318" w:rsidRPr="00210AF6" w:rsidTr="00D62B5A">
        <w:tc>
          <w:tcPr>
            <w:tcW w:w="2802" w:type="dxa"/>
            <w:gridSpan w:val="2"/>
          </w:tcPr>
          <w:p w:rsidR="00307318" w:rsidRPr="00210AF6" w:rsidRDefault="00307318" w:rsidP="00D62B5A">
            <w:pPr>
              <w:rPr>
                <w:b/>
                <w:szCs w:val="24"/>
              </w:rPr>
            </w:pPr>
            <w:r w:rsidRPr="00210AF6">
              <w:rPr>
                <w:b/>
                <w:szCs w:val="24"/>
              </w:rPr>
              <w:t>Executive lead:</w:t>
            </w:r>
          </w:p>
        </w:tc>
        <w:tc>
          <w:tcPr>
            <w:tcW w:w="6214" w:type="dxa"/>
            <w:gridSpan w:val="5"/>
          </w:tcPr>
          <w:p w:rsidR="00307318" w:rsidRPr="00210AF6" w:rsidRDefault="00307318" w:rsidP="00D62B5A">
            <w:pPr>
              <w:rPr>
                <w:rFonts w:eastAsia="Verdana"/>
                <w:szCs w:val="24"/>
              </w:rPr>
            </w:pPr>
            <w:r w:rsidRPr="00210AF6">
              <w:rPr>
                <w:rFonts w:eastAsia="Verdana"/>
                <w:szCs w:val="24"/>
              </w:rPr>
              <w:t>Helen Bushell, Board Secretary and Head of Board Business Unit</w:t>
            </w:r>
          </w:p>
        </w:tc>
      </w:tr>
      <w:tr w:rsidR="00307318" w:rsidRPr="00210AF6" w:rsidTr="00D62B5A">
        <w:tc>
          <w:tcPr>
            <w:tcW w:w="2802" w:type="dxa"/>
            <w:gridSpan w:val="2"/>
          </w:tcPr>
          <w:p w:rsidR="00307318" w:rsidRPr="00210AF6" w:rsidRDefault="00307318" w:rsidP="00D62B5A">
            <w:pPr>
              <w:rPr>
                <w:b/>
                <w:szCs w:val="24"/>
              </w:rPr>
            </w:pPr>
            <w:r w:rsidRPr="00210AF6">
              <w:rPr>
                <w:b/>
                <w:szCs w:val="24"/>
              </w:rPr>
              <w:t>Author:</w:t>
            </w:r>
          </w:p>
        </w:tc>
        <w:tc>
          <w:tcPr>
            <w:tcW w:w="6214" w:type="dxa"/>
            <w:gridSpan w:val="5"/>
          </w:tcPr>
          <w:p w:rsidR="00307318" w:rsidRPr="00210AF6" w:rsidRDefault="00307318" w:rsidP="00D62B5A">
            <w:pPr>
              <w:rPr>
                <w:rFonts w:eastAsia="Verdana"/>
                <w:szCs w:val="24"/>
              </w:rPr>
            </w:pPr>
            <w:r>
              <w:rPr>
                <w:rFonts w:eastAsia="Verdana"/>
                <w:szCs w:val="24"/>
              </w:rPr>
              <w:t xml:space="preserve">Liz Blayney, Deputy Board Secretary and Board Governance Manager </w:t>
            </w:r>
          </w:p>
        </w:tc>
      </w:tr>
      <w:tr w:rsidR="00307318" w:rsidRPr="00210AF6" w:rsidTr="00D62B5A">
        <w:trPr>
          <w:trHeight w:val="149"/>
        </w:trPr>
        <w:tc>
          <w:tcPr>
            <w:tcW w:w="2802" w:type="dxa"/>
            <w:gridSpan w:val="2"/>
            <w:tcBorders>
              <w:left w:val="nil"/>
              <w:right w:val="nil"/>
            </w:tcBorders>
          </w:tcPr>
          <w:p w:rsidR="00307318" w:rsidRPr="00210AF6" w:rsidRDefault="00307318" w:rsidP="00D62B5A">
            <w:pPr>
              <w:rPr>
                <w:b/>
                <w:szCs w:val="24"/>
              </w:rPr>
            </w:pPr>
          </w:p>
        </w:tc>
        <w:tc>
          <w:tcPr>
            <w:tcW w:w="6214" w:type="dxa"/>
            <w:gridSpan w:val="5"/>
            <w:tcBorders>
              <w:left w:val="nil"/>
              <w:right w:val="nil"/>
            </w:tcBorders>
          </w:tcPr>
          <w:p w:rsidR="00307318" w:rsidRPr="00210AF6" w:rsidRDefault="00307318" w:rsidP="00D62B5A">
            <w:pPr>
              <w:rPr>
                <w:szCs w:val="24"/>
              </w:rPr>
            </w:pPr>
          </w:p>
        </w:tc>
      </w:tr>
      <w:tr w:rsidR="00307318" w:rsidRPr="00210AF6" w:rsidTr="00D62B5A">
        <w:tc>
          <w:tcPr>
            <w:tcW w:w="2802" w:type="dxa"/>
            <w:gridSpan w:val="2"/>
          </w:tcPr>
          <w:p w:rsidR="00307318" w:rsidRPr="00210AF6" w:rsidRDefault="00307318" w:rsidP="00D62B5A">
            <w:pPr>
              <w:rPr>
                <w:b/>
                <w:szCs w:val="24"/>
              </w:rPr>
            </w:pPr>
            <w:r w:rsidRPr="00210AF6">
              <w:rPr>
                <w:b/>
                <w:szCs w:val="24"/>
              </w:rPr>
              <w:t>Approval/Scrutiny route:</w:t>
            </w:r>
          </w:p>
        </w:tc>
        <w:tc>
          <w:tcPr>
            <w:tcW w:w="6214" w:type="dxa"/>
            <w:gridSpan w:val="5"/>
          </w:tcPr>
          <w:p w:rsidR="00307318" w:rsidRDefault="00307318" w:rsidP="00D62B5A">
            <w:pPr>
              <w:rPr>
                <w:rFonts w:eastAsia="Verdana"/>
                <w:szCs w:val="24"/>
              </w:rPr>
            </w:pPr>
            <w:r w:rsidRPr="00210AF6">
              <w:rPr>
                <w:rFonts w:eastAsia="Verdana"/>
                <w:szCs w:val="24"/>
              </w:rPr>
              <w:t>Helen Bushell, Board Secretary and Head of Board Business Unit</w:t>
            </w:r>
          </w:p>
          <w:p w:rsidR="001243B4" w:rsidRDefault="001243B4" w:rsidP="00D62B5A">
            <w:pPr>
              <w:rPr>
                <w:rFonts w:eastAsia="Verdana"/>
                <w:szCs w:val="24"/>
              </w:rPr>
            </w:pPr>
          </w:p>
          <w:p w:rsidR="001243B4" w:rsidRPr="00210AF6" w:rsidRDefault="001243B4" w:rsidP="00D62B5A">
            <w:pPr>
              <w:rPr>
                <w:rFonts w:eastAsia="Verdana"/>
                <w:szCs w:val="24"/>
              </w:rPr>
            </w:pPr>
            <w:r>
              <w:rPr>
                <w:rFonts w:eastAsia="Verdana"/>
                <w:szCs w:val="24"/>
              </w:rPr>
              <w:t xml:space="preserve">Business Executive Team </w:t>
            </w:r>
            <w:r w:rsidR="00D13B28">
              <w:rPr>
                <w:rFonts w:eastAsia="Verdana"/>
                <w:szCs w:val="24"/>
              </w:rPr>
              <w:t>(w/c 15 March 2021)</w:t>
            </w:r>
          </w:p>
        </w:tc>
      </w:tr>
      <w:tr w:rsidR="00307318" w:rsidRPr="00210AF6" w:rsidTr="00D62B5A">
        <w:tc>
          <w:tcPr>
            <w:tcW w:w="9016" w:type="dxa"/>
            <w:gridSpan w:val="7"/>
            <w:tcBorders>
              <w:left w:val="nil"/>
              <w:bottom w:val="single" w:sz="4" w:space="0" w:color="auto"/>
              <w:right w:val="nil"/>
            </w:tcBorders>
          </w:tcPr>
          <w:p w:rsidR="00307318" w:rsidRPr="00210AF6" w:rsidRDefault="00307318" w:rsidP="00D62B5A">
            <w:pPr>
              <w:rPr>
                <w:b/>
                <w:szCs w:val="24"/>
              </w:rPr>
            </w:pPr>
          </w:p>
        </w:tc>
      </w:tr>
      <w:tr w:rsidR="00307318" w:rsidRPr="00210AF6" w:rsidTr="00D62B5A">
        <w:tc>
          <w:tcPr>
            <w:tcW w:w="9016" w:type="dxa"/>
            <w:gridSpan w:val="7"/>
            <w:tcBorders>
              <w:left w:val="single" w:sz="4" w:space="0" w:color="auto"/>
              <w:right w:val="single" w:sz="4" w:space="0" w:color="auto"/>
            </w:tcBorders>
          </w:tcPr>
          <w:p w:rsidR="00307318" w:rsidRPr="00210AF6" w:rsidRDefault="00307318" w:rsidP="00D62B5A">
            <w:pPr>
              <w:rPr>
                <w:b/>
                <w:szCs w:val="24"/>
              </w:rPr>
            </w:pPr>
            <w:r w:rsidRPr="00210AF6">
              <w:rPr>
                <w:b/>
                <w:szCs w:val="24"/>
              </w:rPr>
              <w:t>Purpose</w:t>
            </w:r>
          </w:p>
        </w:tc>
      </w:tr>
      <w:tr w:rsidR="00307318" w:rsidRPr="00210AF6" w:rsidTr="00D62B5A">
        <w:tc>
          <w:tcPr>
            <w:tcW w:w="9016" w:type="dxa"/>
            <w:gridSpan w:val="7"/>
            <w:tcBorders>
              <w:left w:val="single" w:sz="4" w:space="0" w:color="auto"/>
              <w:right w:val="single" w:sz="4" w:space="0" w:color="auto"/>
            </w:tcBorders>
          </w:tcPr>
          <w:p w:rsidR="00307318" w:rsidRPr="00307318" w:rsidRDefault="00307318" w:rsidP="00D62B5A">
            <w:pPr>
              <w:pStyle w:val="Default"/>
              <w:rPr>
                <w:rFonts w:ascii="Verdana" w:eastAsia="Verdana" w:hAnsi="Verdana" w:cstheme="minorBidi"/>
                <w:color w:val="auto"/>
              </w:rPr>
            </w:pPr>
            <w:r w:rsidRPr="00307318">
              <w:rPr>
                <w:rFonts w:ascii="Verdana" w:eastAsia="Verdana" w:hAnsi="Verdana" w:cstheme="minorBidi"/>
                <w:color w:val="auto"/>
              </w:rPr>
              <w:t xml:space="preserve">To present the Board </w:t>
            </w:r>
            <w:r w:rsidR="001243B4">
              <w:rPr>
                <w:rFonts w:ascii="Verdana" w:eastAsia="Verdana" w:hAnsi="Verdana" w:cstheme="minorBidi"/>
                <w:color w:val="auto"/>
              </w:rPr>
              <w:t xml:space="preserve">with the </w:t>
            </w:r>
            <w:r w:rsidRPr="00307318">
              <w:rPr>
                <w:rFonts w:ascii="Verdana" w:eastAsia="Verdana" w:hAnsi="Verdana" w:cstheme="minorBidi"/>
                <w:color w:val="auto"/>
              </w:rPr>
              <w:t>revised Standards of Behaviour Policy (previously the Declarations of Interest Policy) and Declarations of Interest, Gifts, Hospitality, Honoraria and Sponsorship Procedure for approval</w:t>
            </w:r>
            <w:r>
              <w:rPr>
                <w:rFonts w:ascii="Verdana" w:eastAsia="Verdana" w:hAnsi="Verdana" w:cstheme="minorBidi"/>
                <w:color w:val="auto"/>
              </w:rPr>
              <w:t>.</w:t>
            </w:r>
            <w:r w:rsidRPr="00307318">
              <w:rPr>
                <w:rFonts w:ascii="Verdana" w:eastAsia="Verdana" w:hAnsi="Verdana" w:cstheme="minorBidi"/>
                <w:color w:val="auto"/>
              </w:rPr>
              <w:t xml:space="preserve"> </w:t>
            </w:r>
          </w:p>
          <w:p w:rsidR="00307318" w:rsidRPr="00001919" w:rsidRDefault="00307318" w:rsidP="00D62B5A">
            <w:pPr>
              <w:pStyle w:val="Default"/>
            </w:pPr>
          </w:p>
        </w:tc>
      </w:tr>
      <w:tr w:rsidR="00307318" w:rsidRPr="00210AF6" w:rsidTr="00D62B5A">
        <w:tc>
          <w:tcPr>
            <w:tcW w:w="9016" w:type="dxa"/>
            <w:gridSpan w:val="7"/>
            <w:tcBorders>
              <w:left w:val="nil"/>
              <w:right w:val="nil"/>
            </w:tcBorders>
          </w:tcPr>
          <w:p w:rsidR="00307318" w:rsidRPr="00210AF6" w:rsidRDefault="00307318" w:rsidP="00D62B5A">
            <w:pPr>
              <w:rPr>
                <w:b/>
                <w:szCs w:val="24"/>
              </w:rPr>
            </w:pPr>
          </w:p>
        </w:tc>
      </w:tr>
      <w:tr w:rsidR="00307318" w:rsidRPr="00210AF6" w:rsidTr="00D62B5A">
        <w:tc>
          <w:tcPr>
            <w:tcW w:w="9016" w:type="dxa"/>
            <w:gridSpan w:val="7"/>
          </w:tcPr>
          <w:p w:rsidR="00307318" w:rsidRPr="00210AF6" w:rsidRDefault="00307318" w:rsidP="00D62B5A">
            <w:pPr>
              <w:rPr>
                <w:b/>
                <w:szCs w:val="24"/>
              </w:rPr>
            </w:pPr>
            <w:r w:rsidRPr="00210AF6">
              <w:rPr>
                <w:b/>
                <w:szCs w:val="24"/>
              </w:rPr>
              <w:t>Recommendation:</w:t>
            </w:r>
          </w:p>
        </w:tc>
      </w:tr>
      <w:tr w:rsidR="00307318" w:rsidRPr="00210AF6" w:rsidTr="00D62B5A">
        <w:tc>
          <w:tcPr>
            <w:tcW w:w="1848" w:type="dxa"/>
            <w:tcBorders>
              <w:bottom w:val="single" w:sz="4" w:space="0" w:color="auto"/>
            </w:tcBorders>
          </w:tcPr>
          <w:p w:rsidR="00307318" w:rsidRPr="00210AF6" w:rsidRDefault="00307318" w:rsidP="00D62B5A">
            <w:pPr>
              <w:jc w:val="center"/>
              <w:rPr>
                <w:szCs w:val="24"/>
              </w:rPr>
            </w:pPr>
            <w:r w:rsidRPr="00210AF6">
              <w:rPr>
                <w:szCs w:val="24"/>
              </w:rPr>
              <w:t>APPROVE</w:t>
            </w:r>
          </w:p>
          <w:p w:rsidR="00307318" w:rsidRPr="00210AF6" w:rsidRDefault="00307318" w:rsidP="00D62B5A">
            <w:pPr>
              <w:jc w:val="center"/>
              <w:rPr>
                <w:szCs w:val="24"/>
              </w:rPr>
            </w:pPr>
            <w:r>
              <w:rPr>
                <w:szCs w:val="24"/>
              </w:rPr>
              <w:fldChar w:fldCharType="begin">
                <w:ffData>
                  <w:name w:val="Check1"/>
                  <w:enabled/>
                  <w:calcOnExit w:val="0"/>
                  <w:checkBox>
                    <w:sizeAuto/>
                    <w:default w:val="1"/>
                  </w:checkBox>
                </w:ffData>
              </w:fldChar>
            </w:r>
            <w:bookmarkStart w:id="0" w:name="Check1"/>
            <w:r>
              <w:rPr>
                <w:szCs w:val="24"/>
              </w:rPr>
              <w:instrText xml:space="preserve"> FORMCHECKBOX </w:instrText>
            </w:r>
            <w:r w:rsidR="00D13B28">
              <w:rPr>
                <w:szCs w:val="24"/>
              </w:rPr>
            </w:r>
            <w:r w:rsidR="00D13B28">
              <w:rPr>
                <w:szCs w:val="24"/>
              </w:rPr>
              <w:fldChar w:fldCharType="separate"/>
            </w:r>
            <w:r>
              <w:rPr>
                <w:szCs w:val="24"/>
              </w:rPr>
              <w:fldChar w:fldCharType="end"/>
            </w:r>
            <w:bookmarkEnd w:id="0"/>
          </w:p>
        </w:tc>
        <w:tc>
          <w:tcPr>
            <w:tcW w:w="1848" w:type="dxa"/>
            <w:gridSpan w:val="2"/>
            <w:tcBorders>
              <w:bottom w:val="single" w:sz="4" w:space="0" w:color="auto"/>
            </w:tcBorders>
          </w:tcPr>
          <w:p w:rsidR="00307318" w:rsidRPr="00210AF6" w:rsidRDefault="00307318" w:rsidP="00D62B5A">
            <w:pPr>
              <w:jc w:val="center"/>
              <w:rPr>
                <w:szCs w:val="24"/>
              </w:rPr>
            </w:pPr>
            <w:r w:rsidRPr="00210AF6">
              <w:rPr>
                <w:szCs w:val="24"/>
              </w:rPr>
              <w:t>CONSIDER</w:t>
            </w:r>
          </w:p>
          <w:p w:rsidR="00307318" w:rsidRPr="00210AF6" w:rsidRDefault="00307318" w:rsidP="00D62B5A">
            <w:pPr>
              <w:jc w:val="center"/>
              <w:rPr>
                <w:szCs w:val="24"/>
              </w:rPr>
            </w:pPr>
            <w:r w:rsidRPr="00210AF6">
              <w:rPr>
                <w:szCs w:val="24"/>
              </w:rPr>
              <w:fldChar w:fldCharType="begin">
                <w:ffData>
                  <w:name w:val="Check2"/>
                  <w:enabled/>
                  <w:calcOnExit w:val="0"/>
                  <w:checkBox>
                    <w:sizeAuto/>
                    <w:default w:val="0"/>
                  </w:checkBox>
                </w:ffData>
              </w:fldChar>
            </w:r>
            <w:bookmarkStart w:id="1" w:name="Check2"/>
            <w:r w:rsidRPr="00210AF6">
              <w:rPr>
                <w:szCs w:val="24"/>
              </w:rPr>
              <w:instrText xml:space="preserve"> FORMCHECKBOX </w:instrText>
            </w:r>
            <w:r w:rsidR="00D13B28">
              <w:rPr>
                <w:szCs w:val="24"/>
              </w:rPr>
            </w:r>
            <w:r w:rsidR="00D13B28">
              <w:rPr>
                <w:szCs w:val="24"/>
              </w:rPr>
              <w:fldChar w:fldCharType="separate"/>
            </w:r>
            <w:r w:rsidRPr="00210AF6">
              <w:rPr>
                <w:szCs w:val="24"/>
              </w:rPr>
              <w:fldChar w:fldCharType="end"/>
            </w:r>
            <w:bookmarkEnd w:id="1"/>
          </w:p>
        </w:tc>
        <w:tc>
          <w:tcPr>
            <w:tcW w:w="1840" w:type="dxa"/>
            <w:gridSpan w:val="2"/>
            <w:tcBorders>
              <w:bottom w:val="single" w:sz="4" w:space="0" w:color="auto"/>
            </w:tcBorders>
          </w:tcPr>
          <w:p w:rsidR="00307318" w:rsidRPr="00210AF6" w:rsidRDefault="00307318" w:rsidP="00D62B5A">
            <w:pPr>
              <w:jc w:val="center"/>
              <w:rPr>
                <w:szCs w:val="24"/>
              </w:rPr>
            </w:pPr>
            <w:r w:rsidRPr="00210AF6">
              <w:rPr>
                <w:szCs w:val="24"/>
              </w:rPr>
              <w:t>RECOMMEND</w:t>
            </w:r>
          </w:p>
          <w:p w:rsidR="00307318" w:rsidRPr="00210AF6" w:rsidRDefault="00307318" w:rsidP="00D62B5A">
            <w:pPr>
              <w:jc w:val="center"/>
              <w:rPr>
                <w:szCs w:val="24"/>
              </w:rPr>
            </w:pPr>
            <w:r>
              <w:rPr>
                <w:szCs w:val="24"/>
              </w:rPr>
              <w:fldChar w:fldCharType="begin">
                <w:ffData>
                  <w:name w:val="Check3"/>
                  <w:enabled/>
                  <w:calcOnExit w:val="0"/>
                  <w:checkBox>
                    <w:sizeAuto/>
                    <w:default w:val="0"/>
                  </w:checkBox>
                </w:ffData>
              </w:fldChar>
            </w:r>
            <w:bookmarkStart w:id="2" w:name="Check3"/>
            <w:r>
              <w:rPr>
                <w:szCs w:val="24"/>
              </w:rPr>
              <w:instrText xml:space="preserve"> FORMCHECKBOX </w:instrText>
            </w:r>
            <w:r w:rsidR="00D13B28">
              <w:rPr>
                <w:szCs w:val="24"/>
              </w:rPr>
            </w:r>
            <w:r w:rsidR="00D13B28">
              <w:rPr>
                <w:szCs w:val="24"/>
              </w:rPr>
              <w:fldChar w:fldCharType="separate"/>
            </w:r>
            <w:r>
              <w:rPr>
                <w:szCs w:val="24"/>
              </w:rPr>
              <w:fldChar w:fldCharType="end"/>
            </w:r>
            <w:bookmarkEnd w:id="2"/>
          </w:p>
        </w:tc>
        <w:tc>
          <w:tcPr>
            <w:tcW w:w="1662" w:type="dxa"/>
            <w:tcBorders>
              <w:bottom w:val="single" w:sz="4" w:space="0" w:color="auto"/>
            </w:tcBorders>
          </w:tcPr>
          <w:p w:rsidR="00307318" w:rsidRPr="00210AF6" w:rsidRDefault="00307318" w:rsidP="00D62B5A">
            <w:pPr>
              <w:jc w:val="center"/>
              <w:rPr>
                <w:szCs w:val="24"/>
              </w:rPr>
            </w:pPr>
            <w:r w:rsidRPr="00210AF6">
              <w:rPr>
                <w:szCs w:val="24"/>
              </w:rPr>
              <w:t>ADOPT</w:t>
            </w:r>
          </w:p>
          <w:p w:rsidR="00307318" w:rsidRPr="00210AF6" w:rsidRDefault="00307318" w:rsidP="00D62B5A">
            <w:pPr>
              <w:jc w:val="center"/>
              <w:rPr>
                <w:szCs w:val="24"/>
              </w:rPr>
            </w:pPr>
            <w:r w:rsidRPr="00210AF6">
              <w:rPr>
                <w:szCs w:val="24"/>
              </w:rPr>
              <w:fldChar w:fldCharType="begin">
                <w:ffData>
                  <w:name w:val="Check4"/>
                  <w:enabled/>
                  <w:calcOnExit w:val="0"/>
                  <w:checkBox>
                    <w:sizeAuto/>
                    <w:default w:val="0"/>
                  </w:checkBox>
                </w:ffData>
              </w:fldChar>
            </w:r>
            <w:bookmarkStart w:id="3" w:name="Check4"/>
            <w:r w:rsidRPr="00210AF6">
              <w:rPr>
                <w:szCs w:val="24"/>
              </w:rPr>
              <w:instrText xml:space="preserve"> FORMCHECKBOX </w:instrText>
            </w:r>
            <w:r w:rsidR="00D13B28">
              <w:rPr>
                <w:szCs w:val="24"/>
              </w:rPr>
            </w:r>
            <w:r w:rsidR="00D13B28">
              <w:rPr>
                <w:szCs w:val="24"/>
              </w:rPr>
              <w:fldChar w:fldCharType="separate"/>
            </w:r>
            <w:r w:rsidRPr="00210AF6">
              <w:rPr>
                <w:szCs w:val="24"/>
              </w:rPr>
              <w:fldChar w:fldCharType="end"/>
            </w:r>
            <w:bookmarkEnd w:id="3"/>
          </w:p>
        </w:tc>
        <w:tc>
          <w:tcPr>
            <w:tcW w:w="1818" w:type="dxa"/>
            <w:tcBorders>
              <w:bottom w:val="single" w:sz="4" w:space="0" w:color="auto"/>
            </w:tcBorders>
          </w:tcPr>
          <w:p w:rsidR="00307318" w:rsidRPr="00210AF6" w:rsidRDefault="00307318" w:rsidP="00D62B5A">
            <w:pPr>
              <w:jc w:val="center"/>
              <w:rPr>
                <w:szCs w:val="24"/>
              </w:rPr>
            </w:pPr>
            <w:r w:rsidRPr="00210AF6">
              <w:rPr>
                <w:szCs w:val="24"/>
              </w:rPr>
              <w:t>ASSURANCE</w:t>
            </w:r>
          </w:p>
          <w:p w:rsidR="00307318" w:rsidRPr="00210AF6" w:rsidRDefault="00307318" w:rsidP="00D62B5A">
            <w:pPr>
              <w:jc w:val="center"/>
              <w:rPr>
                <w:szCs w:val="24"/>
              </w:rPr>
            </w:pPr>
            <w:r w:rsidRPr="00210AF6">
              <w:rPr>
                <w:szCs w:val="24"/>
              </w:rPr>
              <w:fldChar w:fldCharType="begin">
                <w:ffData>
                  <w:name w:val="Check5"/>
                  <w:enabled/>
                  <w:calcOnExit w:val="0"/>
                  <w:checkBox>
                    <w:sizeAuto/>
                    <w:default w:val="0"/>
                  </w:checkBox>
                </w:ffData>
              </w:fldChar>
            </w:r>
            <w:bookmarkStart w:id="4" w:name="Check5"/>
            <w:r w:rsidRPr="00210AF6">
              <w:rPr>
                <w:szCs w:val="24"/>
              </w:rPr>
              <w:instrText xml:space="preserve"> FORMCHECKBOX </w:instrText>
            </w:r>
            <w:r w:rsidR="00D13B28">
              <w:rPr>
                <w:szCs w:val="24"/>
              </w:rPr>
            </w:r>
            <w:r w:rsidR="00D13B28">
              <w:rPr>
                <w:szCs w:val="24"/>
              </w:rPr>
              <w:fldChar w:fldCharType="separate"/>
            </w:r>
            <w:r w:rsidRPr="00210AF6">
              <w:rPr>
                <w:szCs w:val="24"/>
              </w:rPr>
              <w:fldChar w:fldCharType="end"/>
            </w:r>
            <w:bookmarkEnd w:id="4"/>
          </w:p>
        </w:tc>
      </w:tr>
      <w:tr w:rsidR="00307318" w:rsidRPr="00210AF6" w:rsidTr="00D62B5A">
        <w:tc>
          <w:tcPr>
            <w:tcW w:w="9016" w:type="dxa"/>
            <w:gridSpan w:val="7"/>
            <w:tcBorders>
              <w:bottom w:val="single" w:sz="4" w:space="0" w:color="auto"/>
            </w:tcBorders>
          </w:tcPr>
          <w:p w:rsidR="00307318" w:rsidRPr="00DB6EE5" w:rsidRDefault="001243B4" w:rsidP="00D62B5A">
            <w:pPr>
              <w:rPr>
                <w:rFonts w:eastAsia="Times New Roman"/>
                <w:szCs w:val="24"/>
              </w:rPr>
            </w:pPr>
            <w:r>
              <w:rPr>
                <w:rFonts w:eastAsia="Times New Roman"/>
                <w:szCs w:val="24"/>
              </w:rPr>
              <w:t>The Board</w:t>
            </w:r>
            <w:r w:rsidR="00307318" w:rsidRPr="00DB6EE5">
              <w:rPr>
                <w:rFonts w:eastAsia="Times New Roman"/>
                <w:szCs w:val="24"/>
              </w:rPr>
              <w:t xml:space="preserve"> is asked to:</w:t>
            </w:r>
          </w:p>
          <w:p w:rsidR="00307318" w:rsidRPr="00DB6EE5" w:rsidRDefault="00307318" w:rsidP="00D62B5A">
            <w:pPr>
              <w:rPr>
                <w:rFonts w:eastAsia="Times New Roman"/>
                <w:szCs w:val="24"/>
              </w:rPr>
            </w:pPr>
          </w:p>
          <w:p w:rsidR="00307318" w:rsidRPr="00DB6EE5" w:rsidRDefault="00307318" w:rsidP="00307318">
            <w:pPr>
              <w:pStyle w:val="ListParagraph"/>
              <w:numPr>
                <w:ilvl w:val="0"/>
                <w:numId w:val="15"/>
              </w:numPr>
              <w:rPr>
                <w:rFonts w:eastAsia="Times New Roman"/>
              </w:rPr>
            </w:pPr>
            <w:r w:rsidRPr="00DB6EE5">
              <w:rPr>
                <w:rFonts w:eastAsia="Times New Roman"/>
                <w:b/>
              </w:rPr>
              <w:t>Consider</w:t>
            </w:r>
            <w:r>
              <w:rPr>
                <w:rFonts w:eastAsia="Times New Roman"/>
              </w:rPr>
              <w:t xml:space="preserve"> and </w:t>
            </w:r>
            <w:r w:rsidRPr="00307318">
              <w:rPr>
                <w:rFonts w:eastAsia="Times New Roman"/>
                <w:b/>
              </w:rPr>
              <w:t>approve</w:t>
            </w:r>
            <w:r>
              <w:rPr>
                <w:rFonts w:eastAsia="Times New Roman"/>
              </w:rPr>
              <w:t xml:space="preserve"> the proposed revised version of the </w:t>
            </w:r>
            <w:r>
              <w:t>Standards of Behaviour Policy (previously the Declarations of Interest Policy) and the Declarations of Interest, Gifts, Hospitality, Honoraria and Sponsorship Procedure</w:t>
            </w:r>
            <w:r>
              <w:rPr>
                <w:rFonts w:eastAsia="Times New Roman"/>
              </w:rPr>
              <w:t>.</w:t>
            </w:r>
          </w:p>
          <w:p w:rsidR="00307318" w:rsidRPr="00307318" w:rsidRDefault="00307318" w:rsidP="00307318">
            <w:pPr>
              <w:rPr>
                <w:rFonts w:eastAsia="Times New Roman"/>
              </w:rPr>
            </w:pPr>
          </w:p>
        </w:tc>
      </w:tr>
    </w:tbl>
    <w:p w:rsidR="00307318" w:rsidRPr="00210AF6" w:rsidRDefault="00307318" w:rsidP="00307318">
      <w:pPr>
        <w:rPr>
          <w:szCs w:val="24"/>
        </w:rPr>
        <w:sectPr w:rsidR="00307318" w:rsidRPr="00210AF6" w:rsidSect="008F2049">
          <w:footerReference w:type="default" r:id="rId8"/>
          <w:pgSz w:w="11906" w:h="16838"/>
          <w:pgMar w:top="1440" w:right="1440" w:bottom="1440" w:left="1440" w:header="708" w:footer="708" w:gutter="0"/>
          <w:cols w:space="708"/>
          <w:docGrid w:linePitch="360"/>
        </w:sectPr>
      </w:pPr>
    </w:p>
    <w:p w:rsidR="00CB085E" w:rsidRDefault="002E5BF9" w:rsidP="002E5BF9">
      <w:pPr>
        <w:pStyle w:val="PHWHeading"/>
        <w:tabs>
          <w:tab w:val="left" w:pos="1701"/>
        </w:tabs>
      </w:pPr>
      <w:r>
        <w:lastRenderedPageBreak/>
        <w:t>Section 1:</w:t>
      </w:r>
      <w:r>
        <w:tab/>
      </w:r>
      <w:r w:rsidR="00CB085E" w:rsidRPr="00F26839">
        <w:t>Policy / Procedure Information</w:t>
      </w:r>
    </w:p>
    <w:tbl>
      <w:tblPr>
        <w:tblStyle w:val="TableGrid"/>
        <w:tblW w:w="0" w:type="auto"/>
        <w:tblLook w:val="04A0" w:firstRow="1" w:lastRow="0" w:firstColumn="1" w:lastColumn="0" w:noHBand="0" w:noVBand="1"/>
      </w:tblPr>
      <w:tblGrid>
        <w:gridCol w:w="2972"/>
        <w:gridCol w:w="6044"/>
      </w:tblGrid>
      <w:tr w:rsidR="008D100E" w:rsidTr="008D100E">
        <w:tc>
          <w:tcPr>
            <w:tcW w:w="2972" w:type="dxa"/>
            <w:vMerge w:val="restart"/>
            <w:shd w:val="clear" w:color="auto" w:fill="DEEAF6" w:themeFill="accent1" w:themeFillTint="33"/>
            <w:vAlign w:val="center"/>
          </w:tcPr>
          <w:p w:rsidR="008D100E" w:rsidRPr="00C6535A" w:rsidRDefault="008D100E" w:rsidP="00043A12">
            <w:pPr>
              <w:spacing w:before="120" w:after="120"/>
              <w:rPr>
                <w:b/>
              </w:rPr>
            </w:pPr>
            <w:r w:rsidRPr="00C6535A">
              <w:rPr>
                <w:b/>
              </w:rPr>
              <w:t>Title</w:t>
            </w:r>
          </w:p>
        </w:tc>
        <w:tc>
          <w:tcPr>
            <w:tcW w:w="6044" w:type="dxa"/>
            <w:vAlign w:val="center"/>
          </w:tcPr>
          <w:p w:rsidR="008D100E" w:rsidRPr="008D100E" w:rsidRDefault="008D100E" w:rsidP="008D100E">
            <w:pPr>
              <w:rPr>
                <w:b/>
              </w:rPr>
            </w:pPr>
            <w:r w:rsidRPr="008D100E">
              <w:rPr>
                <w:b/>
              </w:rPr>
              <w:t>PHW05</w:t>
            </w:r>
            <w:r w:rsidR="00307318">
              <w:rPr>
                <w:b/>
              </w:rPr>
              <w:t xml:space="preserve"> (Attachment 1)</w:t>
            </w:r>
          </w:p>
          <w:p w:rsidR="008D100E" w:rsidRDefault="008D100E" w:rsidP="008D100E">
            <w:pPr>
              <w:jc w:val="both"/>
            </w:pPr>
            <w:r>
              <w:t xml:space="preserve">Standards of Behaviour Policy (previously the Declarations of Interest Policy) </w:t>
            </w:r>
          </w:p>
        </w:tc>
      </w:tr>
      <w:tr w:rsidR="008D100E" w:rsidTr="008D100E">
        <w:tc>
          <w:tcPr>
            <w:tcW w:w="2972" w:type="dxa"/>
            <w:vMerge/>
            <w:shd w:val="clear" w:color="auto" w:fill="DEEAF6" w:themeFill="accent1" w:themeFillTint="33"/>
            <w:vAlign w:val="center"/>
          </w:tcPr>
          <w:p w:rsidR="008D100E" w:rsidRPr="00C6535A" w:rsidRDefault="008D100E" w:rsidP="00043A12">
            <w:pPr>
              <w:spacing w:before="120" w:after="120"/>
              <w:rPr>
                <w:b/>
              </w:rPr>
            </w:pPr>
          </w:p>
        </w:tc>
        <w:tc>
          <w:tcPr>
            <w:tcW w:w="6044" w:type="dxa"/>
            <w:vAlign w:val="center"/>
          </w:tcPr>
          <w:p w:rsidR="008D100E" w:rsidRPr="008D100E" w:rsidRDefault="008D100E" w:rsidP="008D100E">
            <w:pPr>
              <w:jc w:val="both"/>
              <w:rPr>
                <w:b/>
              </w:rPr>
            </w:pPr>
            <w:r w:rsidRPr="008D100E">
              <w:rPr>
                <w:b/>
              </w:rPr>
              <w:t>PHW05-TP01</w:t>
            </w:r>
            <w:r w:rsidR="00307318">
              <w:rPr>
                <w:b/>
              </w:rPr>
              <w:t xml:space="preserve"> (Attachment 2)</w:t>
            </w:r>
          </w:p>
          <w:p w:rsidR="008D100E" w:rsidRPr="008D100E" w:rsidRDefault="008D100E" w:rsidP="008D100E">
            <w:pPr>
              <w:rPr>
                <w:b/>
              </w:rPr>
            </w:pPr>
            <w:r>
              <w:t>Declarations of Interest, Gifts, Hospitality, Honoraria and Sponsorship Procedure</w:t>
            </w:r>
          </w:p>
        </w:tc>
      </w:tr>
      <w:tr w:rsidR="00CB085E" w:rsidTr="008D100E">
        <w:tc>
          <w:tcPr>
            <w:tcW w:w="2972" w:type="dxa"/>
            <w:shd w:val="clear" w:color="auto" w:fill="DEEAF6" w:themeFill="accent1" w:themeFillTint="33"/>
            <w:vAlign w:val="center"/>
          </w:tcPr>
          <w:p w:rsidR="00CB085E" w:rsidRPr="00C6535A" w:rsidRDefault="00827DB0" w:rsidP="00043A12">
            <w:pPr>
              <w:spacing w:before="120" w:after="120"/>
              <w:rPr>
                <w:b/>
              </w:rPr>
            </w:pPr>
            <w:r>
              <w:rPr>
                <w:b/>
              </w:rPr>
              <w:t xml:space="preserve">Policy Lead </w:t>
            </w:r>
          </w:p>
        </w:tc>
        <w:tc>
          <w:tcPr>
            <w:tcW w:w="6044" w:type="dxa"/>
            <w:vAlign w:val="center"/>
          </w:tcPr>
          <w:p w:rsidR="00CB085E" w:rsidRDefault="00827DB0" w:rsidP="00043A12">
            <w:r>
              <w:t xml:space="preserve">Liz Blayney, Deputy Board Secretary and Board Governance Manager </w:t>
            </w:r>
          </w:p>
        </w:tc>
      </w:tr>
      <w:tr w:rsidR="00CB085E" w:rsidTr="008D100E">
        <w:tc>
          <w:tcPr>
            <w:tcW w:w="2972" w:type="dxa"/>
            <w:shd w:val="clear" w:color="auto" w:fill="DEEAF6" w:themeFill="accent1" w:themeFillTint="33"/>
            <w:vAlign w:val="center"/>
          </w:tcPr>
          <w:p w:rsidR="00CB085E" w:rsidRPr="00C6535A" w:rsidRDefault="00CB085E" w:rsidP="00043A12">
            <w:pPr>
              <w:spacing w:before="120" w:after="120"/>
              <w:rPr>
                <w:b/>
              </w:rPr>
            </w:pPr>
            <w:r w:rsidRPr="00C6535A">
              <w:rPr>
                <w:b/>
              </w:rPr>
              <w:t xml:space="preserve">Executive </w:t>
            </w:r>
            <w:r w:rsidR="00827DB0" w:rsidRPr="00C6535A">
              <w:rPr>
                <w:b/>
              </w:rPr>
              <w:t>Lead</w:t>
            </w:r>
          </w:p>
        </w:tc>
        <w:tc>
          <w:tcPr>
            <w:tcW w:w="6044" w:type="dxa"/>
            <w:vAlign w:val="center"/>
          </w:tcPr>
          <w:p w:rsidR="00CB085E" w:rsidRDefault="00827DB0" w:rsidP="00043A12">
            <w:r>
              <w:t>Helen Bushell, Board Secretary and Head of Board Business Unit</w:t>
            </w:r>
          </w:p>
        </w:tc>
      </w:tr>
      <w:tr w:rsidR="00CB085E" w:rsidTr="008D100E">
        <w:tc>
          <w:tcPr>
            <w:tcW w:w="2972" w:type="dxa"/>
            <w:shd w:val="clear" w:color="auto" w:fill="DEEAF6" w:themeFill="accent1" w:themeFillTint="33"/>
            <w:vAlign w:val="center"/>
          </w:tcPr>
          <w:p w:rsidR="00CB085E" w:rsidRPr="00C6535A" w:rsidRDefault="00CB085E" w:rsidP="00043A12">
            <w:pPr>
              <w:spacing w:before="120" w:after="120"/>
              <w:rPr>
                <w:b/>
              </w:rPr>
            </w:pPr>
            <w:r w:rsidRPr="00C6535A">
              <w:rPr>
                <w:b/>
              </w:rPr>
              <w:t>Version Number</w:t>
            </w:r>
          </w:p>
        </w:tc>
        <w:tc>
          <w:tcPr>
            <w:tcW w:w="6044" w:type="dxa"/>
            <w:vAlign w:val="center"/>
          </w:tcPr>
          <w:p w:rsidR="00CB085E" w:rsidRPr="00964FD6" w:rsidRDefault="00964FD6" w:rsidP="00964FD6">
            <w:r w:rsidRPr="00964FD6">
              <w:t xml:space="preserve">PHW05 </w:t>
            </w:r>
            <w:r w:rsidR="008D100E">
              <w:t>–</w:t>
            </w:r>
            <w:r w:rsidRPr="00964FD6">
              <w:t xml:space="preserve"> </w:t>
            </w:r>
            <w:r w:rsidR="008D100E">
              <w:t xml:space="preserve">Version </w:t>
            </w:r>
            <w:r w:rsidR="00827DB0" w:rsidRPr="00964FD6">
              <w:t xml:space="preserve">1 </w:t>
            </w:r>
          </w:p>
          <w:p w:rsidR="00964FD6" w:rsidRPr="00964FD6" w:rsidRDefault="00964FD6" w:rsidP="00964FD6">
            <w:pPr>
              <w:rPr>
                <w:b/>
              </w:rPr>
            </w:pPr>
            <w:r w:rsidRPr="00964FD6">
              <w:t xml:space="preserve">PHW05-TP01 </w:t>
            </w:r>
            <w:r w:rsidR="008D100E">
              <w:t xml:space="preserve">– Version </w:t>
            </w:r>
            <w:r w:rsidRPr="00964FD6">
              <w:t>2</w:t>
            </w:r>
          </w:p>
        </w:tc>
      </w:tr>
      <w:tr w:rsidR="00CB085E" w:rsidTr="008D100E">
        <w:tc>
          <w:tcPr>
            <w:tcW w:w="2972" w:type="dxa"/>
            <w:shd w:val="clear" w:color="auto" w:fill="DEEAF6" w:themeFill="accent1" w:themeFillTint="33"/>
            <w:vAlign w:val="center"/>
          </w:tcPr>
          <w:p w:rsidR="00CB085E" w:rsidRPr="00C6535A" w:rsidRDefault="00CB085E" w:rsidP="00043A12">
            <w:pPr>
              <w:spacing w:before="120" w:after="120"/>
              <w:rPr>
                <w:b/>
              </w:rPr>
            </w:pPr>
            <w:r>
              <w:rPr>
                <w:b/>
              </w:rPr>
              <w:t xml:space="preserve">Approving Body </w:t>
            </w:r>
          </w:p>
        </w:tc>
        <w:tc>
          <w:tcPr>
            <w:tcW w:w="6044" w:type="dxa"/>
            <w:vAlign w:val="center"/>
          </w:tcPr>
          <w:p w:rsidR="00CB085E" w:rsidRDefault="00827DB0" w:rsidP="00043A12">
            <w:r>
              <w:t>Board</w:t>
            </w:r>
            <w:r w:rsidR="00043A12">
              <w:t xml:space="preserve"> </w:t>
            </w:r>
          </w:p>
        </w:tc>
      </w:tr>
      <w:tr w:rsidR="00CB085E" w:rsidTr="008D100E">
        <w:tc>
          <w:tcPr>
            <w:tcW w:w="2972" w:type="dxa"/>
            <w:shd w:val="clear" w:color="auto" w:fill="DEEAF6" w:themeFill="accent1" w:themeFillTint="33"/>
            <w:vAlign w:val="center"/>
          </w:tcPr>
          <w:p w:rsidR="00CB085E" w:rsidRPr="00C6535A" w:rsidRDefault="00CB085E" w:rsidP="00043A12">
            <w:pPr>
              <w:spacing w:before="120" w:after="120"/>
              <w:rPr>
                <w:b/>
              </w:rPr>
            </w:pPr>
            <w:r>
              <w:rPr>
                <w:b/>
              </w:rPr>
              <w:t>Is this an All Wales policy?</w:t>
            </w:r>
          </w:p>
        </w:tc>
        <w:tc>
          <w:tcPr>
            <w:tcW w:w="6044" w:type="dxa"/>
            <w:vAlign w:val="center"/>
          </w:tcPr>
          <w:p w:rsidR="00CB085E" w:rsidRDefault="00827DB0" w:rsidP="00043A12">
            <w:r>
              <w:t>No</w:t>
            </w:r>
          </w:p>
        </w:tc>
      </w:tr>
    </w:tbl>
    <w:p w:rsidR="00CB085E" w:rsidRDefault="00CB085E"/>
    <w:p w:rsidR="00CB085E" w:rsidRPr="002E5BF9" w:rsidRDefault="002E5BF9" w:rsidP="002E5BF9">
      <w:pPr>
        <w:pStyle w:val="PHWHeading"/>
        <w:tabs>
          <w:tab w:val="left" w:pos="1701"/>
        </w:tabs>
      </w:pPr>
      <w:r>
        <w:t>Section 2:</w:t>
      </w:r>
      <w:r>
        <w:tab/>
      </w:r>
      <w:r w:rsidR="00CB085E" w:rsidRPr="002E5BF9">
        <w:t xml:space="preserve">Detail of Review </w:t>
      </w:r>
    </w:p>
    <w:tbl>
      <w:tblPr>
        <w:tblStyle w:val="TableGrid"/>
        <w:tblW w:w="0" w:type="auto"/>
        <w:tblLook w:val="04A0" w:firstRow="1" w:lastRow="0" w:firstColumn="1" w:lastColumn="0" w:noHBand="0" w:noVBand="1"/>
      </w:tblPr>
      <w:tblGrid>
        <w:gridCol w:w="3256"/>
        <w:gridCol w:w="5760"/>
      </w:tblGrid>
      <w:tr w:rsidR="00CB085E" w:rsidTr="00043A12">
        <w:tc>
          <w:tcPr>
            <w:tcW w:w="3256" w:type="dxa"/>
            <w:shd w:val="clear" w:color="auto" w:fill="DEEAF6" w:themeFill="accent1" w:themeFillTint="33"/>
            <w:vAlign w:val="center"/>
          </w:tcPr>
          <w:p w:rsidR="00CB085E" w:rsidRPr="00C6535A" w:rsidRDefault="00CB085E" w:rsidP="00043A12">
            <w:pPr>
              <w:spacing w:before="120" w:after="120"/>
              <w:rPr>
                <w:b/>
              </w:rPr>
            </w:pPr>
            <w:r>
              <w:rPr>
                <w:b/>
              </w:rPr>
              <w:t>Date of last review</w:t>
            </w:r>
            <w:r w:rsidR="0002336C">
              <w:rPr>
                <w:b/>
              </w:rPr>
              <w:t>:</w:t>
            </w:r>
          </w:p>
        </w:tc>
        <w:tc>
          <w:tcPr>
            <w:tcW w:w="5760" w:type="dxa"/>
            <w:vAlign w:val="center"/>
          </w:tcPr>
          <w:p w:rsidR="00CB085E" w:rsidRDefault="003A7E8A" w:rsidP="003A7E8A">
            <w:r>
              <w:t>November 2017</w:t>
            </w:r>
          </w:p>
        </w:tc>
      </w:tr>
      <w:tr w:rsidR="00CB085E" w:rsidTr="00043A12">
        <w:tc>
          <w:tcPr>
            <w:tcW w:w="3256" w:type="dxa"/>
            <w:shd w:val="clear" w:color="auto" w:fill="DEEAF6" w:themeFill="accent1" w:themeFillTint="33"/>
            <w:vAlign w:val="center"/>
          </w:tcPr>
          <w:p w:rsidR="00CB085E" w:rsidRPr="00C6535A" w:rsidRDefault="0002336C" w:rsidP="00043A12">
            <w:pPr>
              <w:spacing w:before="120" w:after="120"/>
              <w:rPr>
                <w:b/>
              </w:rPr>
            </w:pPr>
            <w:r>
              <w:rPr>
                <w:b/>
              </w:rPr>
              <w:t>In date?</w:t>
            </w:r>
          </w:p>
        </w:tc>
        <w:tc>
          <w:tcPr>
            <w:tcW w:w="5760" w:type="dxa"/>
            <w:vAlign w:val="center"/>
          </w:tcPr>
          <w:p w:rsidR="00CB085E" w:rsidRDefault="00CB085E" w:rsidP="00043A12">
            <w:r>
              <w:t>No</w:t>
            </w:r>
            <w:r w:rsidR="003A7E8A">
              <w:t xml:space="preserve"> – </w:t>
            </w:r>
            <w:r w:rsidR="001243B4">
              <w:t xml:space="preserve">was </w:t>
            </w:r>
            <w:r w:rsidR="003A7E8A">
              <w:t>due for review November 2020</w:t>
            </w:r>
          </w:p>
        </w:tc>
      </w:tr>
      <w:tr w:rsidR="00CB085E" w:rsidTr="00043A12">
        <w:tc>
          <w:tcPr>
            <w:tcW w:w="3256" w:type="dxa"/>
            <w:shd w:val="clear" w:color="auto" w:fill="DEEAF6" w:themeFill="accent1" w:themeFillTint="33"/>
            <w:vAlign w:val="center"/>
          </w:tcPr>
          <w:p w:rsidR="00CB085E" w:rsidRPr="0000520C" w:rsidRDefault="00CB085E" w:rsidP="00043A12">
            <w:pPr>
              <w:spacing w:before="120" w:after="120"/>
              <w:rPr>
                <w:b/>
              </w:rPr>
            </w:pPr>
            <w:r w:rsidRPr="0000520C">
              <w:rPr>
                <w:b/>
              </w:rPr>
              <w:t>Reason for review</w:t>
            </w:r>
            <w:r w:rsidR="0002336C">
              <w:rPr>
                <w:b/>
              </w:rPr>
              <w:t>:</w:t>
            </w:r>
          </w:p>
        </w:tc>
        <w:tc>
          <w:tcPr>
            <w:tcW w:w="5760" w:type="dxa"/>
            <w:vAlign w:val="center"/>
          </w:tcPr>
          <w:p w:rsidR="0000520C" w:rsidRPr="0000520C" w:rsidRDefault="00827DB0" w:rsidP="00043A12">
            <w:r>
              <w:t xml:space="preserve">The Policy was due to be reviewed as out of date policy. </w:t>
            </w:r>
          </w:p>
        </w:tc>
      </w:tr>
      <w:tr w:rsidR="00CB085E" w:rsidTr="00043A12">
        <w:tc>
          <w:tcPr>
            <w:tcW w:w="9016" w:type="dxa"/>
            <w:gridSpan w:val="2"/>
            <w:shd w:val="clear" w:color="auto" w:fill="DEEAF6" w:themeFill="accent1" w:themeFillTint="33"/>
            <w:vAlign w:val="center"/>
          </w:tcPr>
          <w:p w:rsidR="00CB085E" w:rsidRPr="0000520C" w:rsidRDefault="00CB085E" w:rsidP="00043A12">
            <w:pPr>
              <w:rPr>
                <w:b/>
              </w:rPr>
            </w:pPr>
            <w:r w:rsidRPr="0000520C">
              <w:rPr>
                <w:b/>
              </w:rPr>
              <w:t>Detail</w:t>
            </w:r>
            <w:r w:rsidR="00964FD6">
              <w:rPr>
                <w:b/>
              </w:rPr>
              <w:t xml:space="preserve"> of changes:</w:t>
            </w:r>
          </w:p>
        </w:tc>
      </w:tr>
      <w:tr w:rsidR="00CB085E" w:rsidRPr="00CB085E" w:rsidTr="00043A12">
        <w:tc>
          <w:tcPr>
            <w:tcW w:w="9016" w:type="dxa"/>
            <w:gridSpan w:val="2"/>
            <w:shd w:val="clear" w:color="auto" w:fill="FFFFFF" w:themeFill="background1"/>
            <w:vAlign w:val="center"/>
          </w:tcPr>
          <w:p w:rsidR="008D100E" w:rsidRDefault="008D100E" w:rsidP="00043A12">
            <w:pPr>
              <w:rPr>
                <w:rStyle w:val="normaltextrun1"/>
                <w:color w:val="000000"/>
              </w:rPr>
            </w:pPr>
          </w:p>
          <w:p w:rsidR="00CB085E" w:rsidRDefault="00590279" w:rsidP="008D100E">
            <w:pPr>
              <w:jc w:val="both"/>
              <w:rPr>
                <w:rStyle w:val="normaltextrun1"/>
                <w:color w:val="000000"/>
              </w:rPr>
            </w:pPr>
            <w:r w:rsidRPr="00B65997">
              <w:rPr>
                <w:rStyle w:val="normaltextrun1"/>
                <w:color w:val="000000"/>
              </w:rPr>
              <w:t xml:space="preserve">The </w:t>
            </w:r>
            <w:r>
              <w:rPr>
                <w:rStyle w:val="normaltextrun1"/>
                <w:color w:val="000000"/>
              </w:rPr>
              <w:t>Board Business Unit</w:t>
            </w:r>
            <w:r w:rsidRPr="00B65997">
              <w:rPr>
                <w:rStyle w:val="normaltextrun1"/>
                <w:color w:val="000000"/>
              </w:rPr>
              <w:t xml:space="preserve"> received a number of queries in relation to declaring interests, gifts, hospitality and sponsorship.   When responding to these queries it was noted that some parts of the previous policy were unclear.  The revised documents, therefore attempt to remove this ambiguity to help provide better clarify for staff in being able to understand their responsibility under the policy and what action they are required to take in accordance with the procedure.</w:t>
            </w:r>
          </w:p>
          <w:p w:rsidR="008D100E" w:rsidRDefault="008D100E" w:rsidP="008D100E">
            <w:pPr>
              <w:jc w:val="both"/>
              <w:rPr>
                <w:rStyle w:val="normaltextrun1"/>
                <w:color w:val="000000"/>
              </w:rPr>
            </w:pPr>
          </w:p>
          <w:p w:rsidR="008D100E" w:rsidRDefault="008D100E" w:rsidP="008D100E">
            <w:pPr>
              <w:jc w:val="both"/>
            </w:pPr>
            <w:r>
              <w:rPr>
                <w:rStyle w:val="normaltextrun1"/>
                <w:color w:val="000000"/>
              </w:rPr>
              <w:t>We have also improved the flow of information in the procedure, and collated information where there was duplication.</w:t>
            </w:r>
          </w:p>
          <w:p w:rsidR="00590279" w:rsidRDefault="00590279" w:rsidP="00043A12"/>
          <w:p w:rsidR="008D100E" w:rsidRDefault="008D100E" w:rsidP="00043A12">
            <w:pPr>
              <w:pBdr>
                <w:bottom w:val="single" w:sz="12" w:space="1" w:color="auto"/>
              </w:pBdr>
            </w:pPr>
            <w:r>
              <w:t>Below is a summary of the changes made:</w:t>
            </w:r>
          </w:p>
          <w:p w:rsidR="008D100E" w:rsidRDefault="008D100E" w:rsidP="00043A12">
            <w:pPr>
              <w:rPr>
                <w:b/>
              </w:rPr>
            </w:pPr>
          </w:p>
          <w:p w:rsidR="00043A12" w:rsidRPr="00043A12" w:rsidRDefault="00043A12" w:rsidP="00043A12">
            <w:pPr>
              <w:rPr>
                <w:b/>
              </w:rPr>
            </w:pPr>
            <w:r w:rsidRPr="00043A12">
              <w:rPr>
                <w:b/>
              </w:rPr>
              <w:t>PHW05</w:t>
            </w:r>
          </w:p>
          <w:p w:rsidR="00043A12" w:rsidRPr="00C531BE" w:rsidRDefault="00043A12" w:rsidP="00043A12">
            <w:pPr>
              <w:rPr>
                <w:i/>
              </w:rPr>
            </w:pPr>
            <w:r w:rsidRPr="00C531BE">
              <w:rPr>
                <w:i/>
              </w:rPr>
              <w:t xml:space="preserve">Standards of Behaviour Policy (previously the Declarations of Interest Policy) </w:t>
            </w:r>
          </w:p>
          <w:p w:rsidR="00043A12" w:rsidRPr="00964FD6" w:rsidRDefault="00043A12" w:rsidP="00043A12">
            <w:pPr>
              <w:rPr>
                <w:i/>
              </w:rPr>
            </w:pPr>
            <w:r w:rsidRPr="00964FD6">
              <w:rPr>
                <w:i/>
              </w:rPr>
              <w:t>Summary changes:</w:t>
            </w:r>
          </w:p>
          <w:p w:rsidR="003A7E8A" w:rsidRPr="00C531BE" w:rsidRDefault="003A7E8A" w:rsidP="00043A12">
            <w:pPr>
              <w:pStyle w:val="ListParagraph"/>
              <w:numPr>
                <w:ilvl w:val="0"/>
                <w:numId w:val="7"/>
              </w:numPr>
              <w:jc w:val="both"/>
              <w:rPr>
                <w:szCs w:val="24"/>
              </w:rPr>
            </w:pPr>
            <w:r>
              <w:rPr>
                <w:szCs w:val="72"/>
              </w:rPr>
              <w:lastRenderedPageBreak/>
              <w:t xml:space="preserve">The policy has been redrafted to provide clarity on the scope and </w:t>
            </w:r>
            <w:r w:rsidRPr="00C531BE">
              <w:rPr>
                <w:szCs w:val="24"/>
              </w:rPr>
              <w:t xml:space="preserve">responsibilities; clearer and consistent definitions of who the policy applies to; </w:t>
            </w:r>
            <w:r w:rsidR="00C531BE">
              <w:rPr>
                <w:szCs w:val="24"/>
              </w:rPr>
              <w:t xml:space="preserve">and reformatting and presentational changes </w:t>
            </w:r>
          </w:p>
          <w:p w:rsidR="00043A12" w:rsidRPr="00C531BE" w:rsidRDefault="003A7E8A" w:rsidP="00043A12">
            <w:pPr>
              <w:pStyle w:val="ListParagraph"/>
              <w:numPr>
                <w:ilvl w:val="0"/>
                <w:numId w:val="7"/>
              </w:numPr>
              <w:jc w:val="both"/>
              <w:rPr>
                <w:szCs w:val="24"/>
              </w:rPr>
            </w:pPr>
            <w:r w:rsidRPr="00C531BE">
              <w:rPr>
                <w:szCs w:val="24"/>
              </w:rPr>
              <w:t xml:space="preserve">Expended the ‘Policy Statement’ Section to include a statement at the beginning of PHW’s commitment, and the responsibility of individuals to ensure adherence to Policy. </w:t>
            </w:r>
          </w:p>
          <w:p w:rsidR="003A7E8A" w:rsidRDefault="003A7E8A" w:rsidP="007F6BDA">
            <w:pPr>
              <w:pStyle w:val="ListParagraph"/>
              <w:numPr>
                <w:ilvl w:val="0"/>
                <w:numId w:val="8"/>
              </w:numPr>
              <w:ind w:left="714" w:hanging="357"/>
              <w:contextualSpacing w:val="0"/>
              <w:rPr>
                <w:rFonts w:cs="Arial"/>
                <w:szCs w:val="24"/>
              </w:rPr>
            </w:pPr>
            <w:r w:rsidRPr="00C531BE">
              <w:rPr>
                <w:rFonts w:cs="Arial"/>
                <w:szCs w:val="24"/>
              </w:rPr>
              <w:t xml:space="preserve">Broadened to include ‘Standards of Behaviour including </w:t>
            </w:r>
            <w:r w:rsidR="00C531BE">
              <w:rPr>
                <w:rFonts w:cs="Arial"/>
                <w:szCs w:val="24"/>
              </w:rPr>
              <w:t>‘</w:t>
            </w:r>
            <w:r w:rsidRPr="00C531BE">
              <w:rPr>
                <w:rFonts w:cs="Arial"/>
                <w:szCs w:val="24"/>
              </w:rPr>
              <w:t>Elections campaigns and political interests</w:t>
            </w:r>
            <w:r w:rsidR="00C531BE">
              <w:rPr>
                <w:rFonts w:cs="Arial"/>
                <w:szCs w:val="24"/>
              </w:rPr>
              <w:t>’</w:t>
            </w:r>
            <w:r w:rsidRPr="00C531BE">
              <w:rPr>
                <w:rFonts w:cs="Arial"/>
                <w:szCs w:val="24"/>
              </w:rPr>
              <w:t xml:space="preserve">; </w:t>
            </w:r>
            <w:r w:rsidR="00C531BE">
              <w:rPr>
                <w:rFonts w:cs="Arial"/>
                <w:szCs w:val="24"/>
              </w:rPr>
              <w:t>‘C</w:t>
            </w:r>
            <w:r w:rsidR="00C531BE" w:rsidRPr="00C531BE">
              <w:rPr>
                <w:rFonts w:cs="Arial"/>
                <w:szCs w:val="24"/>
              </w:rPr>
              <w:t>onfidentiality</w:t>
            </w:r>
            <w:r w:rsidR="00C531BE">
              <w:rPr>
                <w:rFonts w:cs="Arial"/>
                <w:szCs w:val="24"/>
              </w:rPr>
              <w:t xml:space="preserve"> </w:t>
            </w:r>
            <w:r w:rsidR="00C531BE" w:rsidRPr="00C531BE">
              <w:rPr>
                <w:rFonts w:cs="Arial"/>
                <w:szCs w:val="24"/>
              </w:rPr>
              <w:t>‘sections</w:t>
            </w:r>
            <w:r w:rsidR="00C531BE">
              <w:rPr>
                <w:rFonts w:cs="Arial"/>
                <w:szCs w:val="24"/>
              </w:rPr>
              <w:t xml:space="preserve"> which were not in the previous version</w:t>
            </w:r>
            <w:r w:rsidRPr="00C531BE">
              <w:rPr>
                <w:rFonts w:cs="Arial"/>
                <w:szCs w:val="24"/>
              </w:rPr>
              <w:t>.</w:t>
            </w:r>
          </w:p>
          <w:p w:rsidR="00C531BE" w:rsidRDefault="00C531BE" w:rsidP="007F6BDA">
            <w:pPr>
              <w:pStyle w:val="ListParagraph"/>
              <w:numPr>
                <w:ilvl w:val="0"/>
                <w:numId w:val="8"/>
              </w:numPr>
              <w:ind w:left="714" w:hanging="357"/>
              <w:contextualSpacing w:val="0"/>
              <w:rPr>
                <w:rFonts w:cs="Arial"/>
                <w:szCs w:val="24"/>
              </w:rPr>
            </w:pPr>
            <w:r>
              <w:rPr>
                <w:rFonts w:cs="Arial"/>
                <w:szCs w:val="24"/>
              </w:rPr>
              <w:t>Summary section included to include ‘do’ and ‘do not’ summary to make more user friendly</w:t>
            </w:r>
          </w:p>
          <w:p w:rsidR="00C531BE" w:rsidRPr="00964FD6" w:rsidRDefault="00C531BE" w:rsidP="007F6BDA">
            <w:pPr>
              <w:pStyle w:val="ListParagraph"/>
              <w:numPr>
                <w:ilvl w:val="0"/>
                <w:numId w:val="8"/>
              </w:numPr>
              <w:ind w:left="714" w:hanging="357"/>
              <w:contextualSpacing w:val="0"/>
              <w:rPr>
                <w:rFonts w:cs="Arial"/>
                <w:szCs w:val="24"/>
              </w:rPr>
            </w:pPr>
            <w:r>
              <w:rPr>
                <w:szCs w:val="24"/>
              </w:rPr>
              <w:t>Website links updated</w:t>
            </w:r>
          </w:p>
          <w:p w:rsidR="00964FD6" w:rsidRDefault="00964FD6" w:rsidP="00964FD6">
            <w:pPr>
              <w:pBdr>
                <w:bottom w:val="single" w:sz="12" w:space="1" w:color="auto"/>
              </w:pBdr>
              <w:rPr>
                <w:rFonts w:cs="Arial"/>
                <w:szCs w:val="24"/>
              </w:rPr>
            </w:pPr>
          </w:p>
          <w:p w:rsidR="00043A12" w:rsidRDefault="00043A12" w:rsidP="00C531BE"/>
          <w:p w:rsidR="00C531BE" w:rsidRPr="00C531BE" w:rsidRDefault="00C531BE" w:rsidP="00C531BE">
            <w:pPr>
              <w:rPr>
                <w:b/>
              </w:rPr>
            </w:pPr>
            <w:r w:rsidRPr="00C531BE">
              <w:rPr>
                <w:b/>
              </w:rPr>
              <w:t>PHW05-TP01</w:t>
            </w:r>
          </w:p>
          <w:p w:rsidR="00C531BE" w:rsidRPr="00C531BE" w:rsidRDefault="00C531BE" w:rsidP="00C531BE">
            <w:pPr>
              <w:rPr>
                <w:i/>
              </w:rPr>
            </w:pPr>
            <w:r w:rsidRPr="00C531BE">
              <w:rPr>
                <w:i/>
              </w:rPr>
              <w:t>Declarations of Interest, Gifts, Hospitality, Honoraria and Sponsorship Procedure</w:t>
            </w:r>
          </w:p>
          <w:p w:rsidR="00C531BE" w:rsidRDefault="00C531BE" w:rsidP="00C531BE">
            <w:r>
              <w:t>Summary changes:</w:t>
            </w:r>
          </w:p>
          <w:p w:rsidR="00043A12" w:rsidRDefault="00C531BE" w:rsidP="00C531BE">
            <w:pPr>
              <w:pStyle w:val="ListParagraph"/>
              <w:numPr>
                <w:ilvl w:val="0"/>
                <w:numId w:val="9"/>
              </w:numPr>
            </w:pPr>
            <w:r>
              <w:t xml:space="preserve">Consistent text in Introduction in line with the changes made to PHW05 Standards of Behaviour Policy – </w:t>
            </w:r>
            <w:r>
              <w:rPr>
                <w:szCs w:val="72"/>
              </w:rPr>
              <w:t xml:space="preserve">scope, </w:t>
            </w:r>
            <w:r w:rsidRPr="00C531BE">
              <w:rPr>
                <w:szCs w:val="24"/>
              </w:rPr>
              <w:t xml:space="preserve">responsibilities; clearer and consistent definitions of who the policy applies to; </w:t>
            </w:r>
            <w:r>
              <w:rPr>
                <w:szCs w:val="24"/>
              </w:rPr>
              <w:t>and reformatting and presentational changes.</w:t>
            </w:r>
          </w:p>
          <w:p w:rsidR="00C531BE" w:rsidRDefault="00C531BE" w:rsidP="00C531BE">
            <w:pPr>
              <w:pStyle w:val="ListParagraph"/>
              <w:numPr>
                <w:ilvl w:val="0"/>
                <w:numId w:val="9"/>
              </w:numPr>
            </w:pPr>
            <w:r>
              <w:t>Reformatting, and reordering of the procedure to improve flow and readability</w:t>
            </w:r>
          </w:p>
          <w:p w:rsidR="002A19B9" w:rsidRDefault="002A19B9" w:rsidP="002A19B9">
            <w:pPr>
              <w:pStyle w:val="ListParagraph"/>
              <w:numPr>
                <w:ilvl w:val="0"/>
                <w:numId w:val="9"/>
              </w:numPr>
            </w:pPr>
            <w:r>
              <w:t>Amalgamation of repeated information into one section, previously we had an introduction paragraph about each area with a link to a section later on in the procedure. This has now been collated into one section for each area.</w:t>
            </w:r>
          </w:p>
          <w:p w:rsidR="002A19B9" w:rsidRDefault="00686AF2" w:rsidP="002A19B9">
            <w:pPr>
              <w:pStyle w:val="ListParagraph"/>
              <w:numPr>
                <w:ilvl w:val="0"/>
                <w:numId w:val="9"/>
              </w:numPr>
            </w:pPr>
            <w:r>
              <w:rPr>
                <w:b/>
              </w:rPr>
              <w:t xml:space="preserve">Section 3 - </w:t>
            </w:r>
            <w:r w:rsidR="002A19B9" w:rsidRPr="00686AF2">
              <w:rPr>
                <w:b/>
              </w:rPr>
              <w:t>Roles and responsibilities section</w:t>
            </w:r>
            <w:r w:rsidR="002A19B9">
              <w:t xml:space="preserve"> - inclusion of an ‘individual employee’ section; amalgamation of Board secretary’s role from appendix 2 in previous version</w:t>
            </w:r>
            <w:bookmarkStart w:id="5" w:name="_Toc56180585"/>
            <w:bookmarkStart w:id="6" w:name="_Board_Secretary_and"/>
            <w:bookmarkStart w:id="7" w:name="_Toc56180586"/>
            <w:bookmarkEnd w:id="5"/>
            <w:bookmarkEnd w:id="6"/>
            <w:r w:rsidR="002A19B9">
              <w:t xml:space="preserve"> (now all contained within 3.3 - </w:t>
            </w:r>
            <w:r w:rsidR="002A19B9" w:rsidRPr="00F62297">
              <w:t xml:space="preserve">Board Secretary and Head of </w:t>
            </w:r>
            <w:r w:rsidR="002A19B9">
              <w:t>Board Business Unit</w:t>
            </w:r>
            <w:bookmarkEnd w:id="7"/>
            <w:r w:rsidR="002A19B9">
              <w:t>)</w:t>
            </w:r>
          </w:p>
          <w:p w:rsidR="002A19B9" w:rsidRDefault="002A19B9" w:rsidP="002A19B9">
            <w:pPr>
              <w:pStyle w:val="ListParagraph"/>
              <w:numPr>
                <w:ilvl w:val="0"/>
                <w:numId w:val="9"/>
              </w:numPr>
            </w:pPr>
            <w:r>
              <w:t>Renumbering of Appendix 3 in previous version, to Appendix 2 (failure to adhere guidance)</w:t>
            </w:r>
          </w:p>
          <w:p w:rsidR="002A19B9" w:rsidRDefault="002A19B9" w:rsidP="002A19B9">
            <w:pPr>
              <w:pStyle w:val="ListParagraph"/>
              <w:numPr>
                <w:ilvl w:val="0"/>
                <w:numId w:val="9"/>
              </w:numPr>
            </w:pPr>
            <w:r w:rsidRPr="00686AF2">
              <w:rPr>
                <w:b/>
              </w:rPr>
              <w:t>Section</w:t>
            </w:r>
            <w:r w:rsidR="00686AF2" w:rsidRPr="00686AF2">
              <w:rPr>
                <w:b/>
              </w:rPr>
              <w:t xml:space="preserve"> </w:t>
            </w:r>
            <w:r w:rsidRPr="00686AF2">
              <w:rPr>
                <w:b/>
              </w:rPr>
              <w:t>4</w:t>
            </w:r>
            <w:r>
              <w:t xml:space="preserve"> – Declarations of interest  - reformatting and reordering to improve flow</w:t>
            </w:r>
          </w:p>
          <w:p w:rsidR="002A19B9" w:rsidRPr="002A19B9" w:rsidRDefault="002A19B9" w:rsidP="0067626F">
            <w:pPr>
              <w:pStyle w:val="ListParagraph"/>
              <w:numPr>
                <w:ilvl w:val="0"/>
                <w:numId w:val="9"/>
              </w:numPr>
              <w:jc w:val="both"/>
              <w:rPr>
                <w:rFonts w:cs="Arial"/>
                <w:bCs/>
                <w:szCs w:val="24"/>
              </w:rPr>
            </w:pPr>
            <w:r w:rsidRPr="00686AF2">
              <w:rPr>
                <w:b/>
              </w:rPr>
              <w:t xml:space="preserve">Section 4.2 </w:t>
            </w:r>
            <w:r>
              <w:t>– When should a Declaration of Interest be made – advice to t</w:t>
            </w:r>
            <w:r w:rsidRPr="002A19B9">
              <w:rPr>
                <w:rFonts w:cs="Arial"/>
                <w:bCs/>
                <w:szCs w:val="24"/>
              </w:rPr>
              <w:t>he requirements of a declaration varies depending on whether the employee is:</w:t>
            </w:r>
          </w:p>
          <w:p w:rsidR="002A19B9" w:rsidRPr="00AC2C4F" w:rsidRDefault="002A19B9" w:rsidP="002A19B9">
            <w:pPr>
              <w:pStyle w:val="ListParagraph"/>
              <w:numPr>
                <w:ilvl w:val="0"/>
                <w:numId w:val="11"/>
              </w:numPr>
              <w:ind w:left="883" w:firstLine="0"/>
              <w:contextualSpacing w:val="0"/>
              <w:jc w:val="both"/>
              <w:rPr>
                <w:rFonts w:cs="Arial"/>
                <w:bCs/>
                <w:szCs w:val="24"/>
              </w:rPr>
            </w:pPr>
            <w:r w:rsidRPr="002A19B9">
              <w:rPr>
                <w:rFonts w:cs="Arial"/>
                <w:bCs/>
                <w:szCs w:val="24"/>
              </w:rPr>
              <w:t>Non-Executive Director and Directors</w:t>
            </w:r>
          </w:p>
          <w:p w:rsidR="002A19B9" w:rsidRPr="00AC2C4F" w:rsidRDefault="002A19B9" w:rsidP="002A19B9">
            <w:pPr>
              <w:pStyle w:val="ListParagraph"/>
              <w:numPr>
                <w:ilvl w:val="0"/>
                <w:numId w:val="11"/>
              </w:numPr>
              <w:ind w:left="883" w:firstLine="0"/>
              <w:contextualSpacing w:val="0"/>
              <w:jc w:val="both"/>
              <w:rPr>
                <w:rFonts w:cs="Arial"/>
                <w:bCs/>
                <w:szCs w:val="24"/>
              </w:rPr>
            </w:pPr>
            <w:r w:rsidRPr="002A19B9">
              <w:rPr>
                <w:rFonts w:cs="Arial"/>
                <w:bCs/>
                <w:szCs w:val="24"/>
              </w:rPr>
              <w:t>Tier 3 Budget Holders</w:t>
            </w:r>
          </w:p>
          <w:p w:rsidR="002A19B9" w:rsidRDefault="002A19B9" w:rsidP="002A19B9">
            <w:pPr>
              <w:pStyle w:val="ListParagraph"/>
              <w:numPr>
                <w:ilvl w:val="0"/>
                <w:numId w:val="11"/>
              </w:numPr>
              <w:ind w:left="883" w:firstLine="0"/>
              <w:contextualSpacing w:val="0"/>
              <w:jc w:val="both"/>
              <w:rPr>
                <w:rFonts w:cs="Arial"/>
                <w:bCs/>
                <w:szCs w:val="24"/>
              </w:rPr>
            </w:pPr>
            <w:r w:rsidRPr="002A19B9">
              <w:rPr>
                <w:rFonts w:cs="Arial"/>
                <w:bCs/>
                <w:szCs w:val="24"/>
              </w:rPr>
              <w:t>L1 and L2 Budget Holders</w:t>
            </w:r>
          </w:p>
          <w:p w:rsidR="002A19B9" w:rsidRDefault="002A19B9" w:rsidP="002A19B9">
            <w:pPr>
              <w:pStyle w:val="ListParagraph"/>
              <w:numPr>
                <w:ilvl w:val="0"/>
                <w:numId w:val="11"/>
              </w:numPr>
              <w:ind w:left="883" w:firstLine="0"/>
              <w:contextualSpacing w:val="0"/>
              <w:jc w:val="both"/>
              <w:rPr>
                <w:rFonts w:cs="Arial"/>
                <w:bCs/>
                <w:szCs w:val="24"/>
              </w:rPr>
            </w:pPr>
            <w:r w:rsidRPr="002A19B9">
              <w:rPr>
                <w:rFonts w:cs="Arial"/>
                <w:bCs/>
                <w:szCs w:val="24"/>
              </w:rPr>
              <w:t>Other employees not listed above</w:t>
            </w:r>
          </w:p>
          <w:p w:rsidR="002A19B9" w:rsidRPr="00964FD6" w:rsidRDefault="002A19B9" w:rsidP="002A19B9">
            <w:pPr>
              <w:pStyle w:val="ListParagraph"/>
              <w:ind w:left="883"/>
              <w:contextualSpacing w:val="0"/>
              <w:jc w:val="both"/>
              <w:rPr>
                <w:rFonts w:cs="Arial"/>
                <w:bCs/>
                <w:szCs w:val="24"/>
              </w:rPr>
            </w:pPr>
            <w:r>
              <w:rPr>
                <w:rFonts w:cs="Arial"/>
                <w:bCs/>
                <w:szCs w:val="24"/>
              </w:rPr>
              <w:t xml:space="preserve">This is following feedback prior to the review on clarity needed around ‘Nil’ declarations – as the requirement for this depends </w:t>
            </w:r>
            <w:r w:rsidR="00964FD6">
              <w:rPr>
                <w:rFonts w:cs="Arial"/>
                <w:bCs/>
                <w:szCs w:val="24"/>
              </w:rPr>
              <w:t xml:space="preserve">on role within the organisation. </w:t>
            </w:r>
          </w:p>
          <w:p w:rsidR="00964FD6" w:rsidRDefault="00964FD6" w:rsidP="00964FD6">
            <w:pPr>
              <w:pStyle w:val="Heading2"/>
              <w:numPr>
                <w:ilvl w:val="1"/>
                <w:numId w:val="12"/>
              </w:numPr>
              <w:spacing w:before="0" w:after="0"/>
              <w:ind w:left="599" w:hanging="425"/>
              <w:jc w:val="both"/>
              <w:outlineLvl w:val="1"/>
              <w:rPr>
                <w:b w:val="0"/>
                <w:lang w:eastAsia="en-GB"/>
              </w:rPr>
            </w:pPr>
            <w:bookmarkStart w:id="8" w:name="_Toc56180605"/>
            <w:r w:rsidRPr="00686AF2">
              <w:rPr>
                <w:lang w:eastAsia="en-GB"/>
              </w:rPr>
              <w:lastRenderedPageBreak/>
              <w:t>Section 5.4</w:t>
            </w:r>
            <w:r w:rsidRPr="00964FD6">
              <w:rPr>
                <w:b w:val="0"/>
                <w:lang w:eastAsia="en-GB"/>
              </w:rPr>
              <w:t xml:space="preserve"> - Gifts from members of staff</w:t>
            </w:r>
            <w:bookmarkEnd w:id="8"/>
            <w:r>
              <w:rPr>
                <w:b w:val="0"/>
                <w:lang w:eastAsia="en-GB"/>
              </w:rPr>
              <w:t xml:space="preserve"> – additional guidance added to clarify advice. </w:t>
            </w:r>
          </w:p>
          <w:p w:rsidR="00964FD6" w:rsidRDefault="00964FD6" w:rsidP="00964FD6">
            <w:pPr>
              <w:pStyle w:val="ListParagraph"/>
              <w:numPr>
                <w:ilvl w:val="0"/>
                <w:numId w:val="14"/>
              </w:numPr>
              <w:ind w:left="599" w:hanging="425"/>
              <w:rPr>
                <w:lang w:eastAsia="en-GB"/>
              </w:rPr>
            </w:pPr>
            <w:r w:rsidRPr="00686AF2">
              <w:rPr>
                <w:b/>
                <w:lang w:eastAsia="en-GB"/>
              </w:rPr>
              <w:t>Addition of Section 8.7</w:t>
            </w:r>
            <w:r>
              <w:rPr>
                <w:lang w:eastAsia="en-GB"/>
              </w:rPr>
              <w:t xml:space="preserve"> to cover the giving of gifts which was not in the previous version. </w:t>
            </w:r>
          </w:p>
          <w:p w:rsidR="00964FD6" w:rsidRDefault="00964FD6" w:rsidP="00964FD6">
            <w:pPr>
              <w:pStyle w:val="ListParagraph"/>
              <w:numPr>
                <w:ilvl w:val="0"/>
                <w:numId w:val="14"/>
              </w:numPr>
              <w:ind w:left="599" w:hanging="425"/>
              <w:rPr>
                <w:lang w:eastAsia="en-GB"/>
              </w:rPr>
            </w:pPr>
            <w:r w:rsidRPr="00686AF2">
              <w:rPr>
                <w:b/>
                <w:lang w:eastAsia="en-GB"/>
              </w:rPr>
              <w:t>Section 15</w:t>
            </w:r>
            <w:r>
              <w:rPr>
                <w:lang w:eastAsia="en-GB"/>
              </w:rPr>
              <w:t xml:space="preserve"> – clarification on the contents of extract of the register will be published (</w:t>
            </w:r>
            <w:proofErr w:type="spellStart"/>
            <w:r>
              <w:rPr>
                <w:lang w:eastAsia="en-GB"/>
              </w:rPr>
              <w:t>i.e</w:t>
            </w:r>
            <w:proofErr w:type="spellEnd"/>
            <w:r>
              <w:rPr>
                <w:lang w:eastAsia="en-GB"/>
              </w:rPr>
              <w:t xml:space="preserve"> Board and Executive, Tier 3 budget holders but not Tier 1 and 2 budget holders). </w:t>
            </w:r>
          </w:p>
          <w:p w:rsidR="00964FD6" w:rsidRPr="00964FD6" w:rsidRDefault="00964FD6" w:rsidP="00964FD6">
            <w:pPr>
              <w:pStyle w:val="ListParagraph"/>
              <w:numPr>
                <w:ilvl w:val="0"/>
                <w:numId w:val="14"/>
              </w:numPr>
              <w:ind w:left="599" w:hanging="425"/>
              <w:rPr>
                <w:lang w:eastAsia="en-GB"/>
              </w:rPr>
            </w:pPr>
            <w:r w:rsidRPr="00686AF2">
              <w:rPr>
                <w:b/>
                <w:lang w:eastAsia="en-GB"/>
              </w:rPr>
              <w:t>Additional Section 17</w:t>
            </w:r>
            <w:r>
              <w:rPr>
                <w:lang w:eastAsia="en-GB"/>
              </w:rPr>
              <w:t xml:space="preserve"> to outline Communication to members of staff and how the policy will be promoted. </w:t>
            </w:r>
          </w:p>
          <w:p w:rsidR="00043A12" w:rsidRPr="0000520C" w:rsidRDefault="00043A12" w:rsidP="00043A12"/>
        </w:tc>
      </w:tr>
    </w:tbl>
    <w:p w:rsidR="00CB085E" w:rsidRDefault="00CB085E">
      <w:pPr>
        <w:rPr>
          <w:b/>
        </w:rPr>
      </w:pPr>
    </w:p>
    <w:p w:rsidR="00CB085E" w:rsidRPr="002E5BF9" w:rsidRDefault="002E5BF9" w:rsidP="002E5BF9">
      <w:pPr>
        <w:pStyle w:val="PHWHeading"/>
        <w:tabs>
          <w:tab w:val="left" w:pos="1701"/>
        </w:tabs>
      </w:pPr>
      <w:r>
        <w:t>Section 3:</w:t>
      </w:r>
      <w:r>
        <w:tab/>
      </w:r>
      <w:r w:rsidR="00CB085E" w:rsidRPr="002E5BF9">
        <w:t xml:space="preserve">Consultation </w:t>
      </w:r>
    </w:p>
    <w:tbl>
      <w:tblPr>
        <w:tblStyle w:val="TableGrid"/>
        <w:tblW w:w="0" w:type="auto"/>
        <w:tblLayout w:type="fixed"/>
        <w:tblLook w:val="04A0" w:firstRow="1" w:lastRow="0" w:firstColumn="1" w:lastColumn="0" w:noHBand="0" w:noVBand="1"/>
      </w:tblPr>
      <w:tblGrid>
        <w:gridCol w:w="3114"/>
        <w:gridCol w:w="5902"/>
      </w:tblGrid>
      <w:tr w:rsidR="00CB085E" w:rsidTr="008D100E">
        <w:tc>
          <w:tcPr>
            <w:tcW w:w="3114" w:type="dxa"/>
            <w:shd w:val="clear" w:color="auto" w:fill="DEEAF6" w:themeFill="accent1" w:themeFillTint="33"/>
          </w:tcPr>
          <w:p w:rsidR="00CB085E" w:rsidRPr="00C6535A" w:rsidRDefault="00CB085E" w:rsidP="00D50594">
            <w:pPr>
              <w:spacing w:before="120" w:after="120"/>
              <w:rPr>
                <w:b/>
              </w:rPr>
            </w:pPr>
            <w:r>
              <w:rPr>
                <w:b/>
              </w:rPr>
              <w:t>List of stakeholders identified</w:t>
            </w:r>
          </w:p>
        </w:tc>
        <w:tc>
          <w:tcPr>
            <w:tcW w:w="5902" w:type="dxa"/>
          </w:tcPr>
          <w:p w:rsidR="00CB085E" w:rsidRDefault="00827DB0" w:rsidP="00D50594">
            <w:r>
              <w:t xml:space="preserve">All staff are required to apply with this policy and procedure. </w:t>
            </w:r>
          </w:p>
        </w:tc>
      </w:tr>
      <w:tr w:rsidR="00C21C8C" w:rsidTr="008D100E">
        <w:tc>
          <w:tcPr>
            <w:tcW w:w="3114" w:type="dxa"/>
            <w:vMerge w:val="restart"/>
            <w:shd w:val="clear" w:color="auto" w:fill="DEEAF6" w:themeFill="accent1" w:themeFillTint="33"/>
          </w:tcPr>
          <w:p w:rsidR="00C21C8C" w:rsidRDefault="00C21C8C" w:rsidP="002E5BF9">
            <w:pPr>
              <w:spacing w:before="120" w:after="120"/>
            </w:pPr>
            <w:r>
              <w:t xml:space="preserve">Has this policy been circulated for consultation with staff via the consultation database? </w:t>
            </w:r>
          </w:p>
        </w:tc>
        <w:tc>
          <w:tcPr>
            <w:tcW w:w="5902" w:type="dxa"/>
          </w:tcPr>
          <w:p w:rsidR="00C21C8C" w:rsidRDefault="00827DB0" w:rsidP="00CB085E">
            <w:r>
              <w:t xml:space="preserve">Yes </w:t>
            </w:r>
          </w:p>
        </w:tc>
      </w:tr>
      <w:tr w:rsidR="00C21C8C" w:rsidTr="008D100E">
        <w:tc>
          <w:tcPr>
            <w:tcW w:w="3114" w:type="dxa"/>
            <w:vMerge/>
            <w:shd w:val="clear" w:color="auto" w:fill="DEEAF6" w:themeFill="accent1" w:themeFillTint="33"/>
          </w:tcPr>
          <w:p w:rsidR="00C21C8C" w:rsidRDefault="00C21C8C" w:rsidP="002E5BF9">
            <w:pPr>
              <w:spacing w:before="120" w:after="120"/>
            </w:pPr>
          </w:p>
        </w:tc>
        <w:tc>
          <w:tcPr>
            <w:tcW w:w="5902" w:type="dxa"/>
          </w:tcPr>
          <w:p w:rsidR="00C21C8C" w:rsidRDefault="00FD24C0" w:rsidP="00FD24C0">
            <w:r>
              <w:t xml:space="preserve">No feedback has been received following a 4 week staff consultation. </w:t>
            </w:r>
          </w:p>
          <w:p w:rsidR="00FD24C0" w:rsidRDefault="00FD24C0" w:rsidP="00FD24C0"/>
          <w:p w:rsidR="00FD24C0" w:rsidRDefault="00FD24C0" w:rsidP="00FD24C0">
            <w:r>
              <w:t xml:space="preserve">The policy and the procedure were circulated to the Business Executive Team for comment on 18 March. </w:t>
            </w:r>
          </w:p>
        </w:tc>
      </w:tr>
    </w:tbl>
    <w:p w:rsidR="00CB085E" w:rsidRDefault="00CB085E">
      <w:pPr>
        <w:rPr>
          <w:b/>
        </w:rPr>
      </w:pPr>
    </w:p>
    <w:p w:rsidR="00CB085E" w:rsidRPr="002E5BF9" w:rsidRDefault="002E5BF9" w:rsidP="002E5BF9">
      <w:pPr>
        <w:pStyle w:val="PHWHeading"/>
        <w:tabs>
          <w:tab w:val="left" w:pos="1843"/>
        </w:tabs>
      </w:pPr>
      <w:r>
        <w:t>Section 4:</w:t>
      </w:r>
      <w:r>
        <w:tab/>
      </w:r>
      <w:r w:rsidR="00CB085E" w:rsidRPr="00C6535A">
        <w:t>Impact Assessments</w:t>
      </w:r>
    </w:p>
    <w:tbl>
      <w:tblPr>
        <w:tblStyle w:val="TableGrid"/>
        <w:tblW w:w="9016" w:type="dxa"/>
        <w:tblLook w:val="04A0" w:firstRow="1" w:lastRow="0" w:firstColumn="1" w:lastColumn="0" w:noHBand="0" w:noVBand="1"/>
      </w:tblPr>
      <w:tblGrid>
        <w:gridCol w:w="3114"/>
        <w:gridCol w:w="5902"/>
      </w:tblGrid>
      <w:tr w:rsidR="00CB085E" w:rsidTr="008D100E">
        <w:tc>
          <w:tcPr>
            <w:tcW w:w="3114" w:type="dxa"/>
            <w:shd w:val="clear" w:color="auto" w:fill="DEEAF6" w:themeFill="accent1" w:themeFillTint="33"/>
          </w:tcPr>
          <w:p w:rsidR="00CB085E" w:rsidRPr="00C21C8C" w:rsidRDefault="00CB085E" w:rsidP="00CB085E">
            <w:pPr>
              <w:rPr>
                <w:color w:val="FF0000"/>
                <w:szCs w:val="24"/>
              </w:rPr>
            </w:pPr>
            <w:r w:rsidRPr="001C60B5">
              <w:rPr>
                <w:b/>
                <w:szCs w:val="24"/>
              </w:rPr>
              <w:t>Equality and Health Impact Assessment</w:t>
            </w:r>
            <w:r>
              <w:rPr>
                <w:color w:val="FF0000"/>
                <w:szCs w:val="24"/>
              </w:rPr>
              <w:t xml:space="preserve"> </w:t>
            </w:r>
          </w:p>
        </w:tc>
        <w:tc>
          <w:tcPr>
            <w:tcW w:w="5902" w:type="dxa"/>
          </w:tcPr>
          <w:p w:rsidR="00307318" w:rsidRDefault="00307318" w:rsidP="00CB085E">
            <w:pPr>
              <w:rPr>
                <w:szCs w:val="24"/>
              </w:rPr>
            </w:pPr>
            <w:r>
              <w:rPr>
                <w:szCs w:val="24"/>
              </w:rPr>
              <w:t xml:space="preserve">Included at attachment 3. </w:t>
            </w:r>
          </w:p>
          <w:p w:rsidR="00CB085E" w:rsidRPr="0000520C" w:rsidRDefault="00CB085E" w:rsidP="00CB085E">
            <w:pPr>
              <w:rPr>
                <w:szCs w:val="24"/>
              </w:rPr>
            </w:pPr>
          </w:p>
        </w:tc>
      </w:tr>
      <w:tr w:rsidR="00CB085E" w:rsidTr="008D100E">
        <w:tc>
          <w:tcPr>
            <w:tcW w:w="3114" w:type="dxa"/>
            <w:shd w:val="clear" w:color="auto" w:fill="DEEAF6" w:themeFill="accent1" w:themeFillTint="33"/>
          </w:tcPr>
          <w:p w:rsidR="00CB085E" w:rsidRPr="001C60B5" w:rsidRDefault="00CB085E" w:rsidP="00CB085E">
            <w:pPr>
              <w:rPr>
                <w:b/>
                <w:szCs w:val="24"/>
              </w:rPr>
            </w:pPr>
            <w:r>
              <w:rPr>
                <w:b/>
                <w:szCs w:val="24"/>
              </w:rPr>
              <w:t>Risk and Assurance</w:t>
            </w:r>
          </w:p>
        </w:tc>
        <w:tc>
          <w:tcPr>
            <w:tcW w:w="5902" w:type="dxa"/>
          </w:tcPr>
          <w:p w:rsidR="00CB085E" w:rsidRPr="0000520C" w:rsidRDefault="008D100E" w:rsidP="00CB085E">
            <w:pPr>
              <w:rPr>
                <w:szCs w:val="24"/>
              </w:rPr>
            </w:pPr>
            <w:r>
              <w:rPr>
                <w:szCs w:val="24"/>
              </w:rPr>
              <w:t xml:space="preserve">This policy addresses the risk of improper / inconsistent standards of behaviour, and supports transparency and openness of decision making. </w:t>
            </w:r>
          </w:p>
        </w:tc>
      </w:tr>
      <w:tr w:rsidR="00CB085E" w:rsidTr="008D100E">
        <w:tc>
          <w:tcPr>
            <w:tcW w:w="3114" w:type="dxa"/>
            <w:vMerge w:val="restart"/>
            <w:shd w:val="clear" w:color="auto" w:fill="DEEAF6" w:themeFill="accent1" w:themeFillTint="33"/>
          </w:tcPr>
          <w:p w:rsidR="00CB085E" w:rsidRPr="001C60B5" w:rsidRDefault="00CB085E" w:rsidP="00CB085E">
            <w:pPr>
              <w:rPr>
                <w:b/>
                <w:szCs w:val="24"/>
              </w:rPr>
            </w:pPr>
            <w:r w:rsidRPr="001C60B5">
              <w:rPr>
                <w:b/>
                <w:szCs w:val="24"/>
              </w:rPr>
              <w:t>Health and Care Standards</w:t>
            </w:r>
          </w:p>
        </w:tc>
        <w:tc>
          <w:tcPr>
            <w:tcW w:w="5902" w:type="dxa"/>
          </w:tcPr>
          <w:p w:rsidR="00CB085E" w:rsidRPr="0000520C" w:rsidRDefault="00CB085E" w:rsidP="00CB085E">
            <w:pPr>
              <w:rPr>
                <w:szCs w:val="24"/>
              </w:rPr>
            </w:pPr>
            <w:r w:rsidRPr="0000520C">
              <w:rPr>
                <w:szCs w:val="24"/>
              </w:rPr>
              <w:t xml:space="preserve">This Policy / Procedure supports and/or takes into account the </w:t>
            </w:r>
            <w:hyperlink r:id="rId9" w:history="1">
              <w:r w:rsidRPr="0000520C">
                <w:rPr>
                  <w:rStyle w:val="Hyperlink"/>
                  <w:color w:val="auto"/>
                  <w:szCs w:val="24"/>
                </w:rPr>
                <w:t>Health and Care Standards for NHS Wales</w:t>
              </w:r>
            </w:hyperlink>
            <w:r w:rsidRPr="0000520C">
              <w:rPr>
                <w:szCs w:val="24"/>
              </w:rPr>
              <w:t xml:space="preserve"> Quality Themes</w:t>
            </w:r>
            <w:r w:rsidRPr="0000520C">
              <w:rPr>
                <w:i/>
                <w:szCs w:val="24"/>
              </w:rPr>
              <w:t xml:space="preserve"> </w:t>
            </w:r>
          </w:p>
        </w:tc>
      </w:tr>
      <w:tr w:rsidR="00CB085E" w:rsidTr="008D100E">
        <w:tc>
          <w:tcPr>
            <w:tcW w:w="3114" w:type="dxa"/>
            <w:vMerge/>
            <w:shd w:val="clear" w:color="auto" w:fill="DEEAF6" w:themeFill="accent1" w:themeFillTint="33"/>
          </w:tcPr>
          <w:p w:rsidR="00CB085E" w:rsidRPr="001C60B5" w:rsidRDefault="00CB085E" w:rsidP="00CB085E">
            <w:pPr>
              <w:rPr>
                <w:b/>
                <w:szCs w:val="24"/>
              </w:rPr>
            </w:pPr>
          </w:p>
        </w:tc>
        <w:tc>
          <w:tcPr>
            <w:tcW w:w="5902" w:type="dxa"/>
          </w:tcPr>
          <w:sdt>
            <w:sdtPr>
              <w:rPr>
                <w:rStyle w:val="Dropdown"/>
              </w:rPr>
              <w:alias w:val="Health and Care Standards"/>
              <w:tag w:val="Health and Care Standards"/>
              <w:id w:val="63462970"/>
              <w:placeholder>
                <w:docPart w:val="2A7443F6F4B740E7AAEA95F463438F17"/>
              </w:placeholder>
              <w:dropDownList>
                <w:listItem w:value="Choose an item."/>
                <w:listItem w:displayText="Governance, Leadership and Accountability" w:value="Governance, Leadership and Accountability"/>
                <w:listItem w:displayText="Person Centred Care" w:value="Person Centred Care"/>
                <w:listItem w:displayText="Theme 1 - Staying Healthy" w:value="Theme 1 - Staying Healthy"/>
                <w:listItem w:displayText="Theme 2 - Safe Care" w:value="Theme 2 - Safe Care"/>
                <w:listItem w:displayText="Theme 3 - Effective Care" w:value="Theme 3 - Effective Care"/>
                <w:listItem w:displayText="Theme 4 - Dignified Care" w:value="Theme 4 - Dignified Care"/>
                <w:listItem w:displayText="Theme 5 - Timely Care" w:value="Theme 5 - Timely Care"/>
                <w:listItem w:displayText="Theme 6 - Individual Care" w:value="Theme 6 - Individual Care"/>
                <w:listItem w:displayText="Theme 7 - Staff and Resources" w:value="Theme 7 - Staff and Resources"/>
                <w:listItem w:displayText="All themes" w:value="All themes"/>
              </w:dropDownList>
            </w:sdtPr>
            <w:sdtEndPr>
              <w:rPr>
                <w:rStyle w:val="DefaultParagraphFont"/>
                <w:sz w:val="22"/>
                <w:szCs w:val="24"/>
              </w:rPr>
            </w:sdtEndPr>
            <w:sdtContent>
              <w:p w:rsidR="00CB085E" w:rsidRPr="0000520C" w:rsidRDefault="005073D7" w:rsidP="00CB085E">
                <w:pPr>
                  <w:ind w:left="436"/>
                  <w:rPr>
                    <w:szCs w:val="24"/>
                  </w:rPr>
                </w:pPr>
                <w:r>
                  <w:rPr>
                    <w:rStyle w:val="Dropdown"/>
                  </w:rPr>
                  <w:t>Governance, Leadership and Accountability</w:t>
                </w:r>
              </w:p>
            </w:sdtContent>
          </w:sdt>
        </w:tc>
      </w:tr>
      <w:tr w:rsidR="00CB085E" w:rsidTr="008D100E">
        <w:tc>
          <w:tcPr>
            <w:tcW w:w="3114" w:type="dxa"/>
            <w:shd w:val="clear" w:color="auto" w:fill="DEEAF6" w:themeFill="accent1" w:themeFillTint="33"/>
          </w:tcPr>
          <w:p w:rsidR="00CB085E" w:rsidRPr="001C60B5" w:rsidRDefault="00CB085E" w:rsidP="00CB085E">
            <w:pPr>
              <w:rPr>
                <w:b/>
                <w:szCs w:val="24"/>
              </w:rPr>
            </w:pPr>
            <w:r w:rsidRPr="001C60B5">
              <w:rPr>
                <w:b/>
                <w:szCs w:val="24"/>
              </w:rPr>
              <w:t>Financial implications</w:t>
            </w:r>
          </w:p>
        </w:tc>
        <w:tc>
          <w:tcPr>
            <w:tcW w:w="5902" w:type="dxa"/>
          </w:tcPr>
          <w:p w:rsidR="00CB085E" w:rsidRPr="005073D7" w:rsidRDefault="005073D7" w:rsidP="00CB085E">
            <w:pPr>
              <w:rPr>
                <w:szCs w:val="24"/>
              </w:rPr>
            </w:pPr>
            <w:r>
              <w:rPr>
                <w:szCs w:val="24"/>
              </w:rPr>
              <w:t xml:space="preserve">None. </w:t>
            </w:r>
          </w:p>
        </w:tc>
      </w:tr>
      <w:tr w:rsidR="00CB085E" w:rsidTr="008D100E">
        <w:tc>
          <w:tcPr>
            <w:tcW w:w="3114" w:type="dxa"/>
            <w:shd w:val="clear" w:color="auto" w:fill="DEEAF6" w:themeFill="accent1" w:themeFillTint="33"/>
          </w:tcPr>
          <w:p w:rsidR="00CB085E" w:rsidRPr="001C60B5" w:rsidRDefault="00CB085E" w:rsidP="00CB085E">
            <w:pPr>
              <w:rPr>
                <w:b/>
                <w:szCs w:val="24"/>
              </w:rPr>
            </w:pPr>
            <w:r w:rsidRPr="001C60B5">
              <w:rPr>
                <w:b/>
                <w:szCs w:val="24"/>
              </w:rPr>
              <w:t xml:space="preserve">People implications </w:t>
            </w:r>
          </w:p>
        </w:tc>
        <w:tc>
          <w:tcPr>
            <w:tcW w:w="5902" w:type="dxa"/>
          </w:tcPr>
          <w:p w:rsidR="00CB085E" w:rsidRPr="005073D7" w:rsidRDefault="005073D7" w:rsidP="00CB085E">
            <w:pPr>
              <w:rPr>
                <w:szCs w:val="24"/>
              </w:rPr>
            </w:pPr>
            <w:r>
              <w:rPr>
                <w:szCs w:val="24"/>
              </w:rPr>
              <w:t>None</w:t>
            </w:r>
            <w:r w:rsidR="00CB085E" w:rsidRPr="005073D7">
              <w:rPr>
                <w:szCs w:val="24"/>
              </w:rPr>
              <w:t>.</w:t>
            </w:r>
          </w:p>
        </w:tc>
      </w:tr>
    </w:tbl>
    <w:p w:rsidR="00CB085E" w:rsidRDefault="00CB085E">
      <w:pPr>
        <w:rPr>
          <w:b/>
        </w:rPr>
      </w:pPr>
    </w:p>
    <w:p w:rsidR="0000520C" w:rsidRDefault="0000520C" w:rsidP="0000520C">
      <w:pPr>
        <w:pStyle w:val="PHWHeading"/>
        <w:tabs>
          <w:tab w:val="left" w:pos="1843"/>
        </w:tabs>
      </w:pPr>
      <w:r>
        <w:t>Section 5:</w:t>
      </w:r>
      <w:r>
        <w:tab/>
        <w:t xml:space="preserve">Implementation </w:t>
      </w:r>
    </w:p>
    <w:tbl>
      <w:tblPr>
        <w:tblStyle w:val="TableGrid"/>
        <w:tblW w:w="0" w:type="auto"/>
        <w:tblLook w:val="04A0" w:firstRow="1" w:lastRow="0" w:firstColumn="1" w:lastColumn="0" w:noHBand="0" w:noVBand="1"/>
      </w:tblPr>
      <w:tblGrid>
        <w:gridCol w:w="3397"/>
        <w:gridCol w:w="5619"/>
      </w:tblGrid>
      <w:tr w:rsidR="0000520C" w:rsidTr="005073D7">
        <w:tc>
          <w:tcPr>
            <w:tcW w:w="3397" w:type="dxa"/>
            <w:shd w:val="clear" w:color="auto" w:fill="DEEAF6" w:themeFill="accent1" w:themeFillTint="33"/>
          </w:tcPr>
          <w:p w:rsidR="0000520C" w:rsidRPr="0000520C" w:rsidRDefault="0000520C" w:rsidP="0000520C">
            <w:pPr>
              <w:pStyle w:val="PHWHeading"/>
              <w:tabs>
                <w:tab w:val="left" w:pos="1843"/>
              </w:tabs>
              <w:rPr>
                <w:sz w:val="24"/>
              </w:rPr>
            </w:pPr>
            <w:r w:rsidRPr="0000520C">
              <w:rPr>
                <w:sz w:val="24"/>
              </w:rPr>
              <w:t xml:space="preserve">Details of Implementation </w:t>
            </w:r>
          </w:p>
        </w:tc>
        <w:tc>
          <w:tcPr>
            <w:tcW w:w="5619" w:type="dxa"/>
          </w:tcPr>
          <w:p w:rsidR="005073D7" w:rsidRDefault="005073D7" w:rsidP="005073D7">
            <w:pPr>
              <w:jc w:val="both"/>
              <w:rPr>
                <w:rFonts w:eastAsia="Times New Roman"/>
                <w:szCs w:val="20"/>
                <w:lang w:val="en-US"/>
              </w:rPr>
            </w:pPr>
            <w:r>
              <w:rPr>
                <w:rFonts w:eastAsia="Times New Roman"/>
                <w:szCs w:val="20"/>
                <w:lang w:val="en-US"/>
              </w:rPr>
              <w:t>The revised policy and procedure will require the following implementation steps to ensure awareness and compliance:</w:t>
            </w:r>
          </w:p>
          <w:p w:rsidR="0000520C" w:rsidRPr="005073D7" w:rsidRDefault="005073D7" w:rsidP="005073D7">
            <w:pPr>
              <w:pStyle w:val="ListParagraph"/>
              <w:numPr>
                <w:ilvl w:val="0"/>
                <w:numId w:val="6"/>
              </w:numPr>
              <w:jc w:val="both"/>
              <w:rPr>
                <w:rFonts w:eastAsia="Times New Roman"/>
                <w:szCs w:val="20"/>
                <w:lang w:val="en-US"/>
              </w:rPr>
            </w:pPr>
            <w:r w:rsidRPr="005073D7">
              <w:rPr>
                <w:rFonts w:eastAsia="Times New Roman"/>
                <w:szCs w:val="20"/>
                <w:lang w:val="en-US"/>
              </w:rPr>
              <w:lastRenderedPageBreak/>
              <w:t>Signposts on the intranet wil</w:t>
            </w:r>
            <w:r>
              <w:rPr>
                <w:rFonts w:eastAsia="Times New Roman"/>
                <w:szCs w:val="20"/>
                <w:lang w:val="en-US"/>
              </w:rPr>
              <w:t>l</w:t>
            </w:r>
            <w:r w:rsidRPr="005073D7">
              <w:rPr>
                <w:rFonts w:eastAsia="Times New Roman"/>
                <w:szCs w:val="20"/>
                <w:lang w:val="en-US"/>
              </w:rPr>
              <w:t xml:space="preserve"> be amended to reflect the revise </w:t>
            </w:r>
            <w:r w:rsidR="00E00E0D">
              <w:rPr>
                <w:rFonts w:eastAsia="Times New Roman"/>
                <w:szCs w:val="20"/>
                <w:lang w:val="en-US"/>
              </w:rPr>
              <w:t xml:space="preserve">policy and </w:t>
            </w:r>
            <w:r w:rsidRPr="005073D7">
              <w:rPr>
                <w:rFonts w:eastAsia="Times New Roman"/>
                <w:szCs w:val="20"/>
                <w:lang w:val="en-US"/>
              </w:rPr>
              <w:t xml:space="preserve">procedure. </w:t>
            </w:r>
          </w:p>
          <w:p w:rsidR="005073D7" w:rsidRDefault="005073D7" w:rsidP="005073D7">
            <w:pPr>
              <w:pStyle w:val="ListParagraph"/>
              <w:numPr>
                <w:ilvl w:val="0"/>
                <w:numId w:val="6"/>
              </w:numPr>
              <w:jc w:val="both"/>
              <w:rPr>
                <w:rFonts w:eastAsia="Times New Roman"/>
                <w:szCs w:val="20"/>
                <w:lang w:val="en-US"/>
              </w:rPr>
            </w:pPr>
            <w:r>
              <w:rPr>
                <w:rFonts w:eastAsia="Times New Roman"/>
                <w:szCs w:val="20"/>
                <w:lang w:val="en-US"/>
              </w:rPr>
              <w:t>Staff news item to advise of updated process</w:t>
            </w:r>
          </w:p>
          <w:p w:rsidR="005073D7" w:rsidRDefault="005073D7" w:rsidP="005073D7">
            <w:pPr>
              <w:pStyle w:val="ListParagraph"/>
              <w:numPr>
                <w:ilvl w:val="0"/>
                <w:numId w:val="6"/>
              </w:numPr>
              <w:jc w:val="both"/>
              <w:rPr>
                <w:rFonts w:eastAsia="Times New Roman"/>
                <w:szCs w:val="20"/>
                <w:lang w:val="en-US"/>
              </w:rPr>
            </w:pPr>
            <w:r>
              <w:rPr>
                <w:rFonts w:eastAsia="Times New Roman"/>
                <w:szCs w:val="20"/>
                <w:lang w:val="en-US"/>
              </w:rPr>
              <w:t xml:space="preserve">Training sessions for Declarations of interest will be developed with the Board Business Unit to support managers. </w:t>
            </w:r>
          </w:p>
          <w:p w:rsidR="00E00E0D" w:rsidRPr="005073D7" w:rsidRDefault="00E00E0D" w:rsidP="005073D7">
            <w:pPr>
              <w:pStyle w:val="ListParagraph"/>
              <w:numPr>
                <w:ilvl w:val="0"/>
                <w:numId w:val="6"/>
              </w:numPr>
              <w:jc w:val="both"/>
              <w:rPr>
                <w:rFonts w:eastAsia="Times New Roman"/>
                <w:szCs w:val="20"/>
                <w:lang w:val="en-US"/>
              </w:rPr>
            </w:pPr>
            <w:r>
              <w:rPr>
                <w:rFonts w:eastAsia="Times New Roman"/>
                <w:szCs w:val="20"/>
                <w:lang w:val="en-US"/>
              </w:rPr>
              <w:t xml:space="preserve">The Declarations of Interest form has been updated to reflect these changes and will be circulated with a reminder to complete as per the agreed process. </w:t>
            </w:r>
          </w:p>
        </w:tc>
      </w:tr>
      <w:tr w:rsidR="005073D7" w:rsidTr="008D100E">
        <w:trPr>
          <w:trHeight w:val="527"/>
        </w:trPr>
        <w:tc>
          <w:tcPr>
            <w:tcW w:w="3397" w:type="dxa"/>
            <w:shd w:val="clear" w:color="auto" w:fill="DEEAF6" w:themeFill="accent1" w:themeFillTint="33"/>
          </w:tcPr>
          <w:p w:rsidR="005073D7" w:rsidRPr="0000520C" w:rsidRDefault="005073D7" w:rsidP="0000520C">
            <w:pPr>
              <w:pStyle w:val="PHWHeading"/>
              <w:tabs>
                <w:tab w:val="left" w:pos="1843"/>
              </w:tabs>
              <w:rPr>
                <w:sz w:val="24"/>
              </w:rPr>
            </w:pPr>
            <w:r w:rsidRPr="0000520C">
              <w:rPr>
                <w:sz w:val="24"/>
              </w:rPr>
              <w:lastRenderedPageBreak/>
              <w:t>To be added to Policy database on Website?</w:t>
            </w:r>
          </w:p>
        </w:tc>
        <w:tc>
          <w:tcPr>
            <w:tcW w:w="5619" w:type="dxa"/>
          </w:tcPr>
          <w:p w:rsidR="005073D7" w:rsidRPr="0000520C" w:rsidRDefault="005073D7" w:rsidP="005073D7">
            <w:pPr>
              <w:jc w:val="both"/>
              <w:rPr>
                <w:rFonts w:eastAsia="Times New Roman"/>
                <w:szCs w:val="20"/>
                <w:lang w:val="en-US"/>
              </w:rPr>
            </w:pPr>
            <w:r w:rsidRPr="0000520C">
              <w:rPr>
                <w:rFonts w:eastAsia="Times New Roman"/>
                <w:szCs w:val="20"/>
                <w:lang w:val="en-US"/>
              </w:rPr>
              <w:t xml:space="preserve">Yes </w:t>
            </w:r>
          </w:p>
        </w:tc>
      </w:tr>
      <w:tr w:rsidR="005073D7" w:rsidTr="005073D7">
        <w:trPr>
          <w:trHeight w:val="922"/>
        </w:trPr>
        <w:tc>
          <w:tcPr>
            <w:tcW w:w="3397" w:type="dxa"/>
            <w:shd w:val="clear" w:color="auto" w:fill="DEEAF6" w:themeFill="accent1" w:themeFillTint="33"/>
          </w:tcPr>
          <w:p w:rsidR="005073D7" w:rsidRPr="0000520C" w:rsidRDefault="005073D7" w:rsidP="0000520C">
            <w:pPr>
              <w:pStyle w:val="PHWHeading"/>
              <w:tabs>
                <w:tab w:val="left" w:pos="1843"/>
              </w:tabs>
              <w:rPr>
                <w:sz w:val="24"/>
              </w:rPr>
            </w:pPr>
            <w:r w:rsidRPr="0000520C">
              <w:rPr>
                <w:sz w:val="24"/>
              </w:rPr>
              <w:t>Welsh Version included?</w:t>
            </w:r>
          </w:p>
        </w:tc>
        <w:tc>
          <w:tcPr>
            <w:tcW w:w="5619" w:type="dxa"/>
          </w:tcPr>
          <w:p w:rsidR="005073D7" w:rsidRPr="0000520C" w:rsidRDefault="005073D7" w:rsidP="00307318">
            <w:pPr>
              <w:jc w:val="both"/>
              <w:rPr>
                <w:rFonts w:eastAsia="Times New Roman"/>
                <w:i/>
                <w:szCs w:val="20"/>
                <w:lang w:val="en-US"/>
              </w:rPr>
            </w:pPr>
            <w:r>
              <w:rPr>
                <w:rFonts w:eastAsia="Times New Roman"/>
                <w:i/>
                <w:szCs w:val="20"/>
                <w:lang w:val="en-US"/>
              </w:rPr>
              <w:t xml:space="preserve">A welsh translation </w:t>
            </w:r>
            <w:r w:rsidR="00307318">
              <w:rPr>
                <w:rFonts w:eastAsia="Times New Roman"/>
                <w:i/>
                <w:szCs w:val="20"/>
                <w:lang w:val="en-US"/>
              </w:rPr>
              <w:t xml:space="preserve">will be arranged when the approved version is published on the Public Health Wales website. </w:t>
            </w:r>
            <w:r>
              <w:rPr>
                <w:rFonts w:eastAsia="Times New Roman"/>
                <w:i/>
                <w:szCs w:val="20"/>
                <w:lang w:val="en-US"/>
              </w:rPr>
              <w:t xml:space="preserve"> </w:t>
            </w:r>
          </w:p>
        </w:tc>
      </w:tr>
    </w:tbl>
    <w:p w:rsidR="0000520C" w:rsidRPr="002E5BF9" w:rsidRDefault="0000520C" w:rsidP="0000520C">
      <w:pPr>
        <w:pStyle w:val="PHWHeading"/>
        <w:tabs>
          <w:tab w:val="left" w:pos="1843"/>
        </w:tabs>
      </w:pPr>
    </w:p>
    <w:p w:rsidR="0000520C" w:rsidRPr="00CB085E" w:rsidRDefault="0000520C">
      <w:pPr>
        <w:rPr>
          <w:b/>
        </w:rPr>
      </w:pPr>
      <w:bookmarkStart w:id="9" w:name="_GoBack"/>
      <w:bookmarkEnd w:id="9"/>
    </w:p>
    <w:sectPr w:rsidR="0000520C" w:rsidRPr="00CB085E">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5790" w:rsidRDefault="00BE5790" w:rsidP="00CB085E">
      <w:r>
        <w:separator/>
      </w:r>
    </w:p>
  </w:endnote>
  <w:endnote w:type="continuationSeparator" w:id="0">
    <w:p w:rsidR="00BE5790" w:rsidRDefault="00BE5790" w:rsidP="00CB0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3014"/>
      <w:gridCol w:w="3058"/>
    </w:tblGrid>
    <w:tr w:rsidR="00307318" w:rsidRPr="00511AFF" w:rsidTr="003D6B77">
      <w:tc>
        <w:tcPr>
          <w:tcW w:w="3000" w:type="dxa"/>
        </w:tcPr>
        <w:p w:rsidR="00307318" w:rsidRPr="00B70103" w:rsidRDefault="00307318" w:rsidP="00496C81">
          <w:pPr>
            <w:pStyle w:val="Footer"/>
            <w:tabs>
              <w:tab w:val="right" w:pos="9090"/>
            </w:tabs>
            <w:rPr>
              <w:b/>
              <w:sz w:val="20"/>
            </w:rPr>
          </w:pPr>
          <w:r w:rsidRPr="00B70103">
            <w:rPr>
              <w:b/>
              <w:sz w:val="20"/>
            </w:rPr>
            <w:t xml:space="preserve">Date: </w:t>
          </w:r>
          <w:r w:rsidRPr="00B70103">
            <w:rPr>
              <w:sz w:val="20"/>
            </w:rPr>
            <w:t xml:space="preserve"> </w:t>
          </w:r>
          <w:r>
            <w:rPr>
              <w:sz w:val="20"/>
            </w:rPr>
            <w:t>18 March 2021</w:t>
          </w:r>
        </w:p>
      </w:tc>
      <w:tc>
        <w:tcPr>
          <w:tcW w:w="3014" w:type="dxa"/>
        </w:tcPr>
        <w:p w:rsidR="00307318" w:rsidRPr="00B70103" w:rsidRDefault="00307318" w:rsidP="008F2049">
          <w:pPr>
            <w:pStyle w:val="Footer"/>
            <w:tabs>
              <w:tab w:val="center" w:pos="1433"/>
              <w:tab w:val="right" w:pos="2866"/>
              <w:tab w:val="right" w:pos="9090"/>
            </w:tabs>
            <w:jc w:val="center"/>
            <w:rPr>
              <w:b/>
              <w:sz w:val="20"/>
            </w:rPr>
          </w:pPr>
          <w:r w:rsidRPr="00B70103">
            <w:rPr>
              <w:b/>
              <w:sz w:val="20"/>
            </w:rPr>
            <w:t>Version:</w:t>
          </w:r>
          <w:r>
            <w:rPr>
              <w:sz w:val="20"/>
            </w:rPr>
            <w:t xml:space="preserve"> 1</w:t>
          </w:r>
        </w:p>
      </w:tc>
      <w:tc>
        <w:tcPr>
          <w:tcW w:w="3058" w:type="dxa"/>
        </w:tcPr>
        <w:p w:rsidR="00307318" w:rsidRPr="00B70103" w:rsidRDefault="00307318" w:rsidP="008F2049">
          <w:pPr>
            <w:pStyle w:val="Footer"/>
            <w:tabs>
              <w:tab w:val="clear" w:pos="4513"/>
              <w:tab w:val="center" w:pos="4500"/>
              <w:tab w:val="right" w:pos="9090"/>
            </w:tabs>
            <w:jc w:val="center"/>
            <w:rPr>
              <w:b/>
              <w:sz w:val="20"/>
            </w:rPr>
          </w:pPr>
          <w:r w:rsidRPr="00B70103">
            <w:rPr>
              <w:b/>
              <w:sz w:val="20"/>
            </w:rPr>
            <w:t xml:space="preserve">Page: </w:t>
          </w:r>
          <w:r w:rsidRPr="00B70103">
            <w:rPr>
              <w:rStyle w:val="PageNumber"/>
              <w:sz w:val="20"/>
            </w:rPr>
            <w:fldChar w:fldCharType="begin"/>
          </w:r>
          <w:r w:rsidRPr="00B70103">
            <w:rPr>
              <w:rStyle w:val="PageNumber"/>
              <w:sz w:val="20"/>
            </w:rPr>
            <w:instrText xml:space="preserve"> PAGE </w:instrText>
          </w:r>
          <w:r w:rsidRPr="00B70103">
            <w:rPr>
              <w:rStyle w:val="PageNumber"/>
              <w:sz w:val="20"/>
            </w:rPr>
            <w:fldChar w:fldCharType="separate"/>
          </w:r>
          <w:r w:rsidR="00D13B28">
            <w:rPr>
              <w:rStyle w:val="PageNumber"/>
              <w:noProof/>
              <w:sz w:val="20"/>
            </w:rPr>
            <w:t>4</w:t>
          </w:r>
          <w:r w:rsidRPr="00B70103">
            <w:rPr>
              <w:rStyle w:val="PageNumber"/>
              <w:sz w:val="20"/>
            </w:rPr>
            <w:fldChar w:fldCharType="end"/>
          </w:r>
          <w:r w:rsidRPr="00B70103">
            <w:rPr>
              <w:rStyle w:val="PageNumber"/>
              <w:sz w:val="20"/>
            </w:rPr>
            <w:t xml:space="preserve"> of </w:t>
          </w:r>
          <w:r w:rsidRPr="00B70103">
            <w:rPr>
              <w:rStyle w:val="PageNumber"/>
              <w:sz w:val="20"/>
            </w:rPr>
            <w:fldChar w:fldCharType="begin"/>
          </w:r>
          <w:r w:rsidRPr="00B70103">
            <w:rPr>
              <w:rStyle w:val="PageNumber"/>
              <w:sz w:val="20"/>
            </w:rPr>
            <w:instrText xml:space="preserve"> NUMPAGES </w:instrText>
          </w:r>
          <w:r w:rsidRPr="00B70103">
            <w:rPr>
              <w:rStyle w:val="PageNumber"/>
              <w:sz w:val="20"/>
            </w:rPr>
            <w:fldChar w:fldCharType="separate"/>
          </w:r>
          <w:r w:rsidR="00D13B28">
            <w:rPr>
              <w:rStyle w:val="PageNumber"/>
              <w:noProof/>
              <w:sz w:val="20"/>
            </w:rPr>
            <w:t>5</w:t>
          </w:r>
          <w:r w:rsidRPr="00B70103">
            <w:rPr>
              <w:rStyle w:val="PageNumber"/>
              <w:sz w:val="20"/>
            </w:rPr>
            <w:fldChar w:fldCharType="end"/>
          </w:r>
        </w:p>
      </w:tc>
    </w:tr>
  </w:tbl>
  <w:p w:rsidR="00307318" w:rsidRPr="00FA7943" w:rsidRDefault="00307318">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5790" w:rsidRDefault="00BE5790" w:rsidP="00CB085E">
      <w:r>
        <w:separator/>
      </w:r>
    </w:p>
  </w:footnote>
  <w:footnote w:type="continuationSeparator" w:id="0">
    <w:p w:rsidR="00BE5790" w:rsidRDefault="00BE5790" w:rsidP="00CB08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85E" w:rsidRPr="00307318" w:rsidRDefault="00CB085E" w:rsidP="003073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173EC"/>
    <w:multiLevelType w:val="multilevel"/>
    <w:tmpl w:val="0809001F"/>
    <w:lvl w:ilvl="0">
      <w:start w:val="1"/>
      <w:numFmt w:val="decimal"/>
      <w:lvlText w:val="%1."/>
      <w:lvlJc w:val="left"/>
      <w:pPr>
        <w:ind w:left="360" w:hanging="360"/>
      </w:pPr>
      <w:rPr>
        <w:rFonts w:hint="default"/>
        <w:b/>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6113C80"/>
    <w:multiLevelType w:val="hybridMultilevel"/>
    <w:tmpl w:val="D192578C"/>
    <w:lvl w:ilvl="0" w:tplc="6960E7B0">
      <w:start w:val="18"/>
      <w:numFmt w:val="bullet"/>
      <w:lvlText w:val="-"/>
      <w:lvlJc w:val="left"/>
      <w:pPr>
        <w:ind w:left="720" w:hanging="360"/>
      </w:pPr>
      <w:rPr>
        <w:rFonts w:ascii="Verdana" w:eastAsia="Times New Roman"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9621BE"/>
    <w:multiLevelType w:val="hybridMultilevel"/>
    <w:tmpl w:val="78389640"/>
    <w:lvl w:ilvl="0" w:tplc="421CA1A4">
      <w:start w:val="1"/>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3D72E0"/>
    <w:multiLevelType w:val="hybridMultilevel"/>
    <w:tmpl w:val="A63CF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C55F7F"/>
    <w:multiLevelType w:val="multilevel"/>
    <w:tmpl w:val="1EB67084"/>
    <w:lvl w:ilvl="0">
      <w:start w:val="5"/>
      <w:numFmt w:val="decimal"/>
      <w:lvlText w:val="%1"/>
      <w:lvlJc w:val="left"/>
      <w:pPr>
        <w:ind w:left="430" w:hanging="430"/>
      </w:pPr>
      <w:rPr>
        <w:rFonts w:hint="default"/>
      </w:rPr>
    </w:lvl>
    <w:lvl w:ilvl="1">
      <w:start w:val="1"/>
      <w:numFmt w:val="bullet"/>
      <w:lvlText w:val=""/>
      <w:lvlJc w:val="left"/>
      <w:pPr>
        <w:ind w:left="720" w:hanging="720"/>
      </w:pPr>
      <w:rPr>
        <w:rFonts w:ascii="Symbol" w:hAnsi="Symbol"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 w15:restartNumberingAfterBreak="0">
    <w:nsid w:val="262E6600"/>
    <w:multiLevelType w:val="hybridMultilevel"/>
    <w:tmpl w:val="5C8011DC"/>
    <w:lvl w:ilvl="0" w:tplc="04A6B954">
      <w:start w:val="1"/>
      <w:numFmt w:val="bullet"/>
      <w:lvlText w:val="-"/>
      <w:lvlJc w:val="left"/>
      <w:pPr>
        <w:ind w:left="720" w:hanging="360"/>
      </w:pPr>
      <w:rPr>
        <w:rFonts w:ascii="Verdana" w:eastAsia="Times New Roman"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8D1CD2"/>
    <w:multiLevelType w:val="hybridMultilevel"/>
    <w:tmpl w:val="DF684122"/>
    <w:lvl w:ilvl="0" w:tplc="FC224746">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B834DA"/>
    <w:multiLevelType w:val="hybridMultilevel"/>
    <w:tmpl w:val="9C223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146BAD"/>
    <w:multiLevelType w:val="multilevel"/>
    <w:tmpl w:val="213C4C4A"/>
    <w:lvl w:ilvl="0">
      <w:start w:val="1"/>
      <w:numFmt w:val="bullet"/>
      <w:lvlText w:val=""/>
      <w:lvlJc w:val="left"/>
      <w:pPr>
        <w:ind w:left="430" w:hanging="430"/>
      </w:pPr>
      <w:rPr>
        <w:rFonts w:ascii="Symbol" w:hAnsi="Symbol" w:hint="default"/>
      </w:rPr>
    </w:lvl>
    <w:lvl w:ilvl="1">
      <w:start w:val="1"/>
      <w:numFmt w:val="bullet"/>
      <w:lvlText w:val=""/>
      <w:lvlJc w:val="left"/>
      <w:pPr>
        <w:ind w:left="720" w:hanging="720"/>
      </w:pPr>
      <w:rPr>
        <w:rFonts w:ascii="Symbol" w:hAnsi="Symbol"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 w15:restartNumberingAfterBreak="0">
    <w:nsid w:val="424C0DDE"/>
    <w:multiLevelType w:val="hybridMultilevel"/>
    <w:tmpl w:val="F4E6C564"/>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0" w15:restartNumberingAfterBreak="0">
    <w:nsid w:val="432358E8"/>
    <w:multiLevelType w:val="hybridMultilevel"/>
    <w:tmpl w:val="8886E924"/>
    <w:lvl w:ilvl="0" w:tplc="421CA1A4">
      <w:start w:val="1"/>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377BBF"/>
    <w:multiLevelType w:val="hybridMultilevel"/>
    <w:tmpl w:val="7F22C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F57DA7"/>
    <w:multiLevelType w:val="hybridMultilevel"/>
    <w:tmpl w:val="893C4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837FB1"/>
    <w:multiLevelType w:val="multilevel"/>
    <w:tmpl w:val="1EB67084"/>
    <w:lvl w:ilvl="0">
      <w:start w:val="5"/>
      <w:numFmt w:val="decimal"/>
      <w:lvlText w:val="%1"/>
      <w:lvlJc w:val="left"/>
      <w:pPr>
        <w:ind w:left="430" w:hanging="430"/>
      </w:pPr>
      <w:rPr>
        <w:rFonts w:hint="default"/>
      </w:rPr>
    </w:lvl>
    <w:lvl w:ilvl="1">
      <w:start w:val="1"/>
      <w:numFmt w:val="bullet"/>
      <w:lvlText w:val=""/>
      <w:lvlJc w:val="left"/>
      <w:pPr>
        <w:ind w:left="720" w:hanging="720"/>
      </w:pPr>
      <w:rPr>
        <w:rFonts w:ascii="Symbol" w:hAnsi="Symbol"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15:restartNumberingAfterBreak="0">
    <w:nsid w:val="7F1652B6"/>
    <w:multiLevelType w:val="hybridMultilevel"/>
    <w:tmpl w:val="7D0CAB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14"/>
  </w:num>
  <w:num w:numId="3">
    <w:abstractNumId w:val="2"/>
  </w:num>
  <w:num w:numId="4">
    <w:abstractNumId w:val="6"/>
  </w:num>
  <w:num w:numId="5">
    <w:abstractNumId w:val="3"/>
  </w:num>
  <w:num w:numId="6">
    <w:abstractNumId w:val="5"/>
  </w:num>
  <w:num w:numId="7">
    <w:abstractNumId w:val="11"/>
  </w:num>
  <w:num w:numId="8">
    <w:abstractNumId w:val="7"/>
  </w:num>
  <w:num w:numId="9">
    <w:abstractNumId w:val="12"/>
  </w:num>
  <w:num w:numId="10">
    <w:abstractNumId w:val="0"/>
  </w:num>
  <w:num w:numId="11">
    <w:abstractNumId w:val="9"/>
  </w:num>
  <w:num w:numId="12">
    <w:abstractNumId w:val="4"/>
  </w:num>
  <w:num w:numId="13">
    <w:abstractNumId w:val="13"/>
  </w:num>
  <w:num w:numId="14">
    <w:abstractNumId w:val="8"/>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85E"/>
    <w:rsid w:val="0000520C"/>
    <w:rsid w:val="0002336C"/>
    <w:rsid w:val="00043A12"/>
    <w:rsid w:val="001243B4"/>
    <w:rsid w:val="002A19B9"/>
    <w:rsid w:val="002E5BF9"/>
    <w:rsid w:val="00307318"/>
    <w:rsid w:val="00321005"/>
    <w:rsid w:val="00394891"/>
    <w:rsid w:val="003A7E8A"/>
    <w:rsid w:val="004A739B"/>
    <w:rsid w:val="005073D7"/>
    <w:rsid w:val="00590279"/>
    <w:rsid w:val="005A71C3"/>
    <w:rsid w:val="00686AF2"/>
    <w:rsid w:val="007A06CD"/>
    <w:rsid w:val="00805415"/>
    <w:rsid w:val="00827DB0"/>
    <w:rsid w:val="008D100E"/>
    <w:rsid w:val="00964FD6"/>
    <w:rsid w:val="00BE5790"/>
    <w:rsid w:val="00C1120A"/>
    <w:rsid w:val="00C21C8C"/>
    <w:rsid w:val="00C531BE"/>
    <w:rsid w:val="00CB085E"/>
    <w:rsid w:val="00D13B28"/>
    <w:rsid w:val="00E00E0D"/>
    <w:rsid w:val="00F14F04"/>
    <w:rsid w:val="00FD24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141C5"/>
  <w15:chartTrackingRefBased/>
  <w15:docId w15:val="{88196A81-D311-44A1-96A0-63855C5AC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085E"/>
    <w:pPr>
      <w:spacing w:after="0" w:line="240" w:lineRule="auto"/>
    </w:pPr>
    <w:rPr>
      <w:rFonts w:ascii="Verdana" w:hAnsi="Verdana"/>
      <w:sz w:val="24"/>
    </w:rPr>
  </w:style>
  <w:style w:type="paragraph" w:styleId="Heading2">
    <w:name w:val="heading 2"/>
    <w:basedOn w:val="Normal"/>
    <w:next w:val="Normal"/>
    <w:link w:val="Heading2Char"/>
    <w:unhideWhenUsed/>
    <w:qFormat/>
    <w:rsid w:val="002A19B9"/>
    <w:pPr>
      <w:keepNext/>
      <w:spacing w:before="240" w:after="60"/>
      <w:outlineLvl w:val="1"/>
    </w:pPr>
    <w:rPr>
      <w:rFonts w:eastAsia="Times New Roman" w:cs="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085E"/>
    <w:pPr>
      <w:tabs>
        <w:tab w:val="center" w:pos="4513"/>
        <w:tab w:val="right" w:pos="9026"/>
      </w:tabs>
    </w:pPr>
  </w:style>
  <w:style w:type="character" w:customStyle="1" w:styleId="HeaderChar">
    <w:name w:val="Header Char"/>
    <w:basedOn w:val="DefaultParagraphFont"/>
    <w:link w:val="Header"/>
    <w:uiPriority w:val="99"/>
    <w:rsid w:val="00CB085E"/>
  </w:style>
  <w:style w:type="paragraph" w:styleId="Footer">
    <w:name w:val="footer"/>
    <w:basedOn w:val="Normal"/>
    <w:link w:val="FooterChar"/>
    <w:uiPriority w:val="99"/>
    <w:unhideWhenUsed/>
    <w:rsid w:val="00CB085E"/>
    <w:pPr>
      <w:tabs>
        <w:tab w:val="center" w:pos="4513"/>
        <w:tab w:val="right" w:pos="9026"/>
      </w:tabs>
    </w:pPr>
  </w:style>
  <w:style w:type="character" w:customStyle="1" w:styleId="FooterChar">
    <w:name w:val="Footer Char"/>
    <w:basedOn w:val="DefaultParagraphFont"/>
    <w:link w:val="Footer"/>
    <w:uiPriority w:val="99"/>
    <w:rsid w:val="00CB085E"/>
  </w:style>
  <w:style w:type="table" w:styleId="TableGrid">
    <w:name w:val="Table Grid"/>
    <w:basedOn w:val="TableNormal"/>
    <w:uiPriority w:val="59"/>
    <w:rsid w:val="00CB0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085E"/>
    <w:pPr>
      <w:ind w:left="720"/>
      <w:contextualSpacing/>
    </w:pPr>
  </w:style>
  <w:style w:type="character" w:styleId="Hyperlink">
    <w:name w:val="Hyperlink"/>
    <w:basedOn w:val="DefaultParagraphFont"/>
    <w:uiPriority w:val="99"/>
    <w:unhideWhenUsed/>
    <w:rsid w:val="00CB085E"/>
    <w:rPr>
      <w:color w:val="0563C1" w:themeColor="hyperlink"/>
      <w:u w:val="single"/>
    </w:rPr>
  </w:style>
  <w:style w:type="character" w:styleId="PlaceholderText">
    <w:name w:val="Placeholder Text"/>
    <w:basedOn w:val="DefaultParagraphFont"/>
    <w:uiPriority w:val="99"/>
    <w:semiHidden/>
    <w:rsid w:val="00CB085E"/>
    <w:rPr>
      <w:color w:val="808080"/>
    </w:rPr>
  </w:style>
  <w:style w:type="character" w:customStyle="1" w:styleId="Dropdown">
    <w:name w:val="Dropdown"/>
    <w:basedOn w:val="DefaultParagraphFont"/>
    <w:uiPriority w:val="1"/>
    <w:rsid w:val="00CB085E"/>
    <w:rPr>
      <w:rFonts w:ascii="Verdana" w:hAnsi="Verdana"/>
      <w:color w:val="auto"/>
      <w:sz w:val="24"/>
    </w:rPr>
  </w:style>
  <w:style w:type="paragraph" w:customStyle="1" w:styleId="PHWHeading">
    <w:name w:val="PHW Heading"/>
    <w:basedOn w:val="Normal"/>
    <w:link w:val="PHWHeadingChar"/>
    <w:qFormat/>
    <w:rsid w:val="002E5BF9"/>
    <w:pPr>
      <w:spacing w:before="120" w:after="120"/>
    </w:pPr>
    <w:rPr>
      <w:b/>
      <w:sz w:val="28"/>
    </w:rPr>
  </w:style>
  <w:style w:type="character" w:customStyle="1" w:styleId="PHWHeadingChar">
    <w:name w:val="PHW Heading Char"/>
    <w:basedOn w:val="DefaultParagraphFont"/>
    <w:link w:val="PHWHeading"/>
    <w:rsid w:val="002E5BF9"/>
    <w:rPr>
      <w:rFonts w:ascii="Verdana" w:hAnsi="Verdana"/>
      <w:b/>
      <w:sz w:val="28"/>
    </w:rPr>
  </w:style>
  <w:style w:type="character" w:customStyle="1" w:styleId="Heading2Char">
    <w:name w:val="Heading 2 Char"/>
    <w:basedOn w:val="DefaultParagraphFont"/>
    <w:link w:val="Heading2"/>
    <w:rsid w:val="002A19B9"/>
    <w:rPr>
      <w:rFonts w:ascii="Verdana" w:eastAsia="Times New Roman" w:hAnsi="Verdana" w:cs="Times New Roman"/>
      <w:b/>
      <w:bCs/>
      <w:iCs/>
      <w:sz w:val="24"/>
      <w:szCs w:val="28"/>
    </w:rPr>
  </w:style>
  <w:style w:type="character" w:customStyle="1" w:styleId="normaltextrun1">
    <w:name w:val="normaltextrun1"/>
    <w:basedOn w:val="DefaultParagraphFont"/>
    <w:rsid w:val="00590279"/>
  </w:style>
  <w:style w:type="character" w:styleId="PageNumber">
    <w:name w:val="page number"/>
    <w:basedOn w:val="DefaultParagraphFont"/>
    <w:rsid w:val="00307318"/>
  </w:style>
  <w:style w:type="table" w:customStyle="1" w:styleId="TableGrid4">
    <w:name w:val="Table Grid4"/>
    <w:basedOn w:val="TableNormal"/>
    <w:next w:val="TableGrid"/>
    <w:uiPriority w:val="59"/>
    <w:rsid w:val="00307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0731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wales.nhs.uk/governance-emanual/how-the-health-and-care-standards-are-s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A7443F6F4B740E7AAEA95F463438F17"/>
        <w:category>
          <w:name w:val="General"/>
          <w:gallery w:val="placeholder"/>
        </w:category>
        <w:types>
          <w:type w:val="bbPlcHdr"/>
        </w:types>
        <w:behaviors>
          <w:behavior w:val="content"/>
        </w:behaviors>
        <w:guid w:val="{CC2785F5-21CA-4F92-BBF0-C45F4D024D72}"/>
      </w:docPartPr>
      <w:docPartBody>
        <w:p w:rsidR="00116C1C" w:rsidRDefault="00A85A98" w:rsidP="00A85A98">
          <w:pPr>
            <w:pStyle w:val="2A7443F6F4B740E7AAEA95F463438F17"/>
          </w:pPr>
          <w:r w:rsidRPr="001C60B5">
            <w:rPr>
              <w:rStyle w:val="PlaceholderText"/>
              <w:szCs w:val="24"/>
            </w:rPr>
            <w:t>Choose an item.</w:t>
          </w:r>
        </w:p>
      </w:docPartBody>
    </w:docPart>
    <w:docPart>
      <w:docPartPr>
        <w:name w:val="5EDF0A1431EE40C7A449DF60C8C677B5"/>
        <w:category>
          <w:name w:val="General"/>
          <w:gallery w:val="placeholder"/>
        </w:category>
        <w:types>
          <w:type w:val="bbPlcHdr"/>
        </w:types>
        <w:behaviors>
          <w:behavior w:val="content"/>
        </w:behaviors>
        <w:guid w:val="{6E0E8569-CD2F-4F9F-B389-314EDD57B8EB}"/>
      </w:docPartPr>
      <w:docPartBody>
        <w:p w:rsidR="003A18D1" w:rsidRDefault="005D36E4" w:rsidP="005D36E4">
          <w:pPr>
            <w:pStyle w:val="5EDF0A1431EE40C7A449DF60C8C677B5"/>
          </w:pPr>
          <w:r w:rsidRPr="007D79E4">
            <w:rPr>
              <w:rStyle w:val="PlaceholderText"/>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A98"/>
    <w:rsid w:val="00116C1C"/>
    <w:rsid w:val="003A18D1"/>
    <w:rsid w:val="005D36E4"/>
    <w:rsid w:val="00753E1B"/>
    <w:rsid w:val="008554B4"/>
    <w:rsid w:val="00A82B1E"/>
    <w:rsid w:val="00A85A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36E4"/>
    <w:rPr>
      <w:color w:val="808080"/>
    </w:rPr>
  </w:style>
  <w:style w:type="paragraph" w:customStyle="1" w:styleId="732BA7D592684F7CB6D02F0FDAB2FDE2">
    <w:name w:val="732BA7D592684F7CB6D02F0FDAB2FDE2"/>
    <w:rsid w:val="00A85A98"/>
  </w:style>
  <w:style w:type="paragraph" w:customStyle="1" w:styleId="018C81E5D4EF41C2BB85693E42D41F25">
    <w:name w:val="018C81E5D4EF41C2BB85693E42D41F25"/>
    <w:rsid w:val="00A85A98"/>
  </w:style>
  <w:style w:type="paragraph" w:customStyle="1" w:styleId="08BD0632B1B64360864339B6F56A2553">
    <w:name w:val="08BD0632B1B64360864339B6F56A2553"/>
    <w:rsid w:val="00A85A98"/>
  </w:style>
  <w:style w:type="paragraph" w:customStyle="1" w:styleId="B3FCEA98DD2A4C92B8B0912EC026648D">
    <w:name w:val="B3FCEA98DD2A4C92B8B0912EC026648D"/>
    <w:rsid w:val="00A85A98"/>
  </w:style>
  <w:style w:type="paragraph" w:customStyle="1" w:styleId="AA0619D609FA408B8804A834B2B5EDDA">
    <w:name w:val="AA0619D609FA408B8804A834B2B5EDDA"/>
    <w:rsid w:val="00A85A98"/>
  </w:style>
  <w:style w:type="paragraph" w:customStyle="1" w:styleId="4DC0A2200EAD4C5DA4053AFB183E15CD">
    <w:name w:val="4DC0A2200EAD4C5DA4053AFB183E15CD"/>
    <w:rsid w:val="00A85A98"/>
  </w:style>
  <w:style w:type="paragraph" w:customStyle="1" w:styleId="C1FAD6B153A44C8F8B6ED1C50EA69FDC">
    <w:name w:val="C1FAD6B153A44C8F8B6ED1C50EA69FDC"/>
    <w:rsid w:val="00A85A98"/>
  </w:style>
  <w:style w:type="paragraph" w:customStyle="1" w:styleId="05263F42091543528F09E67D4653050F">
    <w:name w:val="05263F42091543528F09E67D4653050F"/>
    <w:rsid w:val="00A85A98"/>
  </w:style>
  <w:style w:type="paragraph" w:customStyle="1" w:styleId="948B6B805C0947839F55DCBA57EEF450">
    <w:name w:val="948B6B805C0947839F55DCBA57EEF450"/>
    <w:rsid w:val="00A85A98"/>
  </w:style>
  <w:style w:type="paragraph" w:customStyle="1" w:styleId="D4D7C7B6AA734B889F3886DDB2D33433">
    <w:name w:val="D4D7C7B6AA734B889F3886DDB2D33433"/>
    <w:rsid w:val="00A85A98"/>
  </w:style>
  <w:style w:type="paragraph" w:customStyle="1" w:styleId="F0F83F72902F46178949D552F8E5EC33">
    <w:name w:val="F0F83F72902F46178949D552F8E5EC33"/>
    <w:rsid w:val="00A85A98"/>
  </w:style>
  <w:style w:type="paragraph" w:customStyle="1" w:styleId="8E6F7D51652B45998A013CB1CA8A0C18">
    <w:name w:val="8E6F7D51652B45998A013CB1CA8A0C18"/>
    <w:rsid w:val="00A85A98"/>
  </w:style>
  <w:style w:type="paragraph" w:customStyle="1" w:styleId="2A7443F6F4B740E7AAEA95F463438F17">
    <w:name w:val="2A7443F6F4B740E7AAEA95F463438F17"/>
    <w:rsid w:val="00A85A98"/>
  </w:style>
  <w:style w:type="paragraph" w:customStyle="1" w:styleId="271F64CD6DAF41FCB606C5751E5B8090">
    <w:name w:val="271F64CD6DAF41FCB606C5751E5B8090"/>
    <w:rsid w:val="00A85A98"/>
  </w:style>
  <w:style w:type="paragraph" w:customStyle="1" w:styleId="551042B75E9E4559AFD31C126D4F853D">
    <w:name w:val="551042B75E9E4559AFD31C126D4F853D"/>
    <w:rsid w:val="00A85A98"/>
  </w:style>
  <w:style w:type="paragraph" w:customStyle="1" w:styleId="5EDF0A1431EE40C7A449DF60C8C677B5">
    <w:name w:val="5EDF0A1431EE40C7A449DF60C8C677B5"/>
    <w:rsid w:val="005D36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1040</Words>
  <Characters>5932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Public Health Wales NHS Trust</Company>
  <LinksUpToDate>false</LinksUpToDate>
  <CharactersWithSpaces>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Blayney (Public Health Wales - No. 2 Capital Quarter)</dc:creator>
  <cp:keywords/>
  <dc:description/>
  <cp:lastModifiedBy>Helen Bushell (Public Health Wales - No. 2 Capital Quarter)</cp:lastModifiedBy>
  <cp:revision>7</cp:revision>
  <dcterms:created xsi:type="dcterms:W3CDTF">2021-03-17T18:40:00Z</dcterms:created>
  <dcterms:modified xsi:type="dcterms:W3CDTF">2021-03-19T16:22:00Z</dcterms:modified>
</cp:coreProperties>
</file>