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4"/>
        <w:gridCol w:w="1662"/>
        <w:gridCol w:w="1818"/>
      </w:tblGrid>
      <w:tr w:rsidR="0013075E" w:rsidRPr="008F1F7E" w:rsidTr="0013075E">
        <w:tc>
          <w:tcPr>
            <w:tcW w:w="5202" w:type="dxa"/>
            <w:gridSpan w:val="4"/>
            <w:vMerge w:val="restart"/>
          </w:tcPr>
          <w:p w:rsidR="0013075E" w:rsidRPr="008F1F7E" w:rsidRDefault="0013075E" w:rsidP="00CF7674">
            <w:r w:rsidRPr="008F1F7E">
              <w:rPr>
                <w:b/>
                <w:noProof/>
                <w:lang w:eastAsia="en-GB"/>
              </w:rPr>
              <w:drawing>
                <wp:inline distT="0" distB="0" distL="0" distR="0" wp14:anchorId="358C7439" wp14:editId="68538147">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2"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4040" w:type="dxa"/>
            <w:gridSpan w:val="3"/>
            <w:tcBorders>
              <w:bottom w:val="nil"/>
            </w:tcBorders>
          </w:tcPr>
          <w:p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szCs w:val="24"/>
              </w:rPr>
            </w:sdtEndPr>
            <w:sdtContent>
              <w:p w:rsidR="0013075E" w:rsidRPr="00EE7097" w:rsidRDefault="0027253B" w:rsidP="00EE7097">
                <w:pPr>
                  <w:jc w:val="right"/>
                  <w:rPr>
                    <w:b/>
                    <w:szCs w:val="24"/>
                  </w:rPr>
                </w:pPr>
                <w:r>
                  <w:rPr>
                    <w:rStyle w:val="Dropdown"/>
                  </w:rPr>
                  <w:t>Board</w:t>
                </w:r>
              </w:p>
            </w:sdtContent>
          </w:sdt>
        </w:tc>
      </w:tr>
      <w:tr w:rsidR="0013075E" w:rsidRPr="008F1F7E" w:rsidTr="0013075E">
        <w:tc>
          <w:tcPr>
            <w:tcW w:w="5202" w:type="dxa"/>
            <w:gridSpan w:val="4"/>
            <w:vMerge/>
          </w:tcPr>
          <w:p w:rsidR="0013075E" w:rsidRPr="008F1F7E" w:rsidRDefault="0013075E" w:rsidP="00CF7674">
            <w:pPr>
              <w:rPr>
                <w:b/>
                <w:noProof/>
                <w:lang w:eastAsia="en-GB"/>
              </w:rPr>
            </w:pPr>
          </w:p>
        </w:tc>
        <w:tc>
          <w:tcPr>
            <w:tcW w:w="4040" w:type="dxa"/>
            <w:gridSpan w:val="3"/>
            <w:tcBorders>
              <w:top w:val="nil"/>
              <w:bottom w:val="nil"/>
            </w:tcBorders>
          </w:tcPr>
          <w:p w:rsidR="00D34F08" w:rsidRPr="00D34F08" w:rsidRDefault="00D34F08" w:rsidP="00EE7097">
            <w:pPr>
              <w:jc w:val="right"/>
              <w:rPr>
                <w:b/>
              </w:rPr>
            </w:pPr>
            <w:r w:rsidRPr="00D34F08">
              <w:rPr>
                <w:b/>
              </w:rPr>
              <w:t>Date of Meeting</w:t>
            </w:r>
          </w:p>
          <w:p w:rsidR="0013075E" w:rsidRPr="00D34F08" w:rsidRDefault="005A3A4A" w:rsidP="00EE7097">
            <w:pPr>
              <w:jc w:val="right"/>
              <w:rPr>
                <w:color w:val="FF0000"/>
              </w:rPr>
            </w:pPr>
            <w:r w:rsidRPr="0027253B">
              <w:t>15 March 2021</w:t>
            </w:r>
          </w:p>
        </w:tc>
      </w:tr>
      <w:tr w:rsidR="0013075E" w:rsidRPr="008F1F7E" w:rsidTr="0013075E">
        <w:tc>
          <w:tcPr>
            <w:tcW w:w="5202" w:type="dxa"/>
            <w:gridSpan w:val="4"/>
            <w:vMerge/>
            <w:tcBorders>
              <w:bottom w:val="single" w:sz="4" w:space="0" w:color="auto"/>
            </w:tcBorders>
          </w:tcPr>
          <w:p w:rsidR="0013075E" w:rsidRPr="008F1F7E" w:rsidRDefault="0013075E" w:rsidP="00CF7674">
            <w:pPr>
              <w:rPr>
                <w:b/>
                <w:noProof/>
                <w:lang w:eastAsia="en-GB"/>
              </w:rPr>
            </w:pPr>
          </w:p>
        </w:tc>
        <w:tc>
          <w:tcPr>
            <w:tcW w:w="4040" w:type="dxa"/>
            <w:gridSpan w:val="3"/>
            <w:tcBorders>
              <w:top w:val="nil"/>
              <w:bottom w:val="single" w:sz="4" w:space="0" w:color="auto"/>
            </w:tcBorders>
          </w:tcPr>
          <w:p w:rsidR="0013075E" w:rsidRPr="008F1F7E" w:rsidRDefault="0013075E" w:rsidP="00EE7097">
            <w:pPr>
              <w:jc w:val="right"/>
              <w:rPr>
                <w:b/>
              </w:rPr>
            </w:pPr>
            <w:r w:rsidRPr="008F1F7E">
              <w:rPr>
                <w:b/>
              </w:rPr>
              <w:t>Agenda item:</w:t>
            </w:r>
          </w:p>
          <w:p w:rsidR="0013075E" w:rsidRPr="00EE7097" w:rsidRDefault="002A653D" w:rsidP="00612ED1">
            <w:pPr>
              <w:jc w:val="right"/>
              <w:rPr>
                <w:i/>
                <w:color w:val="FF0000"/>
              </w:rPr>
            </w:pPr>
            <w:r>
              <w:rPr>
                <w:i/>
              </w:rPr>
              <w:t>3.7.1 250321</w:t>
            </w:r>
            <w:r w:rsidR="00612ED1">
              <w:rPr>
                <w:i/>
                <w:color w:val="FF0000"/>
              </w:rPr>
              <w:t xml:space="preserve"> </w:t>
            </w:r>
          </w:p>
        </w:tc>
      </w:tr>
      <w:tr w:rsidR="00EE7097" w:rsidRPr="008F1F7E" w:rsidTr="00407604">
        <w:tc>
          <w:tcPr>
            <w:tcW w:w="9242" w:type="dxa"/>
            <w:gridSpan w:val="7"/>
            <w:tcBorders>
              <w:left w:val="nil"/>
              <w:right w:val="nil"/>
            </w:tcBorders>
            <w:vAlign w:val="center"/>
          </w:tcPr>
          <w:p w:rsidR="003B7B09" w:rsidRDefault="003B7B09" w:rsidP="00D34F08">
            <w:pPr>
              <w:rPr>
                <w:b/>
                <w:sz w:val="28"/>
              </w:rPr>
            </w:pPr>
          </w:p>
          <w:p w:rsidR="00D34F08" w:rsidRPr="00912C7B" w:rsidRDefault="00D34F08" w:rsidP="00D47E5C">
            <w:pPr>
              <w:jc w:val="center"/>
              <w:rPr>
                <w:b/>
                <w:sz w:val="28"/>
              </w:rPr>
            </w:pPr>
          </w:p>
        </w:tc>
      </w:tr>
      <w:tr w:rsidR="00EE7097" w:rsidRPr="008F1F7E" w:rsidTr="00544C9E">
        <w:tc>
          <w:tcPr>
            <w:tcW w:w="9242" w:type="dxa"/>
            <w:gridSpan w:val="7"/>
            <w:vAlign w:val="center"/>
          </w:tcPr>
          <w:p w:rsidR="00EE7097" w:rsidRPr="00D34F08" w:rsidRDefault="00977DFC" w:rsidP="00D34F08">
            <w:pPr>
              <w:jc w:val="center"/>
              <w:rPr>
                <w:b/>
                <w:sz w:val="36"/>
                <w:szCs w:val="36"/>
              </w:rPr>
            </w:pPr>
            <w:r>
              <w:rPr>
                <w:b/>
                <w:sz w:val="36"/>
                <w:szCs w:val="36"/>
              </w:rPr>
              <w:t>Financial Plan and Budgetary Control Framework 2021/22</w:t>
            </w:r>
          </w:p>
        </w:tc>
      </w:tr>
      <w:tr w:rsidR="00EE7097" w:rsidRPr="001C60B5" w:rsidTr="0013075E">
        <w:tc>
          <w:tcPr>
            <w:tcW w:w="2802" w:type="dxa"/>
            <w:gridSpan w:val="2"/>
          </w:tcPr>
          <w:p w:rsidR="00EE7097" w:rsidRPr="001C60B5" w:rsidRDefault="00EE7097">
            <w:pPr>
              <w:rPr>
                <w:b/>
                <w:szCs w:val="24"/>
              </w:rPr>
            </w:pPr>
            <w:r w:rsidRPr="001C60B5">
              <w:rPr>
                <w:b/>
                <w:szCs w:val="24"/>
              </w:rPr>
              <w:t>Executive lead:</w:t>
            </w:r>
          </w:p>
        </w:tc>
        <w:tc>
          <w:tcPr>
            <w:tcW w:w="6440" w:type="dxa"/>
            <w:gridSpan w:val="5"/>
          </w:tcPr>
          <w:p w:rsidR="00EE7097" w:rsidRPr="00D47E5C" w:rsidRDefault="00D47E5C" w:rsidP="00D47E5C">
            <w:pPr>
              <w:rPr>
                <w:szCs w:val="24"/>
              </w:rPr>
            </w:pPr>
            <w:r w:rsidRPr="00D47E5C">
              <w:rPr>
                <w:szCs w:val="24"/>
              </w:rPr>
              <w:t>Huw George, Deputy Chief Executive / Ex</w:t>
            </w:r>
            <w:r w:rsidR="00733287">
              <w:rPr>
                <w:szCs w:val="24"/>
              </w:rPr>
              <w:t>ec</w:t>
            </w:r>
            <w:r w:rsidRPr="00D47E5C">
              <w:rPr>
                <w:szCs w:val="24"/>
              </w:rPr>
              <w:t xml:space="preserve">utive Director Operations and Finance </w:t>
            </w:r>
          </w:p>
        </w:tc>
      </w:tr>
      <w:tr w:rsidR="00EE7097" w:rsidRPr="001C60B5" w:rsidTr="0013075E">
        <w:tc>
          <w:tcPr>
            <w:tcW w:w="2802" w:type="dxa"/>
            <w:gridSpan w:val="2"/>
          </w:tcPr>
          <w:p w:rsidR="00EE7097" w:rsidRPr="001C60B5" w:rsidRDefault="00EE7097">
            <w:pPr>
              <w:rPr>
                <w:b/>
                <w:szCs w:val="24"/>
              </w:rPr>
            </w:pPr>
            <w:r w:rsidRPr="001C60B5">
              <w:rPr>
                <w:b/>
                <w:szCs w:val="24"/>
              </w:rPr>
              <w:t>Author</w:t>
            </w:r>
            <w:r w:rsidR="00D47E5C">
              <w:rPr>
                <w:b/>
                <w:szCs w:val="24"/>
              </w:rPr>
              <w:t>s</w:t>
            </w:r>
            <w:r w:rsidRPr="001C60B5">
              <w:rPr>
                <w:b/>
                <w:szCs w:val="24"/>
              </w:rPr>
              <w:t>:</w:t>
            </w:r>
          </w:p>
        </w:tc>
        <w:tc>
          <w:tcPr>
            <w:tcW w:w="6440" w:type="dxa"/>
            <w:gridSpan w:val="5"/>
          </w:tcPr>
          <w:p w:rsidR="00D47E5C" w:rsidRPr="00D47E5C" w:rsidRDefault="00D47E5C" w:rsidP="00051E74">
            <w:pPr>
              <w:rPr>
                <w:szCs w:val="24"/>
              </w:rPr>
            </w:pPr>
            <w:r w:rsidRPr="00D47E5C">
              <w:rPr>
                <w:szCs w:val="24"/>
              </w:rPr>
              <w:t>Angela Fisher, Deputy Director of Finance</w:t>
            </w:r>
          </w:p>
          <w:p w:rsidR="00D47E5C" w:rsidRPr="00D47E5C" w:rsidRDefault="00D47E5C" w:rsidP="00051E74">
            <w:pPr>
              <w:rPr>
                <w:szCs w:val="24"/>
              </w:rPr>
            </w:pPr>
          </w:p>
        </w:tc>
      </w:tr>
      <w:tr w:rsidR="00EE7097" w:rsidRPr="001C60B5" w:rsidTr="005B4E75">
        <w:trPr>
          <w:trHeight w:val="149"/>
        </w:trPr>
        <w:tc>
          <w:tcPr>
            <w:tcW w:w="2802" w:type="dxa"/>
            <w:gridSpan w:val="2"/>
            <w:tcBorders>
              <w:left w:val="nil"/>
              <w:right w:val="nil"/>
            </w:tcBorders>
          </w:tcPr>
          <w:p w:rsidR="00EE7097" w:rsidRPr="005B4E75" w:rsidRDefault="00EE7097">
            <w:pPr>
              <w:rPr>
                <w:b/>
                <w:sz w:val="12"/>
                <w:szCs w:val="12"/>
              </w:rPr>
            </w:pPr>
          </w:p>
        </w:tc>
        <w:tc>
          <w:tcPr>
            <w:tcW w:w="6440" w:type="dxa"/>
            <w:gridSpan w:val="5"/>
            <w:tcBorders>
              <w:left w:val="nil"/>
              <w:right w:val="nil"/>
            </w:tcBorders>
          </w:tcPr>
          <w:p w:rsidR="00EE7097" w:rsidRPr="005B4E75" w:rsidRDefault="00EE7097">
            <w:pPr>
              <w:rPr>
                <w:sz w:val="12"/>
                <w:szCs w:val="12"/>
              </w:rPr>
            </w:pPr>
          </w:p>
        </w:tc>
      </w:tr>
      <w:tr w:rsidR="00EE7097" w:rsidRPr="001C60B5" w:rsidTr="0013075E">
        <w:tc>
          <w:tcPr>
            <w:tcW w:w="2802" w:type="dxa"/>
            <w:gridSpan w:val="2"/>
          </w:tcPr>
          <w:p w:rsidR="00EE7097" w:rsidRPr="001C60B5" w:rsidRDefault="00EE7097">
            <w:pPr>
              <w:rPr>
                <w:b/>
                <w:szCs w:val="24"/>
              </w:rPr>
            </w:pPr>
            <w:r w:rsidRPr="001C60B5">
              <w:rPr>
                <w:b/>
                <w:szCs w:val="24"/>
              </w:rPr>
              <w:t>Approval/Scrutiny route:</w:t>
            </w:r>
          </w:p>
        </w:tc>
        <w:tc>
          <w:tcPr>
            <w:tcW w:w="6440" w:type="dxa"/>
            <w:gridSpan w:val="5"/>
          </w:tcPr>
          <w:p w:rsidR="00EE7097" w:rsidRPr="00D34F08" w:rsidRDefault="00977DFC" w:rsidP="00977DFC">
            <w:pPr>
              <w:rPr>
                <w:color w:val="FF0000"/>
                <w:szCs w:val="24"/>
              </w:rPr>
            </w:pPr>
            <w:r>
              <w:rPr>
                <w:szCs w:val="24"/>
              </w:rPr>
              <w:t>Updates on budget principles and financial plan previously provided to Business Executive Team.</w:t>
            </w:r>
          </w:p>
        </w:tc>
      </w:tr>
      <w:tr w:rsidR="006C4A51" w:rsidRPr="001C60B5" w:rsidTr="005B4E75">
        <w:tc>
          <w:tcPr>
            <w:tcW w:w="9242" w:type="dxa"/>
            <w:gridSpan w:val="7"/>
            <w:tcBorders>
              <w:left w:val="nil"/>
              <w:bottom w:val="single" w:sz="4" w:space="0" w:color="auto"/>
              <w:right w:val="nil"/>
            </w:tcBorders>
          </w:tcPr>
          <w:p w:rsidR="006C4A51" w:rsidRPr="005B4E75" w:rsidRDefault="006C4A51">
            <w:pPr>
              <w:rPr>
                <w:b/>
                <w:sz w:val="12"/>
                <w:szCs w:val="12"/>
              </w:rPr>
            </w:pPr>
          </w:p>
        </w:tc>
      </w:tr>
      <w:tr w:rsidR="005B4E75" w:rsidRPr="001C60B5" w:rsidTr="005B4E75">
        <w:tc>
          <w:tcPr>
            <w:tcW w:w="9242" w:type="dxa"/>
            <w:gridSpan w:val="7"/>
            <w:tcBorders>
              <w:left w:val="single" w:sz="4" w:space="0" w:color="auto"/>
              <w:right w:val="single" w:sz="4" w:space="0" w:color="auto"/>
            </w:tcBorders>
          </w:tcPr>
          <w:p w:rsidR="005B4E75" w:rsidRPr="001C60B5" w:rsidRDefault="005B4E75">
            <w:pPr>
              <w:rPr>
                <w:b/>
                <w:szCs w:val="24"/>
              </w:rPr>
            </w:pPr>
            <w:r>
              <w:rPr>
                <w:b/>
                <w:szCs w:val="24"/>
              </w:rPr>
              <w:t>Purpose</w:t>
            </w:r>
          </w:p>
        </w:tc>
      </w:tr>
      <w:tr w:rsidR="005B4E75" w:rsidRPr="001C60B5" w:rsidTr="005B4E75">
        <w:tc>
          <w:tcPr>
            <w:tcW w:w="9242" w:type="dxa"/>
            <w:gridSpan w:val="7"/>
            <w:tcBorders>
              <w:left w:val="single" w:sz="4" w:space="0" w:color="auto"/>
              <w:right w:val="single" w:sz="4" w:space="0" w:color="auto"/>
            </w:tcBorders>
          </w:tcPr>
          <w:p w:rsidR="00D47E5C" w:rsidRPr="00D47E5C" w:rsidRDefault="00977DFC" w:rsidP="002A653D">
            <w:pPr>
              <w:tabs>
                <w:tab w:val="left" w:pos="447"/>
              </w:tabs>
              <w:spacing w:after="200" w:line="276" w:lineRule="auto"/>
              <w:contextualSpacing/>
              <w:jc w:val="both"/>
              <w:rPr>
                <w:szCs w:val="24"/>
              </w:rPr>
            </w:pPr>
            <w:r w:rsidRPr="00977DFC">
              <w:rPr>
                <w:rFonts w:eastAsia="Verdana"/>
                <w:szCs w:val="24"/>
              </w:rPr>
              <w:t>The purpose of t</w:t>
            </w:r>
            <w:r w:rsidR="002A653D">
              <w:rPr>
                <w:rFonts w:eastAsia="Verdana"/>
                <w:szCs w:val="24"/>
              </w:rPr>
              <w:t xml:space="preserve">his report is to outline to </w:t>
            </w:r>
            <w:r w:rsidRPr="00977DFC">
              <w:rPr>
                <w:rFonts w:eastAsia="Verdana"/>
                <w:szCs w:val="24"/>
              </w:rPr>
              <w:t xml:space="preserve">the Board the </w:t>
            </w:r>
            <w:r w:rsidR="002A653D">
              <w:rPr>
                <w:rFonts w:eastAsia="Verdana"/>
                <w:szCs w:val="24"/>
              </w:rPr>
              <w:t xml:space="preserve">draft </w:t>
            </w:r>
            <w:r>
              <w:rPr>
                <w:rFonts w:eastAsia="Verdana"/>
                <w:szCs w:val="24"/>
              </w:rPr>
              <w:t xml:space="preserve">Public Health Wales </w:t>
            </w:r>
            <w:r w:rsidRPr="00977DFC">
              <w:rPr>
                <w:rFonts w:eastAsia="Verdana"/>
                <w:szCs w:val="24"/>
              </w:rPr>
              <w:t xml:space="preserve">revenue and capital </w:t>
            </w:r>
            <w:r>
              <w:rPr>
                <w:rFonts w:eastAsia="Verdana"/>
                <w:szCs w:val="24"/>
              </w:rPr>
              <w:t>financial plan for 2021/22 along with budgetary control framework that will be applied for the financial year.</w:t>
            </w:r>
            <w:r w:rsidRPr="00977DFC">
              <w:rPr>
                <w:rFonts w:eastAsia="Verdana"/>
                <w:szCs w:val="24"/>
              </w:rPr>
              <w:t xml:space="preserve">  </w:t>
            </w:r>
          </w:p>
        </w:tc>
      </w:tr>
      <w:tr w:rsidR="005B4E75" w:rsidRPr="001C60B5" w:rsidTr="0000561A">
        <w:tc>
          <w:tcPr>
            <w:tcW w:w="9242" w:type="dxa"/>
            <w:gridSpan w:val="7"/>
            <w:tcBorders>
              <w:left w:val="nil"/>
              <w:right w:val="nil"/>
            </w:tcBorders>
          </w:tcPr>
          <w:p w:rsidR="005B4E75" w:rsidRPr="005B4E75" w:rsidRDefault="005B4E75">
            <w:pPr>
              <w:rPr>
                <w:b/>
                <w:sz w:val="12"/>
                <w:szCs w:val="12"/>
              </w:rPr>
            </w:pPr>
          </w:p>
        </w:tc>
      </w:tr>
      <w:tr w:rsidR="00EE7097" w:rsidRPr="001C60B5" w:rsidTr="00051E74">
        <w:tc>
          <w:tcPr>
            <w:tcW w:w="9242" w:type="dxa"/>
            <w:gridSpan w:val="7"/>
          </w:tcPr>
          <w:p w:rsidR="00EE7097" w:rsidRPr="0013075E" w:rsidRDefault="0013075E" w:rsidP="00D47E5C">
            <w:pPr>
              <w:rPr>
                <w:b/>
                <w:szCs w:val="24"/>
              </w:rPr>
            </w:pPr>
            <w:r>
              <w:rPr>
                <w:b/>
                <w:szCs w:val="24"/>
              </w:rPr>
              <w:t>Recommendation:</w:t>
            </w:r>
            <w:r w:rsidR="00E07F66">
              <w:rPr>
                <w:b/>
                <w:szCs w:val="24"/>
              </w:rPr>
              <w:t xml:space="preserve"> </w:t>
            </w:r>
          </w:p>
        </w:tc>
      </w:tr>
      <w:tr w:rsidR="005B4E75" w:rsidRPr="001C60B5" w:rsidTr="00D34F08">
        <w:tc>
          <w:tcPr>
            <w:tcW w:w="1848" w:type="dxa"/>
            <w:tcBorders>
              <w:bottom w:val="single" w:sz="4" w:space="0" w:color="auto"/>
            </w:tcBorders>
          </w:tcPr>
          <w:p w:rsidR="005B4E75" w:rsidRPr="007A47F5" w:rsidRDefault="005B4E75" w:rsidP="00D34F08">
            <w:pPr>
              <w:jc w:val="center"/>
              <w:rPr>
                <w:szCs w:val="24"/>
              </w:rPr>
            </w:pPr>
            <w:r w:rsidRPr="007A47F5">
              <w:rPr>
                <w:szCs w:val="24"/>
              </w:rPr>
              <w:t>APPROVE</w:t>
            </w:r>
          </w:p>
          <w:p w:rsidR="005B4E75" w:rsidRPr="007A47F5" w:rsidRDefault="005A3A4A" w:rsidP="00D34F08">
            <w:pPr>
              <w:jc w:val="center"/>
              <w:rPr>
                <w:rFonts w:ascii="Wingdings" w:hAnsi="Wingdings"/>
                <w:szCs w:val="24"/>
              </w:rPr>
            </w:pPr>
            <w:r>
              <w:rPr>
                <w:szCs w:val="24"/>
              </w:rPr>
              <w:fldChar w:fldCharType="begin">
                <w:ffData>
                  <w:name w:val="Check2"/>
                  <w:enabled/>
                  <w:calcOnExit w:val="0"/>
                  <w:checkBox>
                    <w:sizeAuto/>
                    <w:default w:val="1"/>
                  </w:checkBox>
                </w:ffData>
              </w:fldChar>
            </w:r>
            <w:r>
              <w:rPr>
                <w:szCs w:val="24"/>
              </w:rPr>
              <w:instrText xml:space="preserve"> FORMCHECKBOX </w:instrText>
            </w:r>
            <w:r w:rsidR="002A653D">
              <w:rPr>
                <w:szCs w:val="24"/>
              </w:rPr>
            </w:r>
            <w:r w:rsidR="002A653D">
              <w:rPr>
                <w:szCs w:val="24"/>
              </w:rPr>
              <w:fldChar w:fldCharType="separate"/>
            </w:r>
            <w:r>
              <w:rPr>
                <w:szCs w:val="24"/>
              </w:rPr>
              <w:fldChar w:fldCharType="end"/>
            </w:r>
          </w:p>
        </w:tc>
        <w:tc>
          <w:tcPr>
            <w:tcW w:w="1848" w:type="dxa"/>
            <w:gridSpan w:val="2"/>
            <w:tcBorders>
              <w:bottom w:val="single" w:sz="4" w:space="0" w:color="auto"/>
            </w:tcBorders>
          </w:tcPr>
          <w:p w:rsidR="005B4E75" w:rsidRDefault="005B4E75" w:rsidP="00D34F08">
            <w:pPr>
              <w:jc w:val="center"/>
              <w:rPr>
                <w:szCs w:val="24"/>
              </w:rPr>
            </w:pPr>
            <w:r w:rsidRPr="007A47F5">
              <w:rPr>
                <w:szCs w:val="24"/>
              </w:rPr>
              <w:t>CONSIDER</w:t>
            </w:r>
          </w:p>
          <w:p w:rsidR="005B4E75" w:rsidRPr="007A47F5" w:rsidRDefault="005A3A4A" w:rsidP="00D34F08">
            <w:pPr>
              <w:jc w:val="center"/>
              <w:rPr>
                <w:szCs w:val="24"/>
              </w:rPr>
            </w:pPr>
            <w:r>
              <w:rPr>
                <w:szCs w:val="24"/>
              </w:rPr>
              <w:fldChar w:fldCharType="begin">
                <w:ffData>
                  <w:name w:val="Check3"/>
                  <w:enabled/>
                  <w:calcOnExit w:val="0"/>
                  <w:checkBox>
                    <w:sizeAuto/>
                    <w:default w:val="0"/>
                  </w:checkBox>
                </w:ffData>
              </w:fldChar>
            </w:r>
            <w:r>
              <w:rPr>
                <w:szCs w:val="24"/>
              </w:rPr>
              <w:instrText xml:space="preserve"> FORMCHECKBOX </w:instrText>
            </w:r>
            <w:r w:rsidR="002A653D">
              <w:rPr>
                <w:szCs w:val="24"/>
              </w:rPr>
            </w:r>
            <w:r w:rsidR="002A653D">
              <w:rPr>
                <w:szCs w:val="24"/>
              </w:rPr>
              <w:fldChar w:fldCharType="separate"/>
            </w:r>
            <w:r>
              <w:rPr>
                <w:szCs w:val="24"/>
              </w:rPr>
              <w:fldChar w:fldCharType="end"/>
            </w:r>
          </w:p>
        </w:tc>
        <w:tc>
          <w:tcPr>
            <w:tcW w:w="1849" w:type="dxa"/>
            <w:gridSpan w:val="2"/>
            <w:tcBorders>
              <w:bottom w:val="single" w:sz="4" w:space="0" w:color="auto"/>
            </w:tcBorders>
          </w:tcPr>
          <w:p w:rsidR="005B4E75" w:rsidRDefault="005B4E75" w:rsidP="00D34F08">
            <w:pPr>
              <w:jc w:val="center"/>
              <w:rPr>
                <w:szCs w:val="24"/>
              </w:rPr>
            </w:pPr>
            <w:r w:rsidRPr="007A47F5">
              <w:rPr>
                <w:szCs w:val="24"/>
              </w:rPr>
              <w:t>RECOMMEND</w:t>
            </w:r>
          </w:p>
          <w:p w:rsidR="005B4E75" w:rsidRPr="007A47F5" w:rsidRDefault="007F7EA7" w:rsidP="00D34F08">
            <w:pPr>
              <w:jc w:val="center"/>
              <w:rPr>
                <w:szCs w:val="24"/>
              </w:rPr>
            </w:pPr>
            <w:r>
              <w:rPr>
                <w:szCs w:val="24"/>
              </w:rPr>
              <w:fldChar w:fldCharType="begin">
                <w:ffData>
                  <w:name w:val="Check3"/>
                  <w:enabled/>
                  <w:calcOnExit w:val="0"/>
                  <w:checkBox>
                    <w:sizeAuto/>
                    <w:default w:val="0"/>
                  </w:checkBox>
                </w:ffData>
              </w:fldChar>
            </w:r>
            <w:bookmarkStart w:id="0" w:name="Check3"/>
            <w:r w:rsidR="005B4E75">
              <w:rPr>
                <w:szCs w:val="24"/>
              </w:rPr>
              <w:instrText xml:space="preserve"> FORMCHECKBOX </w:instrText>
            </w:r>
            <w:r w:rsidR="002A653D">
              <w:rPr>
                <w:szCs w:val="24"/>
              </w:rPr>
            </w:r>
            <w:r w:rsidR="002A653D">
              <w:rPr>
                <w:szCs w:val="24"/>
              </w:rPr>
              <w:fldChar w:fldCharType="separate"/>
            </w:r>
            <w:r>
              <w:rPr>
                <w:szCs w:val="24"/>
              </w:rPr>
              <w:fldChar w:fldCharType="end"/>
            </w:r>
            <w:bookmarkEnd w:id="0"/>
          </w:p>
        </w:tc>
        <w:tc>
          <w:tcPr>
            <w:tcW w:w="1848" w:type="dxa"/>
            <w:tcBorders>
              <w:bottom w:val="single" w:sz="4" w:space="0" w:color="auto"/>
            </w:tcBorders>
          </w:tcPr>
          <w:p w:rsidR="005B4E75" w:rsidRDefault="005B4E75" w:rsidP="00D34F08">
            <w:pPr>
              <w:jc w:val="center"/>
              <w:rPr>
                <w:szCs w:val="24"/>
              </w:rPr>
            </w:pPr>
            <w:r w:rsidRPr="007A47F5">
              <w:rPr>
                <w:szCs w:val="24"/>
              </w:rPr>
              <w:t>ADOPT</w:t>
            </w:r>
          </w:p>
          <w:p w:rsidR="005B4E75" w:rsidRPr="007A47F5" w:rsidRDefault="007F7EA7" w:rsidP="00D34F08">
            <w:pPr>
              <w:jc w:val="center"/>
              <w:rPr>
                <w:szCs w:val="24"/>
              </w:rPr>
            </w:pPr>
            <w:r>
              <w:rPr>
                <w:szCs w:val="24"/>
              </w:rPr>
              <w:fldChar w:fldCharType="begin">
                <w:ffData>
                  <w:name w:val="Check4"/>
                  <w:enabled/>
                  <w:calcOnExit w:val="0"/>
                  <w:checkBox>
                    <w:sizeAuto/>
                    <w:default w:val="0"/>
                  </w:checkBox>
                </w:ffData>
              </w:fldChar>
            </w:r>
            <w:bookmarkStart w:id="1" w:name="Check4"/>
            <w:r w:rsidR="005B4E75">
              <w:rPr>
                <w:szCs w:val="24"/>
              </w:rPr>
              <w:instrText xml:space="preserve"> FORMCHECKBOX </w:instrText>
            </w:r>
            <w:r w:rsidR="002A653D">
              <w:rPr>
                <w:szCs w:val="24"/>
              </w:rPr>
            </w:r>
            <w:r w:rsidR="002A653D">
              <w:rPr>
                <w:szCs w:val="24"/>
              </w:rPr>
              <w:fldChar w:fldCharType="separate"/>
            </w:r>
            <w:r>
              <w:rPr>
                <w:szCs w:val="24"/>
              </w:rPr>
              <w:fldChar w:fldCharType="end"/>
            </w:r>
            <w:bookmarkEnd w:id="1"/>
          </w:p>
        </w:tc>
        <w:tc>
          <w:tcPr>
            <w:tcW w:w="1849" w:type="dxa"/>
            <w:tcBorders>
              <w:bottom w:val="single" w:sz="4" w:space="0" w:color="auto"/>
            </w:tcBorders>
          </w:tcPr>
          <w:p w:rsidR="005B4E75" w:rsidRDefault="00141FC5" w:rsidP="00D34F08">
            <w:pPr>
              <w:jc w:val="center"/>
              <w:rPr>
                <w:szCs w:val="24"/>
              </w:rPr>
            </w:pPr>
            <w:r>
              <w:rPr>
                <w:szCs w:val="24"/>
              </w:rPr>
              <w:t>ASSURANCE</w:t>
            </w:r>
          </w:p>
          <w:p w:rsidR="005B4E75" w:rsidRPr="007A47F5" w:rsidRDefault="007F7EA7" w:rsidP="00D34F08">
            <w:pPr>
              <w:jc w:val="center"/>
              <w:rPr>
                <w:szCs w:val="24"/>
              </w:rPr>
            </w:pPr>
            <w:r>
              <w:rPr>
                <w:szCs w:val="24"/>
              </w:rPr>
              <w:fldChar w:fldCharType="begin">
                <w:ffData>
                  <w:name w:val="Check5"/>
                  <w:enabled/>
                  <w:calcOnExit w:val="0"/>
                  <w:checkBox>
                    <w:sizeAuto/>
                    <w:default w:val="0"/>
                  </w:checkBox>
                </w:ffData>
              </w:fldChar>
            </w:r>
            <w:bookmarkStart w:id="2" w:name="Check5"/>
            <w:r w:rsidR="005B4E75">
              <w:rPr>
                <w:szCs w:val="24"/>
              </w:rPr>
              <w:instrText xml:space="preserve"> FORMCHECKBOX </w:instrText>
            </w:r>
            <w:r w:rsidR="002A653D">
              <w:rPr>
                <w:szCs w:val="24"/>
              </w:rPr>
            </w:r>
            <w:r w:rsidR="002A653D">
              <w:rPr>
                <w:szCs w:val="24"/>
              </w:rPr>
              <w:fldChar w:fldCharType="separate"/>
            </w:r>
            <w:r>
              <w:rPr>
                <w:szCs w:val="24"/>
              </w:rPr>
              <w:fldChar w:fldCharType="end"/>
            </w:r>
            <w:bookmarkEnd w:id="2"/>
          </w:p>
        </w:tc>
      </w:tr>
      <w:tr w:rsidR="00EE7097" w:rsidRPr="001C60B5" w:rsidTr="00051E74">
        <w:tc>
          <w:tcPr>
            <w:tcW w:w="9242" w:type="dxa"/>
            <w:gridSpan w:val="7"/>
            <w:tcBorders>
              <w:bottom w:val="single" w:sz="4" w:space="0" w:color="auto"/>
            </w:tcBorders>
          </w:tcPr>
          <w:p w:rsidR="00EE7097" w:rsidRPr="001C60B5" w:rsidRDefault="00EE7097" w:rsidP="007D03B8">
            <w:pPr>
              <w:rPr>
                <w:szCs w:val="24"/>
              </w:rPr>
            </w:pPr>
            <w:r w:rsidRPr="001C60B5">
              <w:rPr>
                <w:szCs w:val="24"/>
              </w:rPr>
              <w:t xml:space="preserve">The </w:t>
            </w:r>
            <w:r w:rsidR="002A653D">
              <w:rPr>
                <w:szCs w:val="24"/>
              </w:rPr>
              <w:t>Board</w:t>
            </w:r>
            <w:r w:rsidR="00D47E5C">
              <w:rPr>
                <w:szCs w:val="24"/>
              </w:rPr>
              <w:t xml:space="preserve"> is </w:t>
            </w:r>
            <w:r w:rsidRPr="001C60B5">
              <w:rPr>
                <w:szCs w:val="24"/>
              </w:rPr>
              <w:t>asked to</w:t>
            </w:r>
            <w:r w:rsidR="00977DFC">
              <w:rPr>
                <w:szCs w:val="24"/>
              </w:rPr>
              <w:t xml:space="preserve"> approve the </w:t>
            </w:r>
            <w:r w:rsidR="002A653D">
              <w:rPr>
                <w:szCs w:val="24"/>
              </w:rPr>
              <w:t xml:space="preserve">draft </w:t>
            </w:r>
            <w:r w:rsidR="00977DFC">
              <w:rPr>
                <w:szCs w:val="24"/>
              </w:rPr>
              <w:t>Financial Plan and Budgetary Control Framework 2021/22</w:t>
            </w:r>
            <w:r w:rsidR="005D3C87">
              <w:rPr>
                <w:szCs w:val="24"/>
              </w:rPr>
              <w:t>, noting the ongoing review and scrutiny process.</w:t>
            </w:r>
            <w:r w:rsidRPr="001C60B5">
              <w:rPr>
                <w:szCs w:val="24"/>
              </w:rPr>
              <w:t xml:space="preserve"> </w:t>
            </w:r>
          </w:p>
          <w:p w:rsidR="00D47E5C" w:rsidRPr="00916053" w:rsidRDefault="00D47E5C" w:rsidP="00977DFC">
            <w:pPr>
              <w:pStyle w:val="ListParagraph"/>
              <w:ind w:left="851"/>
              <w:rPr>
                <w:szCs w:val="24"/>
              </w:rPr>
            </w:pPr>
          </w:p>
        </w:tc>
      </w:tr>
    </w:tbl>
    <w:p w:rsidR="00916053" w:rsidRDefault="00916053">
      <w:r>
        <w:br w:type="page"/>
      </w:r>
    </w:p>
    <w:tbl>
      <w:tblPr>
        <w:tblStyle w:val="TableGrid"/>
        <w:tblW w:w="0" w:type="auto"/>
        <w:tblLook w:val="04A0" w:firstRow="1" w:lastRow="0" w:firstColumn="1" w:lastColumn="0" w:noHBand="0" w:noVBand="1"/>
      </w:tblPr>
      <w:tblGrid>
        <w:gridCol w:w="3192"/>
        <w:gridCol w:w="5834"/>
      </w:tblGrid>
      <w:tr w:rsidR="00D713DC" w:rsidRPr="001C60B5" w:rsidTr="00480353">
        <w:tc>
          <w:tcPr>
            <w:tcW w:w="9026" w:type="dxa"/>
            <w:gridSpan w:val="2"/>
            <w:tcBorders>
              <w:left w:val="nil"/>
              <w:right w:val="nil"/>
            </w:tcBorders>
            <w:shd w:val="clear" w:color="auto" w:fill="auto"/>
          </w:tcPr>
          <w:p w:rsidR="00D713DC" w:rsidRPr="005B4E75" w:rsidRDefault="00D713DC">
            <w:pPr>
              <w:rPr>
                <w:b/>
                <w:sz w:val="12"/>
                <w:szCs w:val="12"/>
              </w:rPr>
            </w:pPr>
          </w:p>
        </w:tc>
      </w:tr>
      <w:tr w:rsidR="00EE7097" w:rsidRPr="001C60B5" w:rsidTr="00480353">
        <w:tc>
          <w:tcPr>
            <w:tcW w:w="9026" w:type="dxa"/>
            <w:gridSpan w:val="2"/>
            <w:shd w:val="clear" w:color="auto" w:fill="F2F2F2" w:themeFill="background1" w:themeFillShade="F2"/>
          </w:tcPr>
          <w:p w:rsidR="00EE7097" w:rsidRPr="001C60B5" w:rsidRDefault="00EE7097" w:rsidP="00680248">
            <w:pPr>
              <w:rPr>
                <w:szCs w:val="24"/>
              </w:rPr>
            </w:pPr>
            <w:r w:rsidRPr="001C60B5">
              <w:rPr>
                <w:b/>
                <w:szCs w:val="24"/>
              </w:rPr>
              <w:t xml:space="preserve">Link to Public Health Wales </w:t>
            </w:r>
            <w:hyperlink r:id="rId13" w:history="1">
              <w:r w:rsidRPr="001C60B5">
                <w:rPr>
                  <w:rStyle w:val="Hyperlink"/>
                  <w:b/>
                  <w:szCs w:val="24"/>
                </w:rPr>
                <w:t>Strategic Plan</w:t>
              </w:r>
            </w:hyperlink>
          </w:p>
          <w:p w:rsidR="00EE7097" w:rsidRPr="001C60B5" w:rsidRDefault="00EE7097" w:rsidP="00680248">
            <w:pPr>
              <w:rPr>
                <w:szCs w:val="24"/>
              </w:rPr>
            </w:pPr>
          </w:p>
          <w:p w:rsidR="0013075E" w:rsidRDefault="00B52B29" w:rsidP="00EE7097">
            <w:pPr>
              <w:rPr>
                <w:szCs w:val="24"/>
              </w:rPr>
            </w:pPr>
            <w:r w:rsidRPr="001C60B5">
              <w:rPr>
                <w:szCs w:val="24"/>
              </w:rPr>
              <w:t>Public Health Wales has an agreed strategic plan</w:t>
            </w:r>
            <w:r>
              <w:rPr>
                <w:szCs w:val="24"/>
              </w:rPr>
              <w:t xml:space="preserve">, which has identified seven strategic priorities and well-being objectives.  </w:t>
            </w:r>
          </w:p>
          <w:p w:rsidR="00B52B29" w:rsidRDefault="00B52B29" w:rsidP="00EE7097">
            <w:pPr>
              <w:rPr>
                <w:bCs/>
                <w:szCs w:val="24"/>
              </w:rPr>
            </w:pPr>
          </w:p>
          <w:p w:rsidR="00EE7097" w:rsidRPr="001C60B5" w:rsidRDefault="00EE7097" w:rsidP="00EE7097">
            <w:pPr>
              <w:rPr>
                <w:szCs w:val="24"/>
              </w:rPr>
            </w:pPr>
            <w:r w:rsidRPr="001C60B5">
              <w:rPr>
                <w:szCs w:val="24"/>
              </w:rPr>
              <w:t>This report contributes to the following:</w:t>
            </w:r>
          </w:p>
        </w:tc>
      </w:tr>
      <w:tr w:rsidR="00EE7097" w:rsidRPr="001C60B5" w:rsidTr="00480353">
        <w:tc>
          <w:tcPr>
            <w:tcW w:w="3192" w:type="dxa"/>
            <w:shd w:val="clear" w:color="auto" w:fill="auto"/>
          </w:tcPr>
          <w:p w:rsidR="00EE7097" w:rsidRPr="001C60B5" w:rsidRDefault="00B52B29" w:rsidP="00B52B29">
            <w:pPr>
              <w:rPr>
                <w:b/>
                <w:szCs w:val="24"/>
              </w:rPr>
            </w:pPr>
            <w:r w:rsidRPr="001C60B5">
              <w:rPr>
                <w:b/>
                <w:szCs w:val="24"/>
              </w:rPr>
              <w:t xml:space="preserve">Strategic </w:t>
            </w:r>
            <w:r>
              <w:rPr>
                <w:b/>
                <w:szCs w:val="24"/>
              </w:rPr>
              <w:t>Priority/Well-being Objective</w:t>
            </w:r>
          </w:p>
        </w:tc>
        <w:tc>
          <w:tcPr>
            <w:tcW w:w="5834" w:type="dxa"/>
            <w:shd w:val="clear" w:color="auto" w:fill="auto"/>
          </w:tcPr>
          <w:p w:rsidR="00EE7097" w:rsidRPr="0013075E" w:rsidRDefault="002A653D" w:rsidP="00554429">
            <w:pPr>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D47E5C">
                  <w:rPr>
                    <w:rStyle w:val="Dropdown"/>
                  </w:rPr>
                  <w:t>All Strategic Priorities/Well-being Objectives</w:t>
                </w:r>
              </w:sdtContent>
            </w:sdt>
          </w:p>
        </w:tc>
      </w:tr>
      <w:tr w:rsidR="00EE7097" w:rsidRPr="001C60B5" w:rsidTr="00480353">
        <w:tc>
          <w:tcPr>
            <w:tcW w:w="9026" w:type="dxa"/>
            <w:gridSpan w:val="2"/>
            <w:tcBorders>
              <w:left w:val="nil"/>
              <w:right w:val="nil"/>
            </w:tcBorders>
            <w:shd w:val="clear" w:color="auto" w:fill="auto"/>
          </w:tcPr>
          <w:p w:rsidR="00EE7097" w:rsidRPr="005B4E75" w:rsidRDefault="00EE7097" w:rsidP="00211B9D">
            <w:pPr>
              <w:rPr>
                <w:b/>
                <w:sz w:val="12"/>
                <w:szCs w:val="12"/>
              </w:rPr>
            </w:pPr>
          </w:p>
        </w:tc>
      </w:tr>
      <w:tr w:rsidR="00EE7097" w:rsidRPr="001C60B5" w:rsidTr="00480353">
        <w:tc>
          <w:tcPr>
            <w:tcW w:w="9026" w:type="dxa"/>
            <w:gridSpan w:val="2"/>
            <w:shd w:val="clear" w:color="auto" w:fill="F2F2F2" w:themeFill="background1" w:themeFillShade="F2"/>
          </w:tcPr>
          <w:p w:rsidR="00EE7097" w:rsidRPr="001C60B5" w:rsidRDefault="00EE7097" w:rsidP="00211B9D">
            <w:pPr>
              <w:rPr>
                <w:i/>
                <w:color w:val="FF0000"/>
                <w:szCs w:val="24"/>
              </w:rPr>
            </w:pPr>
            <w:r w:rsidRPr="001C60B5">
              <w:rPr>
                <w:b/>
                <w:szCs w:val="24"/>
              </w:rPr>
              <w:t xml:space="preserve">Summary impact analysis </w:t>
            </w:r>
            <w:r w:rsidRPr="001C60B5">
              <w:rPr>
                <w:i/>
                <w:color w:val="FF0000"/>
                <w:szCs w:val="24"/>
              </w:rPr>
              <w:t xml:space="preserve"> </w:t>
            </w:r>
          </w:p>
          <w:p w:rsidR="00EE7097" w:rsidRPr="001C60B5" w:rsidRDefault="00EE7097" w:rsidP="00CA5841">
            <w:pPr>
              <w:rPr>
                <w:color w:val="FF0000"/>
                <w:szCs w:val="24"/>
              </w:rPr>
            </w:pPr>
          </w:p>
        </w:tc>
      </w:tr>
      <w:tr w:rsidR="00EE7097" w:rsidRPr="001C60B5" w:rsidTr="00480353">
        <w:tc>
          <w:tcPr>
            <w:tcW w:w="3192" w:type="dxa"/>
          </w:tcPr>
          <w:p w:rsidR="00EE7097" w:rsidRPr="001C60B5" w:rsidRDefault="00EE7097" w:rsidP="00097ACD">
            <w:pPr>
              <w:rPr>
                <w:b/>
                <w:szCs w:val="24"/>
              </w:rPr>
            </w:pPr>
            <w:r w:rsidRPr="001C60B5">
              <w:rPr>
                <w:b/>
                <w:szCs w:val="24"/>
              </w:rPr>
              <w:t>Equality and Health Impact Assessment</w:t>
            </w:r>
          </w:p>
        </w:tc>
        <w:tc>
          <w:tcPr>
            <w:tcW w:w="5834" w:type="dxa"/>
          </w:tcPr>
          <w:p w:rsidR="00EE7097" w:rsidRPr="00126327" w:rsidRDefault="00D47E5C" w:rsidP="00D47E5C">
            <w:pPr>
              <w:rPr>
                <w:i/>
                <w:color w:val="FF0000"/>
                <w:szCs w:val="24"/>
              </w:rPr>
            </w:pPr>
            <w:r w:rsidRPr="00D47E5C">
              <w:rPr>
                <w:szCs w:val="24"/>
              </w:rPr>
              <w:t>An EQIA is not required as the paper is an update on previously agreed strategies.</w:t>
            </w:r>
            <w:r w:rsidR="00126327" w:rsidRPr="00D47E5C">
              <w:rPr>
                <w:szCs w:val="24"/>
              </w:rPr>
              <w:t xml:space="preserve">  </w:t>
            </w:r>
          </w:p>
        </w:tc>
      </w:tr>
      <w:tr w:rsidR="003A3414" w:rsidRPr="001C60B5" w:rsidTr="00480353">
        <w:tc>
          <w:tcPr>
            <w:tcW w:w="3192" w:type="dxa"/>
          </w:tcPr>
          <w:p w:rsidR="003A3414" w:rsidRPr="001C60B5" w:rsidRDefault="003A3414">
            <w:pPr>
              <w:rPr>
                <w:b/>
                <w:szCs w:val="24"/>
              </w:rPr>
            </w:pPr>
            <w:r>
              <w:rPr>
                <w:b/>
                <w:szCs w:val="24"/>
              </w:rPr>
              <w:t>Risk and Assurance</w:t>
            </w:r>
          </w:p>
        </w:tc>
        <w:tc>
          <w:tcPr>
            <w:tcW w:w="5834" w:type="dxa"/>
            <w:tcBorders>
              <w:bottom w:val="single" w:sz="4" w:space="0" w:color="auto"/>
            </w:tcBorders>
          </w:tcPr>
          <w:p w:rsidR="003A3414" w:rsidRPr="003A3414" w:rsidRDefault="00D47E5C" w:rsidP="003A3414">
            <w:pPr>
              <w:rPr>
                <w:color w:val="FF0000"/>
                <w:szCs w:val="24"/>
              </w:rPr>
            </w:pPr>
            <w:r w:rsidRPr="00D47E5C">
              <w:rPr>
                <w:szCs w:val="24"/>
              </w:rPr>
              <w:t>R</w:t>
            </w:r>
            <w:r w:rsidR="00977DFC">
              <w:rPr>
                <w:szCs w:val="24"/>
              </w:rPr>
              <w:t>isks are included in the paper.</w:t>
            </w:r>
          </w:p>
        </w:tc>
      </w:tr>
      <w:tr w:rsidR="00EE7097" w:rsidRPr="001C60B5" w:rsidTr="00480353">
        <w:trPr>
          <w:trHeight w:val="1030"/>
        </w:trPr>
        <w:tc>
          <w:tcPr>
            <w:tcW w:w="3192" w:type="dxa"/>
            <w:vMerge w:val="restart"/>
          </w:tcPr>
          <w:p w:rsidR="00EE7097" w:rsidRPr="001C60B5" w:rsidRDefault="00EE7097">
            <w:pPr>
              <w:rPr>
                <w:b/>
                <w:szCs w:val="24"/>
              </w:rPr>
            </w:pPr>
            <w:r w:rsidRPr="001C60B5">
              <w:rPr>
                <w:b/>
                <w:szCs w:val="24"/>
              </w:rPr>
              <w:t>Health and Care Standards</w:t>
            </w:r>
          </w:p>
        </w:tc>
        <w:tc>
          <w:tcPr>
            <w:tcW w:w="5834" w:type="dxa"/>
            <w:tcBorders>
              <w:bottom w:val="nil"/>
            </w:tcBorders>
          </w:tcPr>
          <w:p w:rsidR="00EE7097" w:rsidRPr="001C60B5" w:rsidRDefault="00EE7097" w:rsidP="00126327">
            <w:pPr>
              <w:rPr>
                <w:szCs w:val="24"/>
              </w:rPr>
            </w:pPr>
            <w:r w:rsidRPr="001C60B5">
              <w:rPr>
                <w:szCs w:val="24"/>
              </w:rPr>
              <w:t xml:space="preserve">This report supports and/or takes into account the </w:t>
            </w:r>
            <w:hyperlink r:id="rId14"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E263D4" w:rsidRPr="001C60B5" w:rsidTr="00480353">
        <w:trPr>
          <w:trHeight w:val="281"/>
        </w:trPr>
        <w:tc>
          <w:tcPr>
            <w:tcW w:w="3192" w:type="dxa"/>
            <w:vMerge/>
          </w:tcPr>
          <w:p w:rsidR="00E263D4" w:rsidRPr="001C60B5" w:rsidRDefault="00E263D4" w:rsidP="00E263D4">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rsidR="00E263D4" w:rsidRPr="001C60B5" w:rsidRDefault="00D47E5C" w:rsidP="00E263D4">
                <w:pPr>
                  <w:ind w:left="436"/>
                  <w:rPr>
                    <w:szCs w:val="24"/>
                  </w:rPr>
                </w:pPr>
                <w:r>
                  <w:rPr>
                    <w:rStyle w:val="Dropdown"/>
                  </w:rPr>
                  <w:t>All themes</w:t>
                </w:r>
              </w:p>
            </w:sdtContent>
          </w:sdt>
        </w:tc>
      </w:tr>
      <w:tr w:rsidR="00EE7097" w:rsidRPr="001C60B5" w:rsidTr="00480353">
        <w:tc>
          <w:tcPr>
            <w:tcW w:w="3192" w:type="dxa"/>
          </w:tcPr>
          <w:p w:rsidR="00EE7097" w:rsidRPr="001C60B5" w:rsidRDefault="00EE7097">
            <w:pPr>
              <w:rPr>
                <w:b/>
                <w:szCs w:val="24"/>
              </w:rPr>
            </w:pPr>
            <w:r w:rsidRPr="001C60B5">
              <w:rPr>
                <w:b/>
                <w:szCs w:val="24"/>
              </w:rPr>
              <w:t>Financial implications</w:t>
            </w:r>
          </w:p>
        </w:tc>
        <w:tc>
          <w:tcPr>
            <w:tcW w:w="5834" w:type="dxa"/>
          </w:tcPr>
          <w:p w:rsidR="00EE7097" w:rsidRPr="00126327" w:rsidRDefault="00D47E5C" w:rsidP="005A3A4A">
            <w:pPr>
              <w:rPr>
                <w:szCs w:val="24"/>
              </w:rPr>
            </w:pPr>
            <w:r>
              <w:rPr>
                <w:szCs w:val="24"/>
              </w:rPr>
              <w:t xml:space="preserve">Financial </w:t>
            </w:r>
            <w:r w:rsidR="005A3A4A">
              <w:rPr>
                <w:szCs w:val="24"/>
              </w:rPr>
              <w:t>implications</w:t>
            </w:r>
            <w:r>
              <w:rPr>
                <w:szCs w:val="24"/>
              </w:rPr>
              <w:t xml:space="preserve"> are </w:t>
            </w:r>
            <w:r w:rsidR="005A3A4A">
              <w:rPr>
                <w:szCs w:val="24"/>
              </w:rPr>
              <w:t>set out in the document</w:t>
            </w:r>
          </w:p>
        </w:tc>
      </w:tr>
      <w:tr w:rsidR="00EE7097" w:rsidRPr="001C60B5" w:rsidTr="00480353">
        <w:tc>
          <w:tcPr>
            <w:tcW w:w="3192" w:type="dxa"/>
          </w:tcPr>
          <w:p w:rsidR="00EE7097" w:rsidRPr="001C60B5" w:rsidRDefault="00EE7097">
            <w:pPr>
              <w:rPr>
                <w:b/>
                <w:szCs w:val="24"/>
              </w:rPr>
            </w:pPr>
            <w:r w:rsidRPr="001C60B5">
              <w:rPr>
                <w:b/>
                <w:szCs w:val="24"/>
              </w:rPr>
              <w:t xml:space="preserve">People implications </w:t>
            </w:r>
          </w:p>
        </w:tc>
        <w:tc>
          <w:tcPr>
            <w:tcW w:w="5834" w:type="dxa"/>
            <w:tcBorders>
              <w:bottom w:val="single" w:sz="4" w:space="0" w:color="auto"/>
            </w:tcBorders>
          </w:tcPr>
          <w:p w:rsidR="00EE7097" w:rsidRPr="00126327" w:rsidRDefault="00D47E5C" w:rsidP="00977DFC">
            <w:pPr>
              <w:rPr>
                <w:color w:val="FF0000"/>
                <w:szCs w:val="24"/>
              </w:rPr>
            </w:pPr>
            <w:r w:rsidRPr="00D47E5C">
              <w:rPr>
                <w:szCs w:val="24"/>
              </w:rPr>
              <w:t xml:space="preserve">The paper </w:t>
            </w:r>
            <w:r w:rsidR="005A3A4A">
              <w:rPr>
                <w:szCs w:val="24"/>
              </w:rPr>
              <w:t>takes account of the</w:t>
            </w:r>
            <w:r w:rsidR="00977DFC">
              <w:rPr>
                <w:szCs w:val="24"/>
              </w:rPr>
              <w:t xml:space="preserve"> workforce </w:t>
            </w:r>
            <w:r w:rsidRPr="00D47E5C">
              <w:rPr>
                <w:szCs w:val="24"/>
              </w:rPr>
              <w:t>planning activity.</w:t>
            </w:r>
          </w:p>
        </w:tc>
      </w:tr>
    </w:tbl>
    <w:p w:rsidR="007D03B8" w:rsidRPr="001C60B5" w:rsidRDefault="007D03B8" w:rsidP="00D47E5C">
      <w:pPr>
        <w:pStyle w:val="ListBullet"/>
        <w:ind w:left="0"/>
        <w:rPr>
          <w:b/>
          <w:color w:val="FF0000"/>
          <w:szCs w:val="24"/>
        </w:rPr>
        <w:sectPr w:rsidR="007D03B8" w:rsidRPr="001C60B5" w:rsidSect="008902AA">
          <w:footerReference w:type="default" r:id="rId15"/>
          <w:pgSz w:w="11906" w:h="16838"/>
          <w:pgMar w:top="1440" w:right="1440" w:bottom="1440" w:left="1440" w:header="708" w:footer="708" w:gutter="0"/>
          <w:cols w:space="708"/>
          <w:docGrid w:linePitch="360"/>
        </w:sectPr>
      </w:pPr>
    </w:p>
    <w:p w:rsidR="00733287" w:rsidRPr="007B0ED3" w:rsidRDefault="00733287" w:rsidP="00733287">
      <w:pPr>
        <w:jc w:val="center"/>
        <w:rPr>
          <w:b/>
        </w:rPr>
      </w:pPr>
      <w:r w:rsidRPr="007B0ED3">
        <w:rPr>
          <w:b/>
        </w:rPr>
        <w:lastRenderedPageBreak/>
        <w:t>O</w:t>
      </w:r>
      <w:r w:rsidR="005A3A4A">
        <w:rPr>
          <w:b/>
        </w:rPr>
        <w:t>ur Budget Strategy 2021-22</w:t>
      </w:r>
      <w:r w:rsidRPr="007B0ED3">
        <w:rPr>
          <w:b/>
        </w:rPr>
        <w:t xml:space="preserve"> </w:t>
      </w:r>
    </w:p>
    <w:p w:rsidR="00733287" w:rsidRPr="007B0ED3" w:rsidRDefault="005A3A4A" w:rsidP="00733287">
      <w:pPr>
        <w:pStyle w:val="ListParagraph"/>
        <w:numPr>
          <w:ilvl w:val="0"/>
          <w:numId w:val="23"/>
        </w:numPr>
        <w:spacing w:before="240"/>
        <w:ind w:left="284"/>
        <w:jc w:val="both"/>
        <w:rPr>
          <w:b/>
        </w:rPr>
      </w:pPr>
      <w:r>
        <w:rPr>
          <w:b/>
        </w:rPr>
        <w:t>Introduction</w:t>
      </w:r>
      <w:r w:rsidR="00733287" w:rsidRPr="007B0ED3">
        <w:rPr>
          <w:b/>
        </w:rPr>
        <w:t xml:space="preserve"> </w:t>
      </w:r>
    </w:p>
    <w:p w:rsidR="005A3A4A" w:rsidRDefault="005A3A4A" w:rsidP="005A3A4A">
      <w:pPr>
        <w:spacing w:before="240"/>
        <w:jc w:val="both"/>
      </w:pPr>
      <w:r>
        <w:t xml:space="preserve">In October 2020, Public Health Wales developed an in-year Operational Plan based around six priority areas. While 18 months in length, it was largely focused on the key deliverables up to March 2021. In light of this, we have now refreshed the plan which </w:t>
      </w:r>
      <w:r w:rsidRPr="00871F40">
        <w:t>set</w:t>
      </w:r>
      <w:r>
        <w:t>s</w:t>
      </w:r>
      <w:r w:rsidRPr="00871F40">
        <w:t xml:space="preserve"> out the operational activity that </w:t>
      </w:r>
      <w:r>
        <w:t>we will deliver during 2021/22</w:t>
      </w:r>
      <w:r w:rsidRPr="00871F40">
        <w:t xml:space="preserve"> align</w:t>
      </w:r>
      <w:r>
        <w:t xml:space="preserve">ed with our budget strategy. </w:t>
      </w:r>
    </w:p>
    <w:p w:rsidR="005A3A4A" w:rsidRDefault="005A3A4A" w:rsidP="005A3A4A">
      <w:pPr>
        <w:spacing w:before="240"/>
        <w:jc w:val="both"/>
      </w:pPr>
      <w:r>
        <w:t>The refreshed plan</w:t>
      </w:r>
      <w:r w:rsidR="009A24C3">
        <w:t>,</w:t>
      </w:r>
      <w:r>
        <w:t xml:space="preserve"> including our financial plan </w:t>
      </w:r>
      <w:r w:rsidR="009A24C3">
        <w:t xml:space="preserve">and budget strategy, </w:t>
      </w:r>
      <w:r>
        <w:t xml:space="preserve">serves also to meet Welsh Government planning requirements for an Annual Plan from 1 April 2021.  </w:t>
      </w:r>
    </w:p>
    <w:p w:rsidR="00F16D6F" w:rsidRPr="00F16D6F" w:rsidRDefault="00F16D6F" w:rsidP="00F16D6F">
      <w:pPr>
        <w:pStyle w:val="ListParagraph"/>
        <w:numPr>
          <w:ilvl w:val="0"/>
          <w:numId w:val="23"/>
        </w:numPr>
        <w:tabs>
          <w:tab w:val="left" w:pos="284"/>
        </w:tabs>
        <w:spacing w:before="240"/>
        <w:ind w:left="0" w:firstLine="0"/>
        <w:jc w:val="both"/>
        <w:rPr>
          <w:b/>
        </w:rPr>
      </w:pPr>
      <w:r>
        <w:rPr>
          <w:b/>
        </w:rPr>
        <w:t xml:space="preserve"> </w:t>
      </w:r>
      <w:r w:rsidRPr="00F16D6F">
        <w:rPr>
          <w:b/>
        </w:rPr>
        <w:t>Financial Planning and Budget Setting Principles</w:t>
      </w:r>
    </w:p>
    <w:p w:rsidR="00F16D6F" w:rsidRDefault="00C65815" w:rsidP="00F16D6F">
      <w:pPr>
        <w:spacing w:before="240"/>
        <w:jc w:val="both"/>
      </w:pPr>
      <w:r>
        <w:rPr>
          <w:rFonts w:eastAsia="Times New Roman" w:cs="Times New Roman"/>
          <w:color w:val="404040"/>
          <w:szCs w:val="24"/>
        </w:rPr>
        <w:t>We are</w:t>
      </w:r>
      <w:r w:rsidR="00F16D6F" w:rsidRPr="00384B4F">
        <w:rPr>
          <w:rFonts w:eastAsia="Times New Roman" w:cs="Times New Roman"/>
          <w:color w:val="404040"/>
          <w:szCs w:val="24"/>
        </w:rPr>
        <w:t xml:space="preserve"> required by Standing Orders (SOs) and Standing Financial Instructions (SFIs) to approve an Annual Budget for the financial year ahead before the year commences. In addition, </w:t>
      </w:r>
      <w:r>
        <w:rPr>
          <w:rFonts w:eastAsia="Times New Roman" w:cs="Times New Roman"/>
          <w:color w:val="404040"/>
          <w:szCs w:val="24"/>
        </w:rPr>
        <w:t>we</w:t>
      </w:r>
      <w:r w:rsidR="00F16D6F" w:rsidRPr="00384B4F">
        <w:rPr>
          <w:rFonts w:eastAsia="Times New Roman" w:cs="Times New Roman"/>
          <w:color w:val="404040"/>
          <w:szCs w:val="24"/>
        </w:rPr>
        <w:t xml:space="preserve"> ha</w:t>
      </w:r>
      <w:r>
        <w:rPr>
          <w:rFonts w:eastAsia="Times New Roman" w:cs="Times New Roman"/>
          <w:color w:val="404040"/>
          <w:szCs w:val="24"/>
        </w:rPr>
        <w:t>ve</w:t>
      </w:r>
      <w:r w:rsidR="00F16D6F" w:rsidRPr="00384B4F">
        <w:rPr>
          <w:rFonts w:eastAsia="Times New Roman" w:cs="Times New Roman"/>
          <w:color w:val="404040"/>
          <w:szCs w:val="24"/>
        </w:rPr>
        <w:t xml:space="preserve"> a statutory duty to break even over a 3-year period and therefore a balanced budget has been set for 20</w:t>
      </w:r>
      <w:r w:rsidR="00F16D6F">
        <w:rPr>
          <w:rFonts w:eastAsia="Times New Roman" w:cs="Times New Roman"/>
          <w:color w:val="404040"/>
          <w:szCs w:val="24"/>
        </w:rPr>
        <w:t>21/22.</w:t>
      </w:r>
    </w:p>
    <w:p w:rsidR="00F16D6F" w:rsidRPr="009B5A0E" w:rsidRDefault="00F16D6F" w:rsidP="00F16D6F">
      <w:pPr>
        <w:spacing w:before="240"/>
        <w:jc w:val="both"/>
      </w:pPr>
      <w:r w:rsidRPr="009B5A0E">
        <w:t xml:space="preserve">A number of underlying key themes will need to be maintained in order to ensure that </w:t>
      </w:r>
      <w:r>
        <w:t>we continue t</w:t>
      </w:r>
      <w:r w:rsidRPr="009B5A0E">
        <w:t>o deliver against the</w:t>
      </w:r>
      <w:r>
        <w:t>se</w:t>
      </w:r>
      <w:r w:rsidRPr="009B5A0E">
        <w:t xml:space="preserve"> financial duties:-</w:t>
      </w:r>
    </w:p>
    <w:p w:rsidR="00F16D6F" w:rsidRPr="009B5A0E" w:rsidRDefault="00F16D6F" w:rsidP="00F16D6F">
      <w:pPr>
        <w:numPr>
          <w:ilvl w:val="0"/>
          <w:numId w:val="25"/>
        </w:numPr>
        <w:spacing w:before="240"/>
        <w:jc w:val="both"/>
      </w:pPr>
      <w:r w:rsidRPr="009B5A0E">
        <w:t>Budget</w:t>
      </w:r>
      <w:r w:rsidR="00C65815">
        <w:t>s will be set within our</w:t>
      </w:r>
      <w:r w:rsidRPr="009B5A0E">
        <w:t xml:space="preserve"> total income;</w:t>
      </w:r>
    </w:p>
    <w:p w:rsidR="00F16D6F" w:rsidRPr="009B5A0E" w:rsidRDefault="00F16D6F" w:rsidP="00F16D6F">
      <w:pPr>
        <w:numPr>
          <w:ilvl w:val="0"/>
          <w:numId w:val="25"/>
        </w:numPr>
        <w:spacing w:before="240"/>
        <w:jc w:val="both"/>
      </w:pPr>
      <w:r w:rsidRPr="009B5A0E">
        <w:t xml:space="preserve">There will be no automatic right to receive a budget at the same level as previous years; </w:t>
      </w:r>
    </w:p>
    <w:p w:rsidR="00F16D6F" w:rsidRPr="009B5A0E" w:rsidRDefault="00F16D6F" w:rsidP="00F16D6F">
      <w:pPr>
        <w:numPr>
          <w:ilvl w:val="0"/>
          <w:numId w:val="25"/>
        </w:numPr>
        <w:spacing w:before="240"/>
        <w:jc w:val="both"/>
      </w:pPr>
      <w:r w:rsidRPr="009B5A0E">
        <w:t>Budget holders will need to demonstrate how resources are being spent and how value for money is being achieved;</w:t>
      </w:r>
    </w:p>
    <w:p w:rsidR="00F16D6F" w:rsidRPr="009B5A0E" w:rsidRDefault="00F16D6F" w:rsidP="00F16D6F">
      <w:pPr>
        <w:numPr>
          <w:ilvl w:val="0"/>
          <w:numId w:val="25"/>
        </w:numPr>
        <w:spacing w:before="240"/>
        <w:jc w:val="both"/>
      </w:pPr>
      <w:r w:rsidRPr="009B5A0E">
        <w:t>Any budgeted funds not required for their designated purpose(s) revert to the immediate control of the Chief Executive;</w:t>
      </w:r>
    </w:p>
    <w:p w:rsidR="00F16D6F" w:rsidRPr="009B5A0E" w:rsidRDefault="00F16D6F" w:rsidP="00F16D6F">
      <w:pPr>
        <w:numPr>
          <w:ilvl w:val="0"/>
          <w:numId w:val="25"/>
        </w:numPr>
        <w:spacing w:before="240"/>
        <w:jc w:val="both"/>
      </w:pPr>
      <w:r w:rsidRPr="009B5A0E">
        <w:t xml:space="preserve">Budgets </w:t>
      </w:r>
      <w:r w:rsidR="00C65815">
        <w:t>will need to reflect our</w:t>
      </w:r>
      <w:r w:rsidRPr="009B5A0E">
        <w:t xml:space="preserve"> requirement to deliver cost reduction schemes and targets – for 2021/22 </w:t>
      </w:r>
      <w:r>
        <w:t>the agreement</w:t>
      </w:r>
      <w:r w:rsidRPr="009B5A0E">
        <w:t xml:space="preserve"> is to identify these through a reduction in our cost base as a result of COVID-19; </w:t>
      </w:r>
    </w:p>
    <w:p w:rsidR="00F16D6F" w:rsidRPr="009B5A0E" w:rsidRDefault="00F16D6F" w:rsidP="00F16D6F">
      <w:pPr>
        <w:numPr>
          <w:ilvl w:val="0"/>
          <w:numId w:val="25"/>
        </w:numPr>
        <w:spacing w:before="240"/>
        <w:jc w:val="both"/>
      </w:pPr>
      <w:r w:rsidRPr="009B5A0E">
        <w:t xml:space="preserve">Agreed Organisational efficiency saving schemes will result in budget amendments to reflect the savings delivered – current schemes will continue </w:t>
      </w:r>
      <w:proofErr w:type="spellStart"/>
      <w:r w:rsidRPr="009B5A0E">
        <w:t>eg</w:t>
      </w:r>
      <w:proofErr w:type="spellEnd"/>
      <w:r w:rsidRPr="009B5A0E">
        <w:t xml:space="preserve"> salary sacrifice schemes, procurement efficiencies;</w:t>
      </w:r>
    </w:p>
    <w:p w:rsidR="00F16D6F" w:rsidRPr="009B5A0E" w:rsidRDefault="00F16D6F" w:rsidP="00F16D6F">
      <w:pPr>
        <w:numPr>
          <w:ilvl w:val="0"/>
          <w:numId w:val="25"/>
        </w:numPr>
        <w:spacing w:before="240"/>
        <w:jc w:val="both"/>
      </w:pPr>
      <w:r w:rsidRPr="009B5A0E">
        <w:t xml:space="preserve">Actual staff in post will not be permitted to exceed funded establishments; </w:t>
      </w:r>
    </w:p>
    <w:p w:rsidR="00F16D6F" w:rsidRPr="009B5A0E" w:rsidRDefault="00F16D6F" w:rsidP="00F16D6F">
      <w:pPr>
        <w:numPr>
          <w:ilvl w:val="0"/>
          <w:numId w:val="25"/>
        </w:numPr>
        <w:spacing w:before="240"/>
        <w:jc w:val="both"/>
      </w:pPr>
      <w:r w:rsidRPr="009B5A0E">
        <w:t>Clear accountability of budget by delegated budget holders will be required and evidenced through formal sign off of budgets, and</w:t>
      </w:r>
    </w:p>
    <w:p w:rsidR="00F16D6F" w:rsidRDefault="00F16D6F" w:rsidP="00F16D6F">
      <w:pPr>
        <w:numPr>
          <w:ilvl w:val="0"/>
          <w:numId w:val="25"/>
        </w:numPr>
        <w:spacing w:before="240"/>
        <w:jc w:val="both"/>
      </w:pPr>
      <w:r w:rsidRPr="009B5A0E">
        <w:lastRenderedPageBreak/>
        <w:t>Any proposals requiring additional funds must include identification of the source of funding (and have appropriate finance input and sign off</w:t>
      </w:r>
      <w:r>
        <w:t>)</w:t>
      </w:r>
      <w:r w:rsidRPr="009B5A0E">
        <w:t>.</w:t>
      </w:r>
    </w:p>
    <w:p w:rsidR="00094C94" w:rsidRDefault="00F16D6F" w:rsidP="00F16D6F">
      <w:pPr>
        <w:spacing w:before="240"/>
        <w:jc w:val="both"/>
      </w:pPr>
      <w:r>
        <w:t xml:space="preserve">In addition to the above, </w:t>
      </w:r>
      <w:r w:rsidR="00C65815">
        <w:t>for 2021/22 we will continue to</w:t>
      </w:r>
      <w:r w:rsidR="00094C94">
        <w:t>:</w:t>
      </w:r>
    </w:p>
    <w:p w:rsidR="00094C94" w:rsidRDefault="00C65815" w:rsidP="00094C94">
      <w:pPr>
        <w:pStyle w:val="ListParagraph"/>
        <w:numPr>
          <w:ilvl w:val="3"/>
          <w:numId w:val="17"/>
        </w:numPr>
        <w:spacing w:before="240"/>
        <w:ind w:left="709" w:hanging="425"/>
        <w:jc w:val="both"/>
      </w:pPr>
      <w:r>
        <w:t>remove in-month pay underspends from Directorate positions</w:t>
      </w:r>
      <w:r w:rsidR="00094C94">
        <w:t>, and</w:t>
      </w:r>
    </w:p>
    <w:p w:rsidR="00094C94" w:rsidRDefault="00094C94" w:rsidP="00094C94">
      <w:pPr>
        <w:pStyle w:val="ListParagraph"/>
        <w:numPr>
          <w:ilvl w:val="3"/>
          <w:numId w:val="17"/>
        </w:numPr>
        <w:spacing w:before="240"/>
        <w:ind w:left="709" w:hanging="425"/>
        <w:jc w:val="both"/>
      </w:pPr>
      <w:proofErr w:type="gramStart"/>
      <w:r>
        <w:t>review</w:t>
      </w:r>
      <w:proofErr w:type="gramEnd"/>
      <w:r>
        <w:t xml:space="preserve"> non-pay spending plans of Directorates.</w:t>
      </w:r>
    </w:p>
    <w:p w:rsidR="00C65815" w:rsidRDefault="00094C94" w:rsidP="00094C94">
      <w:pPr>
        <w:spacing w:before="240"/>
        <w:ind w:left="284" w:hanging="284"/>
        <w:jc w:val="both"/>
      </w:pPr>
      <w:r>
        <w:t>Th</w:t>
      </w:r>
      <w:r w:rsidR="00C65815">
        <w:t>is will ensure that we:</w:t>
      </w:r>
    </w:p>
    <w:p w:rsidR="00C65815" w:rsidRDefault="00C65815" w:rsidP="00094C94">
      <w:pPr>
        <w:pStyle w:val="ListParagraph"/>
        <w:numPr>
          <w:ilvl w:val="0"/>
          <w:numId w:val="17"/>
        </w:numPr>
        <w:spacing w:before="240"/>
        <w:ind w:left="709" w:hanging="425"/>
        <w:jc w:val="both"/>
      </w:pPr>
      <w:r>
        <w:t xml:space="preserve">continue to redirect resources to as required to deal </w:t>
      </w:r>
      <w:r w:rsidR="00F16D6F">
        <w:t xml:space="preserve">with the </w:t>
      </w:r>
      <w:r>
        <w:t xml:space="preserve">financial </w:t>
      </w:r>
      <w:r w:rsidR="00F16D6F">
        <w:t>uncertainty of the ongoing impact of the COVID-19</w:t>
      </w:r>
      <w:r>
        <w:t xml:space="preserve">, </w:t>
      </w:r>
      <w:proofErr w:type="spellStart"/>
      <w:r>
        <w:t>particulary</w:t>
      </w:r>
      <w:proofErr w:type="spellEnd"/>
      <w:r>
        <w:t xml:space="preserve"> into Q3 and Q4, and</w:t>
      </w:r>
    </w:p>
    <w:p w:rsidR="00F16D6F" w:rsidRPr="009B5A0E" w:rsidRDefault="00C65815" w:rsidP="00094C94">
      <w:pPr>
        <w:pStyle w:val="ListParagraph"/>
        <w:numPr>
          <w:ilvl w:val="0"/>
          <w:numId w:val="17"/>
        </w:numPr>
        <w:spacing w:before="240"/>
        <w:ind w:left="709" w:hanging="425"/>
        <w:jc w:val="both"/>
      </w:pPr>
      <w:proofErr w:type="gramStart"/>
      <w:r>
        <w:t>manage</w:t>
      </w:r>
      <w:proofErr w:type="gramEnd"/>
      <w:r>
        <w:t xml:space="preserve"> and control the financial plans for recovery on an organisation wide basis. </w:t>
      </w:r>
      <w:r w:rsidR="00F16D6F">
        <w:t xml:space="preserve"> </w:t>
      </w:r>
    </w:p>
    <w:p w:rsidR="00C65815" w:rsidRDefault="00C65815" w:rsidP="00C65815">
      <w:pPr>
        <w:pStyle w:val="ListParagraph"/>
        <w:spacing w:before="240"/>
        <w:ind w:left="284"/>
        <w:jc w:val="both"/>
        <w:rPr>
          <w:b/>
        </w:rPr>
      </w:pPr>
    </w:p>
    <w:p w:rsidR="009A24C3" w:rsidRPr="009A24C3" w:rsidRDefault="00C06247" w:rsidP="009A24C3">
      <w:pPr>
        <w:pStyle w:val="ListParagraph"/>
        <w:numPr>
          <w:ilvl w:val="0"/>
          <w:numId w:val="23"/>
        </w:numPr>
        <w:spacing w:before="240"/>
        <w:ind w:left="284" w:hanging="284"/>
        <w:jc w:val="both"/>
        <w:rPr>
          <w:b/>
        </w:rPr>
      </w:pPr>
      <w:r>
        <w:rPr>
          <w:b/>
        </w:rPr>
        <w:t xml:space="preserve"> </w:t>
      </w:r>
      <w:r w:rsidR="009B5A0E">
        <w:rPr>
          <w:b/>
        </w:rPr>
        <w:t xml:space="preserve">Welsh Government </w:t>
      </w:r>
      <w:r w:rsidR="009A24C3" w:rsidRPr="009A24C3">
        <w:rPr>
          <w:b/>
        </w:rPr>
        <w:t>Core Allocation</w:t>
      </w:r>
    </w:p>
    <w:p w:rsidR="009A24C3" w:rsidRDefault="00C06247" w:rsidP="009A24C3">
      <w:pPr>
        <w:spacing w:before="240"/>
        <w:jc w:val="both"/>
      </w:pPr>
      <w:r>
        <w:t xml:space="preserve">On the 29 January 2021 Welsh Government confirmed the core allocation of £118,079,297, the additional allocations agreed for 2021/22 are included in </w:t>
      </w:r>
      <w:r w:rsidRPr="00C06247">
        <w:rPr>
          <w:b/>
        </w:rPr>
        <w:t>Table 1</w:t>
      </w:r>
      <w:r>
        <w:t xml:space="preserve"> below:</w:t>
      </w:r>
    </w:p>
    <w:p w:rsidR="00C06247" w:rsidRPr="00C06247" w:rsidRDefault="00C06247" w:rsidP="009A24C3">
      <w:pPr>
        <w:spacing w:before="240"/>
        <w:jc w:val="both"/>
        <w:rPr>
          <w:b/>
        </w:rPr>
      </w:pPr>
      <w:r w:rsidRPr="00C06247">
        <w:rPr>
          <w:b/>
        </w:rPr>
        <w:t>Table 1</w:t>
      </w:r>
    </w:p>
    <w:tbl>
      <w:tblPr>
        <w:tblW w:w="9150" w:type="dxa"/>
        <w:tblCellMar>
          <w:left w:w="0" w:type="dxa"/>
          <w:right w:w="0" w:type="dxa"/>
        </w:tblCellMar>
        <w:tblLook w:val="04A0" w:firstRow="1" w:lastRow="0" w:firstColumn="1" w:lastColumn="0" w:noHBand="0" w:noVBand="1"/>
      </w:tblPr>
      <w:tblGrid>
        <w:gridCol w:w="7553"/>
        <w:gridCol w:w="1597"/>
      </w:tblGrid>
      <w:tr w:rsidR="009A24C3" w:rsidRPr="0069535A" w:rsidTr="00EB7245">
        <w:trPr>
          <w:trHeight w:val="265"/>
        </w:trPr>
        <w:tc>
          <w:tcPr>
            <w:tcW w:w="7553" w:type="dxa"/>
            <w:shd w:val="clear" w:color="auto" w:fill="2F75B5"/>
            <w:noWrap/>
            <w:tcMar>
              <w:top w:w="0" w:type="dxa"/>
              <w:left w:w="108" w:type="dxa"/>
              <w:bottom w:w="0" w:type="dxa"/>
              <w:right w:w="108" w:type="dxa"/>
            </w:tcMar>
            <w:vAlign w:val="center"/>
            <w:hideMark/>
          </w:tcPr>
          <w:p w:rsidR="009A24C3" w:rsidRPr="0069535A" w:rsidRDefault="009A24C3" w:rsidP="009A24C3">
            <w:pPr>
              <w:rPr>
                <w:rFonts w:ascii="Calibri" w:eastAsia="Calibri" w:hAnsi="Calibri" w:cs="Calibri"/>
                <w:b/>
                <w:bCs/>
                <w:color w:val="FFFFFF"/>
                <w:szCs w:val="24"/>
                <w:lang w:eastAsia="en-GB"/>
              </w:rPr>
            </w:pPr>
            <w:r w:rsidRPr="0069535A">
              <w:rPr>
                <w:rFonts w:ascii="Calibri" w:eastAsia="Calibri" w:hAnsi="Calibri" w:cs="Calibri"/>
                <w:b/>
                <w:bCs/>
                <w:color w:val="FFFFFF"/>
                <w:szCs w:val="24"/>
                <w:lang w:eastAsia="en-GB"/>
              </w:rPr>
              <w:t>2020/21 BASELINE CORE FUNDING ALLOCATION (DEC 2019 LETTER)</w:t>
            </w:r>
          </w:p>
        </w:tc>
        <w:tc>
          <w:tcPr>
            <w:tcW w:w="1597" w:type="dxa"/>
            <w:shd w:val="clear" w:color="auto" w:fill="2F75B5"/>
            <w:noWrap/>
            <w:tcMar>
              <w:top w:w="0" w:type="dxa"/>
              <w:left w:w="108" w:type="dxa"/>
              <w:bottom w:w="0" w:type="dxa"/>
              <w:right w:w="108" w:type="dxa"/>
            </w:tcMar>
            <w:vAlign w:val="center"/>
            <w:hideMark/>
          </w:tcPr>
          <w:p w:rsidR="009A24C3" w:rsidRPr="0069535A" w:rsidRDefault="00C06247" w:rsidP="00C06247">
            <w:pPr>
              <w:jc w:val="right"/>
              <w:rPr>
                <w:rFonts w:ascii="Calibri" w:eastAsia="Calibri" w:hAnsi="Calibri" w:cs="Calibri"/>
                <w:color w:val="FFFFFF"/>
                <w:szCs w:val="24"/>
                <w:lang w:eastAsia="en-GB"/>
              </w:rPr>
            </w:pPr>
            <w:r w:rsidRPr="0069535A">
              <w:rPr>
                <w:rFonts w:ascii="Calibri" w:eastAsia="Calibri" w:hAnsi="Calibri" w:cs="Calibri"/>
                <w:color w:val="FFFFFF"/>
                <w:szCs w:val="24"/>
                <w:lang w:eastAsia="en-GB"/>
              </w:rPr>
              <w:t>£</w:t>
            </w:r>
            <w:r w:rsidR="009A24C3" w:rsidRPr="0069535A">
              <w:rPr>
                <w:rFonts w:ascii="Calibri" w:eastAsia="Calibri" w:hAnsi="Calibri" w:cs="Calibri"/>
                <w:color w:val="FFFFFF"/>
                <w:szCs w:val="24"/>
                <w:lang w:eastAsia="en-GB"/>
              </w:rPr>
              <w:t>106</w:t>
            </w:r>
            <w:r w:rsidRPr="0069535A">
              <w:rPr>
                <w:rFonts w:ascii="Calibri" w:eastAsia="Calibri" w:hAnsi="Calibri" w:cs="Calibri"/>
                <w:color w:val="FFFFFF"/>
                <w:szCs w:val="24"/>
                <w:lang w:eastAsia="en-GB"/>
              </w:rPr>
              <w:t>.</w:t>
            </w:r>
            <w:r w:rsidR="009A24C3" w:rsidRPr="0069535A">
              <w:rPr>
                <w:rFonts w:ascii="Calibri" w:eastAsia="Calibri" w:hAnsi="Calibri" w:cs="Calibri"/>
                <w:color w:val="FFFFFF"/>
                <w:szCs w:val="24"/>
                <w:lang w:eastAsia="en-GB"/>
              </w:rPr>
              <w:t>323</w:t>
            </w:r>
          </w:p>
        </w:tc>
      </w:tr>
      <w:tr w:rsidR="009A24C3" w:rsidRPr="0069535A" w:rsidTr="00EB7245">
        <w:trPr>
          <w:trHeight w:val="265"/>
        </w:trPr>
        <w:tc>
          <w:tcPr>
            <w:tcW w:w="7553" w:type="dxa"/>
            <w:noWrap/>
            <w:tcMar>
              <w:top w:w="0" w:type="dxa"/>
              <w:left w:w="108" w:type="dxa"/>
              <w:bottom w:w="0" w:type="dxa"/>
              <w:right w:w="108" w:type="dxa"/>
            </w:tcMar>
            <w:vAlign w:val="center"/>
            <w:hideMark/>
          </w:tcPr>
          <w:p w:rsidR="009A24C3" w:rsidRPr="0069535A" w:rsidRDefault="009A24C3" w:rsidP="009A24C3">
            <w:pPr>
              <w:rPr>
                <w:rFonts w:ascii="Calibri" w:eastAsia="Calibri" w:hAnsi="Calibri" w:cs="Calibri"/>
                <w:b/>
                <w:bCs/>
                <w:color w:val="000000"/>
                <w:szCs w:val="24"/>
                <w:lang w:eastAsia="en-GB"/>
              </w:rPr>
            </w:pPr>
            <w:r w:rsidRPr="0069535A">
              <w:rPr>
                <w:rFonts w:ascii="Calibri" w:eastAsia="Calibri" w:hAnsi="Calibri" w:cs="Calibri"/>
                <w:b/>
                <w:bCs/>
                <w:color w:val="000000"/>
                <w:szCs w:val="24"/>
                <w:lang w:eastAsia="en-GB"/>
              </w:rPr>
              <w:t>Additional Funding Confirmed in 20/21:</w:t>
            </w:r>
          </w:p>
        </w:tc>
        <w:tc>
          <w:tcPr>
            <w:tcW w:w="1597" w:type="dxa"/>
            <w:noWrap/>
            <w:tcMar>
              <w:top w:w="0" w:type="dxa"/>
              <w:left w:w="108" w:type="dxa"/>
              <w:bottom w:w="0" w:type="dxa"/>
              <w:right w:w="108" w:type="dxa"/>
            </w:tcMar>
            <w:hideMark/>
          </w:tcPr>
          <w:p w:rsidR="009A24C3" w:rsidRPr="0069535A" w:rsidRDefault="009A24C3" w:rsidP="009A24C3">
            <w:pPr>
              <w:rPr>
                <w:rFonts w:ascii="Times New Roman" w:eastAsia="Calibri" w:hAnsi="Times New Roman" w:cs="Times New Roman"/>
                <w:color w:val="000000"/>
                <w:szCs w:val="24"/>
                <w:lang w:eastAsia="en-GB"/>
              </w:rPr>
            </w:pPr>
            <w:r w:rsidRPr="0069535A">
              <w:rPr>
                <w:rFonts w:ascii="Times New Roman" w:eastAsia="Calibri" w:hAnsi="Times New Roman" w:cs="Times New Roman"/>
                <w:color w:val="000000"/>
                <w:szCs w:val="24"/>
                <w:lang w:eastAsia="en-GB"/>
              </w:rPr>
              <w:t> </w:t>
            </w:r>
          </w:p>
        </w:tc>
      </w:tr>
      <w:tr w:rsidR="009A24C3" w:rsidRPr="0069535A" w:rsidTr="00EB7245">
        <w:trPr>
          <w:trHeight w:val="265"/>
        </w:trPr>
        <w:tc>
          <w:tcPr>
            <w:tcW w:w="7553" w:type="dxa"/>
            <w:shd w:val="clear" w:color="auto" w:fill="FFFFFF"/>
            <w:noWrap/>
            <w:tcMar>
              <w:top w:w="0" w:type="dxa"/>
              <w:left w:w="108" w:type="dxa"/>
              <w:bottom w:w="0" w:type="dxa"/>
              <w:right w:w="108" w:type="dxa"/>
            </w:tcMar>
            <w:vAlign w:val="center"/>
            <w:hideMark/>
          </w:tcPr>
          <w:p w:rsidR="009A24C3" w:rsidRPr="0069535A" w:rsidRDefault="009A24C3" w:rsidP="009A24C3">
            <w:pPr>
              <w:rPr>
                <w:rFonts w:ascii="Calibri" w:eastAsia="Calibri" w:hAnsi="Calibri" w:cs="Calibri"/>
                <w:color w:val="000000"/>
                <w:szCs w:val="24"/>
                <w:lang w:eastAsia="en-GB"/>
              </w:rPr>
            </w:pPr>
            <w:r w:rsidRPr="0069535A">
              <w:rPr>
                <w:rFonts w:ascii="Calibri" w:eastAsia="Calibri" w:hAnsi="Calibri" w:cs="Calibri"/>
                <w:color w:val="000000"/>
                <w:szCs w:val="24"/>
                <w:lang w:eastAsia="en-GB"/>
              </w:rPr>
              <w:t>Transfer to Shared Services - IP5 data line</w:t>
            </w:r>
          </w:p>
        </w:tc>
        <w:tc>
          <w:tcPr>
            <w:tcW w:w="1597" w:type="dxa"/>
            <w:shd w:val="clear" w:color="auto" w:fill="FFFFFF"/>
            <w:noWrap/>
            <w:tcMar>
              <w:top w:w="0" w:type="dxa"/>
              <w:left w:w="108" w:type="dxa"/>
              <w:bottom w:w="0" w:type="dxa"/>
              <w:right w:w="108" w:type="dxa"/>
            </w:tcMar>
            <w:vAlign w:val="center"/>
            <w:hideMark/>
          </w:tcPr>
          <w:p w:rsidR="009A24C3" w:rsidRPr="0069535A" w:rsidRDefault="009A24C3" w:rsidP="00C06247">
            <w:pPr>
              <w:jc w:val="right"/>
              <w:rPr>
                <w:rFonts w:ascii="Calibri" w:eastAsia="Calibri" w:hAnsi="Calibri" w:cs="Calibri"/>
                <w:color w:val="FF0000"/>
                <w:szCs w:val="24"/>
                <w:lang w:eastAsia="en-GB"/>
              </w:rPr>
            </w:pPr>
            <w:r w:rsidRPr="0069535A">
              <w:rPr>
                <w:rFonts w:ascii="Calibri" w:eastAsia="Calibri" w:hAnsi="Calibri" w:cs="Calibri"/>
                <w:color w:val="FF0000"/>
                <w:szCs w:val="24"/>
                <w:lang w:eastAsia="en-GB"/>
              </w:rPr>
              <w:t>-</w:t>
            </w:r>
            <w:r w:rsidR="00C06247" w:rsidRPr="0069535A">
              <w:rPr>
                <w:rFonts w:ascii="Calibri" w:eastAsia="Calibri" w:hAnsi="Calibri" w:cs="Calibri"/>
                <w:color w:val="FF0000"/>
                <w:szCs w:val="24"/>
                <w:lang w:eastAsia="en-GB"/>
              </w:rPr>
              <w:t>0.00</w:t>
            </w:r>
            <w:r w:rsidRPr="0069535A">
              <w:rPr>
                <w:rFonts w:ascii="Calibri" w:eastAsia="Calibri" w:hAnsi="Calibri" w:cs="Calibri"/>
                <w:color w:val="FF0000"/>
                <w:szCs w:val="24"/>
                <w:lang w:eastAsia="en-GB"/>
              </w:rPr>
              <w:t>3</w:t>
            </w:r>
          </w:p>
        </w:tc>
      </w:tr>
      <w:tr w:rsidR="009A24C3" w:rsidRPr="0069535A" w:rsidTr="00EB7245">
        <w:trPr>
          <w:trHeight w:val="265"/>
        </w:trPr>
        <w:tc>
          <w:tcPr>
            <w:tcW w:w="7553" w:type="dxa"/>
            <w:shd w:val="clear" w:color="auto" w:fill="FFFFFF"/>
            <w:noWrap/>
            <w:tcMar>
              <w:top w:w="0" w:type="dxa"/>
              <w:left w:w="108" w:type="dxa"/>
              <w:bottom w:w="0" w:type="dxa"/>
              <w:right w:w="108" w:type="dxa"/>
            </w:tcMar>
            <w:vAlign w:val="center"/>
            <w:hideMark/>
          </w:tcPr>
          <w:p w:rsidR="009A24C3" w:rsidRPr="0069535A" w:rsidRDefault="009A24C3" w:rsidP="009A24C3">
            <w:pPr>
              <w:rPr>
                <w:rFonts w:ascii="Calibri" w:eastAsia="Calibri" w:hAnsi="Calibri" w:cs="Calibri"/>
                <w:color w:val="000000"/>
                <w:szCs w:val="24"/>
                <w:lang w:eastAsia="en-GB"/>
              </w:rPr>
            </w:pPr>
            <w:r w:rsidRPr="0069535A">
              <w:rPr>
                <w:rFonts w:ascii="Calibri" w:eastAsia="Calibri" w:hAnsi="Calibri" w:cs="Calibri"/>
                <w:color w:val="000000"/>
                <w:szCs w:val="24"/>
                <w:lang w:eastAsia="en-GB"/>
              </w:rPr>
              <w:t>Strengthening the National Health Protection Service  (3rd year of original agreement)</w:t>
            </w:r>
          </w:p>
        </w:tc>
        <w:tc>
          <w:tcPr>
            <w:tcW w:w="1597" w:type="dxa"/>
            <w:shd w:val="clear" w:color="auto" w:fill="FFFFFF"/>
            <w:noWrap/>
            <w:tcMar>
              <w:top w:w="0" w:type="dxa"/>
              <w:left w:w="108" w:type="dxa"/>
              <w:bottom w:w="0" w:type="dxa"/>
              <w:right w:w="108" w:type="dxa"/>
            </w:tcMar>
            <w:vAlign w:val="center"/>
            <w:hideMark/>
          </w:tcPr>
          <w:p w:rsidR="009A24C3" w:rsidRPr="0069535A" w:rsidRDefault="009A24C3" w:rsidP="00C06247">
            <w:pPr>
              <w:jc w:val="right"/>
              <w:rPr>
                <w:rFonts w:ascii="Calibri" w:eastAsia="Calibri" w:hAnsi="Calibri" w:cs="Calibri"/>
                <w:color w:val="000000"/>
                <w:szCs w:val="24"/>
                <w:lang w:eastAsia="en-GB"/>
              </w:rPr>
            </w:pPr>
            <w:r w:rsidRPr="0069535A">
              <w:rPr>
                <w:rFonts w:ascii="Calibri" w:eastAsia="Calibri" w:hAnsi="Calibri" w:cs="Calibri"/>
                <w:color w:val="000000"/>
                <w:szCs w:val="24"/>
                <w:lang w:eastAsia="en-GB"/>
              </w:rPr>
              <w:t>1</w:t>
            </w:r>
            <w:r w:rsidR="00C06247" w:rsidRPr="0069535A">
              <w:rPr>
                <w:rFonts w:ascii="Calibri" w:eastAsia="Calibri" w:hAnsi="Calibri" w:cs="Calibri"/>
                <w:color w:val="000000"/>
                <w:szCs w:val="24"/>
                <w:lang w:eastAsia="en-GB"/>
              </w:rPr>
              <w:t>.</w:t>
            </w:r>
            <w:r w:rsidRPr="0069535A">
              <w:rPr>
                <w:rFonts w:ascii="Calibri" w:eastAsia="Calibri" w:hAnsi="Calibri" w:cs="Calibri"/>
                <w:color w:val="000000"/>
                <w:szCs w:val="24"/>
                <w:lang w:eastAsia="en-GB"/>
              </w:rPr>
              <w:t>931</w:t>
            </w:r>
          </w:p>
        </w:tc>
      </w:tr>
      <w:tr w:rsidR="009A24C3" w:rsidRPr="0069535A" w:rsidTr="00EB7245">
        <w:trPr>
          <w:trHeight w:val="265"/>
        </w:trPr>
        <w:tc>
          <w:tcPr>
            <w:tcW w:w="7553" w:type="dxa"/>
            <w:shd w:val="clear" w:color="auto" w:fill="FFFFFF"/>
            <w:noWrap/>
            <w:tcMar>
              <w:top w:w="0" w:type="dxa"/>
              <w:left w:w="108" w:type="dxa"/>
              <w:bottom w:w="0" w:type="dxa"/>
              <w:right w:w="108" w:type="dxa"/>
            </w:tcMar>
            <w:vAlign w:val="center"/>
            <w:hideMark/>
          </w:tcPr>
          <w:p w:rsidR="009A24C3" w:rsidRPr="0069535A" w:rsidRDefault="009A24C3" w:rsidP="009A24C3">
            <w:pPr>
              <w:rPr>
                <w:rFonts w:ascii="Calibri" w:eastAsia="Calibri" w:hAnsi="Calibri" w:cs="Calibri"/>
                <w:color w:val="000000"/>
                <w:szCs w:val="24"/>
                <w:lang w:eastAsia="en-GB"/>
              </w:rPr>
            </w:pPr>
            <w:r w:rsidRPr="0069535A">
              <w:rPr>
                <w:rFonts w:ascii="Calibri" w:eastAsia="Calibri" w:hAnsi="Calibri" w:cs="Calibri"/>
                <w:color w:val="000000"/>
                <w:szCs w:val="24"/>
                <w:lang w:eastAsia="en-GB"/>
              </w:rPr>
              <w:t>PHW Microbiology Lab IP5 approved business case</w:t>
            </w:r>
          </w:p>
        </w:tc>
        <w:tc>
          <w:tcPr>
            <w:tcW w:w="1597" w:type="dxa"/>
            <w:shd w:val="clear" w:color="auto" w:fill="FFFFFF"/>
            <w:noWrap/>
            <w:tcMar>
              <w:top w:w="0" w:type="dxa"/>
              <w:left w:w="108" w:type="dxa"/>
              <w:bottom w:w="0" w:type="dxa"/>
              <w:right w:w="108" w:type="dxa"/>
            </w:tcMar>
            <w:vAlign w:val="center"/>
            <w:hideMark/>
          </w:tcPr>
          <w:p w:rsidR="009A24C3" w:rsidRPr="0069535A" w:rsidRDefault="00C06247" w:rsidP="00C06247">
            <w:pPr>
              <w:jc w:val="right"/>
              <w:rPr>
                <w:rFonts w:ascii="Calibri" w:eastAsia="Calibri" w:hAnsi="Calibri" w:cs="Calibri"/>
                <w:color w:val="000000"/>
                <w:szCs w:val="24"/>
                <w:lang w:eastAsia="en-GB"/>
              </w:rPr>
            </w:pPr>
            <w:r w:rsidRPr="0069535A">
              <w:rPr>
                <w:rFonts w:ascii="Calibri" w:eastAsia="Calibri" w:hAnsi="Calibri" w:cs="Calibri"/>
                <w:color w:val="000000"/>
                <w:szCs w:val="24"/>
                <w:lang w:eastAsia="en-GB"/>
              </w:rPr>
              <w:t>0.</w:t>
            </w:r>
            <w:r w:rsidR="009A24C3" w:rsidRPr="0069535A">
              <w:rPr>
                <w:rFonts w:ascii="Calibri" w:eastAsia="Calibri" w:hAnsi="Calibri" w:cs="Calibri"/>
                <w:color w:val="000000"/>
                <w:szCs w:val="24"/>
                <w:lang w:eastAsia="en-GB"/>
              </w:rPr>
              <w:t>833</w:t>
            </w:r>
          </w:p>
        </w:tc>
      </w:tr>
      <w:tr w:rsidR="009A24C3" w:rsidRPr="0069535A" w:rsidTr="00EB7245">
        <w:trPr>
          <w:trHeight w:val="265"/>
        </w:trPr>
        <w:tc>
          <w:tcPr>
            <w:tcW w:w="7553" w:type="dxa"/>
            <w:noWrap/>
            <w:tcMar>
              <w:top w:w="0" w:type="dxa"/>
              <w:left w:w="108" w:type="dxa"/>
              <w:bottom w:w="0" w:type="dxa"/>
              <w:right w:w="108" w:type="dxa"/>
            </w:tcMar>
            <w:vAlign w:val="bottom"/>
            <w:hideMark/>
          </w:tcPr>
          <w:p w:rsidR="009A24C3" w:rsidRPr="0069535A" w:rsidRDefault="009A24C3" w:rsidP="009A24C3">
            <w:pPr>
              <w:rPr>
                <w:rFonts w:ascii="Arial" w:eastAsia="Calibri" w:hAnsi="Arial" w:cs="Arial"/>
                <w:color w:val="000000"/>
                <w:szCs w:val="24"/>
                <w:lang w:eastAsia="en-GB"/>
              </w:rPr>
            </w:pPr>
            <w:r w:rsidRPr="0069535A">
              <w:rPr>
                <w:rFonts w:ascii="Arial" w:eastAsia="Calibri" w:hAnsi="Arial" w:cs="Arial"/>
                <w:color w:val="000000"/>
                <w:szCs w:val="24"/>
                <w:lang w:eastAsia="en-GB"/>
              </w:rPr>
              <w:t> </w:t>
            </w:r>
          </w:p>
        </w:tc>
        <w:tc>
          <w:tcPr>
            <w:tcW w:w="1597" w:type="dxa"/>
            <w:noWrap/>
            <w:tcMar>
              <w:top w:w="0" w:type="dxa"/>
              <w:left w:w="108" w:type="dxa"/>
              <w:bottom w:w="0" w:type="dxa"/>
              <w:right w:w="108" w:type="dxa"/>
            </w:tcMar>
            <w:vAlign w:val="bottom"/>
            <w:hideMark/>
          </w:tcPr>
          <w:p w:rsidR="009A24C3" w:rsidRPr="0069535A" w:rsidRDefault="009A24C3" w:rsidP="009A24C3">
            <w:pPr>
              <w:rPr>
                <w:rFonts w:ascii="Arial" w:eastAsia="Calibri" w:hAnsi="Arial" w:cs="Arial"/>
                <w:color w:val="000000"/>
                <w:szCs w:val="24"/>
                <w:lang w:eastAsia="en-GB"/>
              </w:rPr>
            </w:pPr>
            <w:r w:rsidRPr="0069535A">
              <w:rPr>
                <w:rFonts w:ascii="Arial" w:eastAsia="Calibri" w:hAnsi="Arial" w:cs="Arial"/>
                <w:color w:val="000000"/>
                <w:szCs w:val="24"/>
                <w:lang w:eastAsia="en-GB"/>
              </w:rPr>
              <w:t> </w:t>
            </w:r>
          </w:p>
        </w:tc>
      </w:tr>
      <w:tr w:rsidR="00EB7245" w:rsidRPr="0069535A" w:rsidTr="00EB7245">
        <w:trPr>
          <w:trHeight w:val="265"/>
        </w:trPr>
        <w:tc>
          <w:tcPr>
            <w:tcW w:w="7553" w:type="dxa"/>
            <w:shd w:val="clear" w:color="auto" w:fill="4F81BD" w:themeFill="accent1"/>
            <w:noWrap/>
            <w:tcMar>
              <w:top w:w="0" w:type="dxa"/>
              <w:left w:w="108" w:type="dxa"/>
              <w:bottom w:w="0" w:type="dxa"/>
              <w:right w:w="108" w:type="dxa"/>
            </w:tcMar>
            <w:vAlign w:val="center"/>
            <w:hideMark/>
          </w:tcPr>
          <w:p w:rsidR="009A24C3" w:rsidRPr="0069535A" w:rsidRDefault="009A24C3" w:rsidP="009A24C3">
            <w:pPr>
              <w:rPr>
                <w:rFonts w:ascii="Calibri" w:eastAsia="Calibri" w:hAnsi="Calibri" w:cs="Calibri"/>
                <w:b/>
                <w:bCs/>
                <w:color w:val="FFFFFF" w:themeColor="background1"/>
                <w:szCs w:val="24"/>
                <w:lang w:eastAsia="en-GB"/>
              </w:rPr>
            </w:pPr>
            <w:r w:rsidRPr="0069535A">
              <w:rPr>
                <w:rFonts w:ascii="Calibri" w:eastAsia="Calibri" w:hAnsi="Calibri" w:cs="Calibri"/>
                <w:b/>
                <w:bCs/>
                <w:color w:val="FFFFFF" w:themeColor="background1"/>
                <w:szCs w:val="24"/>
                <w:lang w:eastAsia="en-GB"/>
              </w:rPr>
              <w:t>Sub Total</w:t>
            </w:r>
          </w:p>
        </w:tc>
        <w:tc>
          <w:tcPr>
            <w:tcW w:w="1597" w:type="dxa"/>
            <w:shd w:val="clear" w:color="auto" w:fill="4F81BD" w:themeFill="accent1"/>
            <w:noWrap/>
            <w:tcMar>
              <w:top w:w="0" w:type="dxa"/>
              <w:left w:w="108" w:type="dxa"/>
              <w:bottom w:w="0" w:type="dxa"/>
              <w:right w:w="108" w:type="dxa"/>
            </w:tcMar>
            <w:vAlign w:val="center"/>
            <w:hideMark/>
          </w:tcPr>
          <w:p w:rsidR="009A24C3" w:rsidRPr="0069535A" w:rsidRDefault="009A24C3" w:rsidP="00C06247">
            <w:pPr>
              <w:jc w:val="right"/>
              <w:rPr>
                <w:rFonts w:ascii="Calibri" w:eastAsia="Calibri" w:hAnsi="Calibri" w:cs="Calibri"/>
                <w:b/>
                <w:bCs/>
                <w:color w:val="FFFFFF" w:themeColor="background1"/>
                <w:szCs w:val="24"/>
                <w:lang w:eastAsia="en-GB"/>
              </w:rPr>
            </w:pPr>
            <w:r w:rsidRPr="0069535A">
              <w:rPr>
                <w:rFonts w:ascii="Calibri" w:eastAsia="Calibri" w:hAnsi="Calibri" w:cs="Calibri"/>
                <w:b/>
                <w:bCs/>
                <w:color w:val="FFFFFF" w:themeColor="background1"/>
                <w:szCs w:val="24"/>
                <w:lang w:eastAsia="en-GB"/>
              </w:rPr>
              <w:t>109</w:t>
            </w:r>
            <w:r w:rsidR="00C06247" w:rsidRPr="0069535A">
              <w:rPr>
                <w:rFonts w:ascii="Calibri" w:eastAsia="Calibri" w:hAnsi="Calibri" w:cs="Calibri"/>
                <w:b/>
                <w:bCs/>
                <w:color w:val="FFFFFF" w:themeColor="background1"/>
                <w:szCs w:val="24"/>
                <w:lang w:eastAsia="en-GB"/>
              </w:rPr>
              <w:t>.</w:t>
            </w:r>
            <w:r w:rsidRPr="0069535A">
              <w:rPr>
                <w:rFonts w:ascii="Calibri" w:eastAsia="Calibri" w:hAnsi="Calibri" w:cs="Calibri"/>
                <w:b/>
                <w:bCs/>
                <w:color w:val="FFFFFF" w:themeColor="background1"/>
                <w:szCs w:val="24"/>
                <w:lang w:eastAsia="en-GB"/>
              </w:rPr>
              <w:t>084</w:t>
            </w:r>
          </w:p>
        </w:tc>
      </w:tr>
      <w:tr w:rsidR="009A24C3" w:rsidRPr="0069535A" w:rsidTr="00EB7245">
        <w:trPr>
          <w:trHeight w:val="265"/>
        </w:trPr>
        <w:tc>
          <w:tcPr>
            <w:tcW w:w="7553" w:type="dxa"/>
            <w:noWrap/>
            <w:tcMar>
              <w:top w:w="0" w:type="dxa"/>
              <w:left w:w="108" w:type="dxa"/>
              <w:bottom w:w="0" w:type="dxa"/>
              <w:right w:w="108" w:type="dxa"/>
            </w:tcMar>
            <w:vAlign w:val="center"/>
            <w:hideMark/>
          </w:tcPr>
          <w:p w:rsidR="009A24C3" w:rsidRPr="0069535A" w:rsidRDefault="009A24C3" w:rsidP="009A24C3">
            <w:pPr>
              <w:rPr>
                <w:rFonts w:ascii="Times New Roman" w:eastAsia="Calibri" w:hAnsi="Times New Roman" w:cs="Times New Roman"/>
                <w:color w:val="000000"/>
                <w:szCs w:val="24"/>
                <w:lang w:eastAsia="en-GB"/>
              </w:rPr>
            </w:pPr>
            <w:r w:rsidRPr="0069535A">
              <w:rPr>
                <w:rFonts w:ascii="Times New Roman" w:eastAsia="Calibri" w:hAnsi="Times New Roman" w:cs="Times New Roman"/>
                <w:color w:val="000000"/>
                <w:szCs w:val="24"/>
                <w:lang w:eastAsia="en-GB"/>
              </w:rPr>
              <w:t> </w:t>
            </w:r>
          </w:p>
        </w:tc>
        <w:tc>
          <w:tcPr>
            <w:tcW w:w="1597" w:type="dxa"/>
            <w:noWrap/>
            <w:tcMar>
              <w:top w:w="0" w:type="dxa"/>
              <w:left w:w="108" w:type="dxa"/>
              <w:bottom w:w="0" w:type="dxa"/>
              <w:right w:w="108" w:type="dxa"/>
            </w:tcMar>
            <w:vAlign w:val="bottom"/>
            <w:hideMark/>
          </w:tcPr>
          <w:p w:rsidR="009A24C3" w:rsidRPr="0069535A" w:rsidRDefault="009A24C3" w:rsidP="009A24C3">
            <w:pPr>
              <w:rPr>
                <w:rFonts w:ascii="Times New Roman" w:eastAsia="Calibri" w:hAnsi="Times New Roman" w:cs="Times New Roman"/>
                <w:color w:val="000000"/>
                <w:szCs w:val="24"/>
                <w:lang w:eastAsia="en-GB"/>
              </w:rPr>
            </w:pPr>
            <w:r w:rsidRPr="0069535A">
              <w:rPr>
                <w:rFonts w:ascii="Times New Roman" w:eastAsia="Calibri" w:hAnsi="Times New Roman" w:cs="Times New Roman"/>
                <w:color w:val="000000"/>
                <w:szCs w:val="24"/>
                <w:lang w:eastAsia="en-GB"/>
              </w:rPr>
              <w:t> </w:t>
            </w:r>
          </w:p>
        </w:tc>
      </w:tr>
      <w:tr w:rsidR="009A24C3" w:rsidRPr="0069535A" w:rsidTr="00EB7245">
        <w:trPr>
          <w:trHeight w:val="265"/>
        </w:trPr>
        <w:tc>
          <w:tcPr>
            <w:tcW w:w="7553" w:type="dxa"/>
            <w:noWrap/>
            <w:tcMar>
              <w:top w:w="0" w:type="dxa"/>
              <w:left w:w="108" w:type="dxa"/>
              <w:bottom w:w="0" w:type="dxa"/>
              <w:right w:w="108" w:type="dxa"/>
            </w:tcMar>
            <w:vAlign w:val="center"/>
            <w:hideMark/>
          </w:tcPr>
          <w:p w:rsidR="009A24C3" w:rsidRPr="0069535A" w:rsidRDefault="009A24C3" w:rsidP="009A24C3">
            <w:pPr>
              <w:rPr>
                <w:rFonts w:ascii="Calibri" w:eastAsia="Calibri" w:hAnsi="Calibri" w:cs="Calibri"/>
                <w:b/>
                <w:bCs/>
                <w:color w:val="000000"/>
                <w:szCs w:val="24"/>
                <w:lang w:eastAsia="en-GB"/>
              </w:rPr>
            </w:pPr>
            <w:r w:rsidRPr="0069535A">
              <w:rPr>
                <w:rFonts w:ascii="Calibri" w:eastAsia="Calibri" w:hAnsi="Calibri" w:cs="Calibri"/>
                <w:b/>
                <w:bCs/>
                <w:color w:val="000000"/>
                <w:szCs w:val="24"/>
                <w:lang w:eastAsia="en-GB"/>
              </w:rPr>
              <w:t>Transfers for 21/22</w:t>
            </w:r>
          </w:p>
        </w:tc>
        <w:tc>
          <w:tcPr>
            <w:tcW w:w="1597" w:type="dxa"/>
            <w:noWrap/>
            <w:tcMar>
              <w:top w:w="0" w:type="dxa"/>
              <w:left w:w="108" w:type="dxa"/>
              <w:bottom w:w="0" w:type="dxa"/>
              <w:right w:w="108" w:type="dxa"/>
            </w:tcMar>
            <w:hideMark/>
          </w:tcPr>
          <w:p w:rsidR="009A24C3" w:rsidRPr="0069535A" w:rsidRDefault="009A24C3" w:rsidP="009A24C3">
            <w:pPr>
              <w:rPr>
                <w:rFonts w:ascii="Times New Roman" w:eastAsia="Calibri" w:hAnsi="Times New Roman" w:cs="Times New Roman"/>
                <w:color w:val="000000"/>
                <w:szCs w:val="24"/>
                <w:lang w:eastAsia="en-GB"/>
              </w:rPr>
            </w:pPr>
            <w:r w:rsidRPr="0069535A">
              <w:rPr>
                <w:rFonts w:ascii="Times New Roman" w:eastAsia="Calibri" w:hAnsi="Times New Roman" w:cs="Times New Roman"/>
                <w:color w:val="000000"/>
                <w:szCs w:val="24"/>
                <w:lang w:eastAsia="en-GB"/>
              </w:rPr>
              <w:t> </w:t>
            </w:r>
          </w:p>
        </w:tc>
      </w:tr>
      <w:tr w:rsidR="009A24C3" w:rsidRPr="0069535A" w:rsidTr="00EB7245">
        <w:trPr>
          <w:trHeight w:val="265"/>
        </w:trPr>
        <w:tc>
          <w:tcPr>
            <w:tcW w:w="7553" w:type="dxa"/>
            <w:shd w:val="clear" w:color="auto" w:fill="FFFFFF"/>
            <w:noWrap/>
            <w:tcMar>
              <w:top w:w="0" w:type="dxa"/>
              <w:left w:w="108" w:type="dxa"/>
              <w:bottom w:w="0" w:type="dxa"/>
              <w:right w:w="108" w:type="dxa"/>
            </w:tcMar>
            <w:vAlign w:val="center"/>
            <w:hideMark/>
          </w:tcPr>
          <w:p w:rsidR="009A24C3" w:rsidRPr="0069535A" w:rsidRDefault="009A24C3" w:rsidP="009A24C3">
            <w:pPr>
              <w:rPr>
                <w:rFonts w:ascii="Calibri" w:eastAsia="Calibri" w:hAnsi="Calibri" w:cs="Calibri"/>
                <w:color w:val="000000"/>
                <w:szCs w:val="24"/>
                <w:lang w:eastAsia="en-GB"/>
              </w:rPr>
            </w:pPr>
            <w:r w:rsidRPr="0069535A">
              <w:rPr>
                <w:rFonts w:ascii="Calibri" w:eastAsia="Calibri" w:hAnsi="Calibri" w:cs="Calibri"/>
                <w:color w:val="000000"/>
                <w:szCs w:val="24"/>
                <w:lang w:eastAsia="en-GB"/>
              </w:rPr>
              <w:t>Early Years Prevention</w:t>
            </w:r>
          </w:p>
        </w:tc>
        <w:tc>
          <w:tcPr>
            <w:tcW w:w="1597" w:type="dxa"/>
            <w:shd w:val="clear" w:color="auto" w:fill="FFFFFF"/>
            <w:noWrap/>
            <w:tcMar>
              <w:top w:w="0" w:type="dxa"/>
              <w:left w:w="108" w:type="dxa"/>
              <w:bottom w:w="0" w:type="dxa"/>
              <w:right w:w="108" w:type="dxa"/>
            </w:tcMar>
            <w:vAlign w:val="center"/>
            <w:hideMark/>
          </w:tcPr>
          <w:p w:rsidR="009A24C3" w:rsidRPr="0069535A" w:rsidRDefault="009A24C3" w:rsidP="00C06247">
            <w:pPr>
              <w:jc w:val="right"/>
              <w:rPr>
                <w:rFonts w:ascii="Calibri" w:eastAsia="Calibri" w:hAnsi="Calibri" w:cs="Calibri"/>
                <w:color w:val="000000"/>
                <w:szCs w:val="24"/>
                <w:lang w:eastAsia="en-GB"/>
              </w:rPr>
            </w:pPr>
            <w:r w:rsidRPr="0069535A">
              <w:rPr>
                <w:rFonts w:ascii="Calibri" w:eastAsia="Calibri" w:hAnsi="Calibri" w:cs="Calibri"/>
                <w:color w:val="000000"/>
                <w:szCs w:val="24"/>
                <w:lang w:eastAsia="en-GB"/>
              </w:rPr>
              <w:t>1</w:t>
            </w:r>
            <w:r w:rsidR="00C06247" w:rsidRPr="0069535A">
              <w:rPr>
                <w:rFonts w:ascii="Calibri" w:eastAsia="Calibri" w:hAnsi="Calibri" w:cs="Calibri"/>
                <w:color w:val="000000"/>
                <w:szCs w:val="24"/>
                <w:lang w:eastAsia="en-GB"/>
              </w:rPr>
              <w:t>.</w:t>
            </w:r>
            <w:r w:rsidRPr="0069535A">
              <w:rPr>
                <w:rFonts w:ascii="Calibri" w:eastAsia="Calibri" w:hAnsi="Calibri" w:cs="Calibri"/>
                <w:color w:val="000000"/>
                <w:szCs w:val="24"/>
                <w:lang w:eastAsia="en-GB"/>
              </w:rPr>
              <w:t>080</w:t>
            </w:r>
          </w:p>
        </w:tc>
      </w:tr>
      <w:tr w:rsidR="009A24C3" w:rsidRPr="0069535A" w:rsidTr="00EB7245">
        <w:trPr>
          <w:trHeight w:val="265"/>
        </w:trPr>
        <w:tc>
          <w:tcPr>
            <w:tcW w:w="7553" w:type="dxa"/>
            <w:shd w:val="clear" w:color="auto" w:fill="FFFFFF"/>
            <w:noWrap/>
            <w:tcMar>
              <w:top w:w="0" w:type="dxa"/>
              <w:left w:w="108" w:type="dxa"/>
              <w:bottom w:w="0" w:type="dxa"/>
              <w:right w:w="108" w:type="dxa"/>
            </w:tcMar>
            <w:vAlign w:val="center"/>
            <w:hideMark/>
          </w:tcPr>
          <w:p w:rsidR="009A24C3" w:rsidRPr="0069535A" w:rsidRDefault="009A24C3" w:rsidP="009A24C3">
            <w:pPr>
              <w:rPr>
                <w:rFonts w:ascii="Calibri" w:eastAsia="Calibri" w:hAnsi="Calibri" w:cs="Calibri"/>
                <w:color w:val="000000"/>
                <w:szCs w:val="24"/>
                <w:lang w:eastAsia="en-GB"/>
              </w:rPr>
            </w:pPr>
            <w:r w:rsidRPr="0069535A">
              <w:rPr>
                <w:rFonts w:ascii="Calibri" w:eastAsia="Calibri" w:hAnsi="Calibri" w:cs="Calibri"/>
                <w:color w:val="000000"/>
                <w:szCs w:val="24"/>
                <w:lang w:eastAsia="en-GB"/>
              </w:rPr>
              <w:t>Obesity Plan</w:t>
            </w:r>
          </w:p>
        </w:tc>
        <w:tc>
          <w:tcPr>
            <w:tcW w:w="1597" w:type="dxa"/>
            <w:shd w:val="clear" w:color="auto" w:fill="FFFFFF"/>
            <w:noWrap/>
            <w:tcMar>
              <w:top w:w="0" w:type="dxa"/>
              <w:left w:w="108" w:type="dxa"/>
              <w:bottom w:w="0" w:type="dxa"/>
              <w:right w:w="108" w:type="dxa"/>
            </w:tcMar>
            <w:vAlign w:val="center"/>
            <w:hideMark/>
          </w:tcPr>
          <w:p w:rsidR="009A24C3" w:rsidRPr="0069535A" w:rsidRDefault="009A24C3" w:rsidP="00C06247">
            <w:pPr>
              <w:jc w:val="right"/>
              <w:rPr>
                <w:rFonts w:ascii="Calibri" w:eastAsia="Calibri" w:hAnsi="Calibri" w:cs="Calibri"/>
                <w:color w:val="000000"/>
                <w:szCs w:val="24"/>
                <w:lang w:eastAsia="en-GB"/>
              </w:rPr>
            </w:pPr>
            <w:r w:rsidRPr="0069535A">
              <w:rPr>
                <w:rFonts w:ascii="Calibri" w:eastAsia="Calibri" w:hAnsi="Calibri" w:cs="Calibri"/>
                <w:color w:val="000000"/>
                <w:szCs w:val="24"/>
                <w:lang w:eastAsia="en-GB"/>
              </w:rPr>
              <w:t>1</w:t>
            </w:r>
            <w:r w:rsidR="00C06247" w:rsidRPr="0069535A">
              <w:rPr>
                <w:rFonts w:ascii="Calibri" w:eastAsia="Calibri" w:hAnsi="Calibri" w:cs="Calibri"/>
                <w:color w:val="000000"/>
                <w:szCs w:val="24"/>
                <w:lang w:eastAsia="en-GB"/>
              </w:rPr>
              <w:t>.</w:t>
            </w:r>
            <w:r w:rsidRPr="0069535A">
              <w:rPr>
                <w:rFonts w:ascii="Calibri" w:eastAsia="Calibri" w:hAnsi="Calibri" w:cs="Calibri"/>
                <w:color w:val="000000"/>
                <w:szCs w:val="24"/>
                <w:lang w:eastAsia="en-GB"/>
              </w:rPr>
              <w:t>200</w:t>
            </w:r>
          </w:p>
        </w:tc>
      </w:tr>
      <w:tr w:rsidR="009A24C3" w:rsidRPr="0069535A" w:rsidTr="00EB7245">
        <w:trPr>
          <w:trHeight w:val="532"/>
        </w:trPr>
        <w:tc>
          <w:tcPr>
            <w:tcW w:w="7553" w:type="dxa"/>
            <w:shd w:val="clear" w:color="auto" w:fill="FFFFFF"/>
            <w:tcMar>
              <w:top w:w="0" w:type="dxa"/>
              <w:left w:w="108" w:type="dxa"/>
              <w:bottom w:w="0" w:type="dxa"/>
              <w:right w:w="108" w:type="dxa"/>
            </w:tcMar>
            <w:vAlign w:val="center"/>
            <w:hideMark/>
          </w:tcPr>
          <w:p w:rsidR="009A24C3" w:rsidRPr="0069535A" w:rsidRDefault="009A24C3" w:rsidP="009A24C3">
            <w:pPr>
              <w:rPr>
                <w:rFonts w:ascii="Calibri" w:eastAsia="Calibri" w:hAnsi="Calibri" w:cs="Calibri"/>
                <w:color w:val="000000"/>
                <w:szCs w:val="24"/>
                <w:lang w:eastAsia="en-GB"/>
              </w:rPr>
            </w:pPr>
            <w:r w:rsidRPr="0069535A">
              <w:rPr>
                <w:rFonts w:ascii="Calibri" w:eastAsia="Calibri" w:hAnsi="Calibri" w:cs="Calibri"/>
                <w:color w:val="000000"/>
                <w:szCs w:val="24"/>
                <w:lang w:eastAsia="en-GB"/>
              </w:rPr>
              <w:t>FIT Optimisation (this was the original figure prior to the pause for COVID response, work now being picked up and implementation plan being reworked)</w:t>
            </w:r>
          </w:p>
        </w:tc>
        <w:tc>
          <w:tcPr>
            <w:tcW w:w="1597" w:type="dxa"/>
            <w:shd w:val="clear" w:color="auto" w:fill="FFFFFF"/>
            <w:noWrap/>
            <w:tcMar>
              <w:top w:w="0" w:type="dxa"/>
              <w:left w:w="108" w:type="dxa"/>
              <w:bottom w:w="0" w:type="dxa"/>
              <w:right w:w="108" w:type="dxa"/>
            </w:tcMar>
            <w:vAlign w:val="center"/>
            <w:hideMark/>
          </w:tcPr>
          <w:p w:rsidR="009A24C3" w:rsidRPr="0069535A" w:rsidRDefault="009A24C3" w:rsidP="00C06247">
            <w:pPr>
              <w:jc w:val="right"/>
              <w:rPr>
                <w:rFonts w:ascii="Calibri" w:eastAsia="Calibri" w:hAnsi="Calibri" w:cs="Calibri"/>
                <w:color w:val="000000"/>
                <w:szCs w:val="24"/>
                <w:lang w:eastAsia="en-GB"/>
              </w:rPr>
            </w:pPr>
            <w:r w:rsidRPr="0069535A">
              <w:rPr>
                <w:rFonts w:ascii="Calibri" w:eastAsia="Calibri" w:hAnsi="Calibri" w:cs="Calibri"/>
                <w:color w:val="000000"/>
                <w:szCs w:val="24"/>
                <w:lang w:eastAsia="en-GB"/>
              </w:rPr>
              <w:t>4</w:t>
            </w:r>
            <w:r w:rsidR="00C06247" w:rsidRPr="0069535A">
              <w:rPr>
                <w:rFonts w:ascii="Calibri" w:eastAsia="Calibri" w:hAnsi="Calibri" w:cs="Calibri"/>
                <w:color w:val="000000"/>
                <w:szCs w:val="24"/>
                <w:lang w:eastAsia="en-GB"/>
              </w:rPr>
              <w:t>.</w:t>
            </w:r>
            <w:r w:rsidRPr="0069535A">
              <w:rPr>
                <w:rFonts w:ascii="Calibri" w:eastAsia="Calibri" w:hAnsi="Calibri" w:cs="Calibri"/>
                <w:color w:val="000000"/>
                <w:szCs w:val="24"/>
                <w:lang w:eastAsia="en-GB"/>
              </w:rPr>
              <w:t>53</w:t>
            </w:r>
            <w:r w:rsidR="00C06247" w:rsidRPr="0069535A">
              <w:rPr>
                <w:rFonts w:ascii="Calibri" w:eastAsia="Calibri" w:hAnsi="Calibri" w:cs="Calibri"/>
                <w:color w:val="000000"/>
                <w:szCs w:val="24"/>
                <w:lang w:eastAsia="en-GB"/>
              </w:rPr>
              <w:t>4</w:t>
            </w:r>
          </w:p>
        </w:tc>
      </w:tr>
      <w:tr w:rsidR="009A24C3" w:rsidRPr="0069535A" w:rsidTr="00EB7245">
        <w:trPr>
          <w:trHeight w:val="297"/>
        </w:trPr>
        <w:tc>
          <w:tcPr>
            <w:tcW w:w="7553" w:type="dxa"/>
            <w:shd w:val="clear" w:color="auto" w:fill="FFFFFF"/>
            <w:tcMar>
              <w:top w:w="0" w:type="dxa"/>
              <w:left w:w="108" w:type="dxa"/>
              <w:bottom w:w="0" w:type="dxa"/>
              <w:right w:w="108" w:type="dxa"/>
            </w:tcMar>
            <w:vAlign w:val="center"/>
            <w:hideMark/>
          </w:tcPr>
          <w:p w:rsidR="009A24C3" w:rsidRPr="0069535A" w:rsidRDefault="009A24C3" w:rsidP="009A24C3">
            <w:pPr>
              <w:rPr>
                <w:rFonts w:ascii="Calibri" w:eastAsia="Calibri" w:hAnsi="Calibri" w:cs="Calibri"/>
                <w:color w:val="000000"/>
                <w:szCs w:val="24"/>
                <w:lang w:eastAsia="en-GB"/>
              </w:rPr>
            </w:pPr>
            <w:r w:rsidRPr="0069535A">
              <w:rPr>
                <w:rFonts w:ascii="Calibri" w:eastAsia="Calibri" w:hAnsi="Calibri" w:cs="Calibri"/>
                <w:color w:val="000000"/>
                <w:szCs w:val="24"/>
                <w:lang w:eastAsia="en-GB"/>
              </w:rPr>
              <w:t> </w:t>
            </w:r>
          </w:p>
        </w:tc>
        <w:tc>
          <w:tcPr>
            <w:tcW w:w="1597" w:type="dxa"/>
            <w:shd w:val="clear" w:color="auto" w:fill="FFFFFF"/>
            <w:noWrap/>
            <w:tcMar>
              <w:top w:w="0" w:type="dxa"/>
              <w:left w:w="108" w:type="dxa"/>
              <w:bottom w:w="0" w:type="dxa"/>
              <w:right w:w="108" w:type="dxa"/>
            </w:tcMar>
            <w:vAlign w:val="center"/>
            <w:hideMark/>
          </w:tcPr>
          <w:p w:rsidR="009A24C3" w:rsidRPr="0069535A" w:rsidRDefault="009A24C3" w:rsidP="009A24C3">
            <w:pPr>
              <w:jc w:val="right"/>
              <w:rPr>
                <w:rFonts w:ascii="Calibri" w:eastAsia="Calibri" w:hAnsi="Calibri" w:cs="Calibri"/>
                <w:color w:val="000000"/>
                <w:szCs w:val="24"/>
                <w:lang w:eastAsia="en-GB"/>
              </w:rPr>
            </w:pPr>
            <w:r w:rsidRPr="0069535A">
              <w:rPr>
                <w:rFonts w:ascii="Calibri" w:eastAsia="Calibri" w:hAnsi="Calibri" w:cs="Calibri"/>
                <w:color w:val="000000"/>
                <w:szCs w:val="24"/>
                <w:lang w:eastAsia="en-GB"/>
              </w:rPr>
              <w:t> </w:t>
            </w:r>
          </w:p>
        </w:tc>
      </w:tr>
      <w:tr w:rsidR="009A24C3" w:rsidRPr="0069535A" w:rsidTr="00EB7245">
        <w:trPr>
          <w:trHeight w:val="265"/>
        </w:trPr>
        <w:tc>
          <w:tcPr>
            <w:tcW w:w="7553" w:type="dxa"/>
            <w:shd w:val="clear" w:color="auto" w:fill="4F81BD" w:themeFill="accent1"/>
            <w:tcMar>
              <w:top w:w="0" w:type="dxa"/>
              <w:left w:w="108" w:type="dxa"/>
              <w:bottom w:w="0" w:type="dxa"/>
              <w:right w:w="108" w:type="dxa"/>
            </w:tcMar>
            <w:vAlign w:val="center"/>
            <w:hideMark/>
          </w:tcPr>
          <w:p w:rsidR="009A24C3" w:rsidRPr="0069535A" w:rsidRDefault="009A24C3" w:rsidP="009A24C3">
            <w:pPr>
              <w:rPr>
                <w:rFonts w:ascii="Calibri" w:eastAsia="Calibri" w:hAnsi="Calibri" w:cs="Calibri"/>
                <w:b/>
                <w:bCs/>
                <w:color w:val="FFFFFF" w:themeColor="background1"/>
                <w:szCs w:val="24"/>
                <w:lang w:eastAsia="en-GB"/>
              </w:rPr>
            </w:pPr>
            <w:r w:rsidRPr="0069535A">
              <w:rPr>
                <w:rFonts w:ascii="Calibri" w:eastAsia="Calibri" w:hAnsi="Calibri" w:cs="Calibri"/>
                <w:b/>
                <w:bCs/>
                <w:color w:val="FFFFFF" w:themeColor="background1"/>
                <w:szCs w:val="24"/>
                <w:lang w:eastAsia="en-GB"/>
              </w:rPr>
              <w:t>Sub Total</w:t>
            </w:r>
          </w:p>
        </w:tc>
        <w:tc>
          <w:tcPr>
            <w:tcW w:w="1597" w:type="dxa"/>
            <w:shd w:val="clear" w:color="auto" w:fill="4F81BD" w:themeFill="accent1"/>
            <w:noWrap/>
            <w:tcMar>
              <w:top w:w="0" w:type="dxa"/>
              <w:left w:w="108" w:type="dxa"/>
              <w:bottom w:w="0" w:type="dxa"/>
              <w:right w:w="108" w:type="dxa"/>
            </w:tcMar>
            <w:vAlign w:val="center"/>
            <w:hideMark/>
          </w:tcPr>
          <w:p w:rsidR="009A24C3" w:rsidRPr="0069535A" w:rsidRDefault="009A24C3" w:rsidP="00C06247">
            <w:pPr>
              <w:jc w:val="right"/>
              <w:rPr>
                <w:rFonts w:ascii="Calibri" w:eastAsia="Calibri" w:hAnsi="Calibri" w:cs="Calibri"/>
                <w:b/>
                <w:bCs/>
                <w:color w:val="FFFFFF" w:themeColor="background1"/>
                <w:szCs w:val="24"/>
                <w:lang w:eastAsia="en-GB"/>
              </w:rPr>
            </w:pPr>
            <w:r w:rsidRPr="0069535A">
              <w:rPr>
                <w:rFonts w:ascii="Calibri" w:eastAsia="Calibri" w:hAnsi="Calibri" w:cs="Calibri"/>
                <w:b/>
                <w:bCs/>
                <w:color w:val="FFFFFF" w:themeColor="background1"/>
                <w:szCs w:val="24"/>
                <w:lang w:eastAsia="en-GB"/>
              </w:rPr>
              <w:t>6</w:t>
            </w:r>
            <w:r w:rsidR="00C06247" w:rsidRPr="0069535A">
              <w:rPr>
                <w:rFonts w:ascii="Calibri" w:eastAsia="Calibri" w:hAnsi="Calibri" w:cs="Calibri"/>
                <w:b/>
                <w:bCs/>
                <w:color w:val="FFFFFF" w:themeColor="background1"/>
                <w:szCs w:val="24"/>
                <w:lang w:eastAsia="en-GB"/>
              </w:rPr>
              <w:t>.</w:t>
            </w:r>
            <w:r w:rsidRPr="0069535A">
              <w:rPr>
                <w:rFonts w:ascii="Calibri" w:eastAsia="Calibri" w:hAnsi="Calibri" w:cs="Calibri"/>
                <w:b/>
                <w:bCs/>
                <w:color w:val="FFFFFF" w:themeColor="background1"/>
                <w:szCs w:val="24"/>
                <w:lang w:eastAsia="en-GB"/>
              </w:rPr>
              <w:t>81</w:t>
            </w:r>
            <w:r w:rsidR="00C06247" w:rsidRPr="0069535A">
              <w:rPr>
                <w:rFonts w:ascii="Calibri" w:eastAsia="Calibri" w:hAnsi="Calibri" w:cs="Calibri"/>
                <w:b/>
                <w:bCs/>
                <w:color w:val="FFFFFF" w:themeColor="background1"/>
                <w:szCs w:val="24"/>
                <w:lang w:eastAsia="en-GB"/>
              </w:rPr>
              <w:t>4</w:t>
            </w:r>
          </w:p>
        </w:tc>
      </w:tr>
      <w:tr w:rsidR="009A24C3" w:rsidRPr="0069535A" w:rsidTr="00EB7245">
        <w:trPr>
          <w:trHeight w:val="265"/>
        </w:trPr>
        <w:tc>
          <w:tcPr>
            <w:tcW w:w="7553" w:type="dxa"/>
            <w:noWrap/>
            <w:tcMar>
              <w:top w:w="0" w:type="dxa"/>
              <w:left w:w="108" w:type="dxa"/>
              <w:bottom w:w="0" w:type="dxa"/>
              <w:right w:w="108" w:type="dxa"/>
            </w:tcMar>
            <w:vAlign w:val="center"/>
            <w:hideMark/>
          </w:tcPr>
          <w:p w:rsidR="009A24C3" w:rsidRPr="0069535A" w:rsidRDefault="009A24C3" w:rsidP="009A24C3">
            <w:pPr>
              <w:rPr>
                <w:rFonts w:ascii="Times New Roman" w:eastAsia="Calibri" w:hAnsi="Times New Roman" w:cs="Times New Roman"/>
                <w:color w:val="000000"/>
                <w:szCs w:val="24"/>
                <w:lang w:eastAsia="en-GB"/>
              </w:rPr>
            </w:pPr>
            <w:r w:rsidRPr="0069535A">
              <w:rPr>
                <w:rFonts w:ascii="Times New Roman" w:eastAsia="Calibri" w:hAnsi="Times New Roman" w:cs="Times New Roman"/>
                <w:color w:val="000000"/>
                <w:szCs w:val="24"/>
                <w:lang w:eastAsia="en-GB"/>
              </w:rPr>
              <w:t> </w:t>
            </w:r>
          </w:p>
        </w:tc>
        <w:tc>
          <w:tcPr>
            <w:tcW w:w="1597" w:type="dxa"/>
            <w:noWrap/>
            <w:tcMar>
              <w:top w:w="0" w:type="dxa"/>
              <w:left w:w="108" w:type="dxa"/>
              <w:bottom w:w="0" w:type="dxa"/>
              <w:right w:w="108" w:type="dxa"/>
            </w:tcMar>
            <w:hideMark/>
          </w:tcPr>
          <w:p w:rsidR="009A24C3" w:rsidRPr="0069535A" w:rsidRDefault="009A24C3" w:rsidP="009A24C3">
            <w:pPr>
              <w:rPr>
                <w:rFonts w:ascii="Times New Roman" w:eastAsia="Calibri" w:hAnsi="Times New Roman" w:cs="Times New Roman"/>
                <w:color w:val="000000"/>
                <w:szCs w:val="24"/>
                <w:lang w:eastAsia="en-GB"/>
              </w:rPr>
            </w:pPr>
            <w:r w:rsidRPr="0069535A">
              <w:rPr>
                <w:rFonts w:ascii="Times New Roman" w:eastAsia="Calibri" w:hAnsi="Times New Roman" w:cs="Times New Roman"/>
                <w:color w:val="000000"/>
                <w:szCs w:val="24"/>
                <w:lang w:eastAsia="en-GB"/>
              </w:rPr>
              <w:t> </w:t>
            </w:r>
          </w:p>
        </w:tc>
      </w:tr>
      <w:tr w:rsidR="009A24C3" w:rsidRPr="0069535A" w:rsidTr="00EB7245">
        <w:trPr>
          <w:trHeight w:val="265"/>
        </w:trPr>
        <w:tc>
          <w:tcPr>
            <w:tcW w:w="7553" w:type="dxa"/>
            <w:noWrap/>
            <w:tcMar>
              <w:top w:w="0" w:type="dxa"/>
              <w:left w:w="108" w:type="dxa"/>
              <w:bottom w:w="0" w:type="dxa"/>
              <w:right w:w="108" w:type="dxa"/>
            </w:tcMar>
            <w:vAlign w:val="center"/>
            <w:hideMark/>
          </w:tcPr>
          <w:p w:rsidR="009A24C3" w:rsidRPr="0069535A" w:rsidRDefault="009A24C3" w:rsidP="009A24C3">
            <w:pPr>
              <w:rPr>
                <w:rFonts w:ascii="Calibri" w:eastAsia="Calibri" w:hAnsi="Calibri" w:cs="Calibri"/>
                <w:b/>
                <w:bCs/>
                <w:color w:val="000000"/>
                <w:szCs w:val="24"/>
                <w:lang w:eastAsia="en-GB"/>
              </w:rPr>
            </w:pPr>
            <w:r w:rsidRPr="0069535A">
              <w:rPr>
                <w:rFonts w:ascii="Calibri" w:eastAsia="Calibri" w:hAnsi="Calibri" w:cs="Calibri"/>
                <w:b/>
                <w:bCs/>
                <w:color w:val="000000"/>
                <w:szCs w:val="24"/>
                <w:lang w:eastAsia="en-GB"/>
              </w:rPr>
              <w:t>Other for 21/22</w:t>
            </w:r>
          </w:p>
        </w:tc>
        <w:tc>
          <w:tcPr>
            <w:tcW w:w="1597" w:type="dxa"/>
            <w:noWrap/>
            <w:tcMar>
              <w:top w:w="0" w:type="dxa"/>
              <w:left w:w="108" w:type="dxa"/>
              <w:bottom w:w="0" w:type="dxa"/>
              <w:right w:w="108" w:type="dxa"/>
            </w:tcMar>
            <w:hideMark/>
          </w:tcPr>
          <w:p w:rsidR="009A24C3" w:rsidRPr="0069535A" w:rsidRDefault="009A24C3" w:rsidP="009A24C3">
            <w:pPr>
              <w:rPr>
                <w:rFonts w:ascii="Times New Roman" w:eastAsia="Calibri" w:hAnsi="Times New Roman" w:cs="Times New Roman"/>
                <w:color w:val="000000"/>
                <w:szCs w:val="24"/>
                <w:lang w:eastAsia="en-GB"/>
              </w:rPr>
            </w:pPr>
            <w:r w:rsidRPr="0069535A">
              <w:rPr>
                <w:rFonts w:ascii="Times New Roman" w:eastAsia="Calibri" w:hAnsi="Times New Roman" w:cs="Times New Roman"/>
                <w:color w:val="000000"/>
                <w:szCs w:val="24"/>
                <w:lang w:eastAsia="en-GB"/>
              </w:rPr>
              <w:t> </w:t>
            </w:r>
          </w:p>
        </w:tc>
      </w:tr>
      <w:tr w:rsidR="009A24C3" w:rsidRPr="0069535A" w:rsidTr="00EB7245">
        <w:trPr>
          <w:trHeight w:val="265"/>
        </w:trPr>
        <w:tc>
          <w:tcPr>
            <w:tcW w:w="7553" w:type="dxa"/>
            <w:noWrap/>
            <w:tcMar>
              <w:top w:w="0" w:type="dxa"/>
              <w:left w:w="108" w:type="dxa"/>
              <w:bottom w:w="0" w:type="dxa"/>
              <w:right w:w="108" w:type="dxa"/>
            </w:tcMar>
            <w:vAlign w:val="center"/>
            <w:hideMark/>
          </w:tcPr>
          <w:p w:rsidR="009A24C3" w:rsidRPr="0069535A" w:rsidRDefault="009A24C3" w:rsidP="009A24C3">
            <w:pPr>
              <w:rPr>
                <w:rFonts w:ascii="Calibri" w:eastAsia="Calibri" w:hAnsi="Calibri" w:cs="Calibri"/>
                <w:color w:val="000000"/>
                <w:szCs w:val="24"/>
                <w:lang w:eastAsia="en-GB"/>
              </w:rPr>
            </w:pPr>
            <w:r w:rsidRPr="0069535A">
              <w:rPr>
                <w:rFonts w:ascii="Calibri" w:eastAsia="Calibri" w:hAnsi="Calibri" w:cs="Calibri"/>
                <w:color w:val="000000"/>
                <w:szCs w:val="24"/>
                <w:lang w:eastAsia="en-GB"/>
              </w:rPr>
              <w:t>2% Inflationary Uplift for Pay and Prices 2021-22 (on the £109,084,000)</w:t>
            </w:r>
          </w:p>
        </w:tc>
        <w:tc>
          <w:tcPr>
            <w:tcW w:w="1597" w:type="dxa"/>
            <w:noWrap/>
            <w:tcMar>
              <w:top w:w="0" w:type="dxa"/>
              <w:left w:w="108" w:type="dxa"/>
              <w:bottom w:w="0" w:type="dxa"/>
              <w:right w:w="108" w:type="dxa"/>
            </w:tcMar>
            <w:vAlign w:val="center"/>
            <w:hideMark/>
          </w:tcPr>
          <w:p w:rsidR="009A24C3" w:rsidRPr="0069535A" w:rsidRDefault="009A24C3" w:rsidP="00C06247">
            <w:pPr>
              <w:jc w:val="right"/>
              <w:rPr>
                <w:rFonts w:ascii="Calibri" w:eastAsia="Calibri" w:hAnsi="Calibri" w:cs="Calibri"/>
                <w:color w:val="000000"/>
                <w:szCs w:val="24"/>
                <w:lang w:eastAsia="en-GB"/>
              </w:rPr>
            </w:pPr>
            <w:r w:rsidRPr="0069535A">
              <w:rPr>
                <w:rFonts w:ascii="Calibri" w:eastAsia="Calibri" w:hAnsi="Calibri" w:cs="Calibri"/>
                <w:color w:val="000000"/>
                <w:szCs w:val="24"/>
                <w:lang w:eastAsia="en-GB"/>
              </w:rPr>
              <w:t>2</w:t>
            </w:r>
            <w:r w:rsidR="00C06247" w:rsidRPr="0069535A">
              <w:rPr>
                <w:rFonts w:ascii="Calibri" w:eastAsia="Calibri" w:hAnsi="Calibri" w:cs="Calibri"/>
                <w:color w:val="000000"/>
                <w:szCs w:val="24"/>
                <w:lang w:eastAsia="en-GB"/>
              </w:rPr>
              <w:t>.</w:t>
            </w:r>
            <w:r w:rsidRPr="0069535A">
              <w:rPr>
                <w:rFonts w:ascii="Calibri" w:eastAsia="Calibri" w:hAnsi="Calibri" w:cs="Calibri"/>
                <w:color w:val="000000"/>
                <w:szCs w:val="24"/>
                <w:lang w:eastAsia="en-GB"/>
              </w:rPr>
              <w:t>18</w:t>
            </w:r>
            <w:r w:rsidR="00C06247" w:rsidRPr="0069535A">
              <w:rPr>
                <w:rFonts w:ascii="Calibri" w:eastAsia="Calibri" w:hAnsi="Calibri" w:cs="Calibri"/>
                <w:color w:val="000000"/>
                <w:szCs w:val="24"/>
                <w:lang w:eastAsia="en-GB"/>
              </w:rPr>
              <w:t>1</w:t>
            </w:r>
          </w:p>
        </w:tc>
      </w:tr>
      <w:tr w:rsidR="009A24C3" w:rsidRPr="0069535A" w:rsidTr="00EB7245">
        <w:trPr>
          <w:trHeight w:val="265"/>
        </w:trPr>
        <w:tc>
          <w:tcPr>
            <w:tcW w:w="7553" w:type="dxa"/>
            <w:noWrap/>
            <w:tcMar>
              <w:top w:w="0" w:type="dxa"/>
              <w:left w:w="108" w:type="dxa"/>
              <w:bottom w:w="0" w:type="dxa"/>
              <w:right w:w="108" w:type="dxa"/>
            </w:tcMar>
            <w:vAlign w:val="center"/>
            <w:hideMark/>
          </w:tcPr>
          <w:p w:rsidR="009A24C3" w:rsidRPr="0069535A" w:rsidRDefault="009A24C3" w:rsidP="009A24C3">
            <w:pPr>
              <w:rPr>
                <w:rFonts w:ascii="Times New Roman" w:eastAsia="Calibri" w:hAnsi="Times New Roman" w:cs="Times New Roman"/>
                <w:color w:val="000000"/>
                <w:szCs w:val="24"/>
                <w:lang w:eastAsia="en-GB"/>
              </w:rPr>
            </w:pPr>
            <w:r w:rsidRPr="0069535A">
              <w:rPr>
                <w:rFonts w:ascii="Times New Roman" w:eastAsia="Calibri" w:hAnsi="Times New Roman" w:cs="Times New Roman"/>
                <w:color w:val="000000"/>
                <w:szCs w:val="24"/>
                <w:lang w:eastAsia="en-GB"/>
              </w:rPr>
              <w:t> </w:t>
            </w:r>
          </w:p>
        </w:tc>
        <w:tc>
          <w:tcPr>
            <w:tcW w:w="1597" w:type="dxa"/>
            <w:noWrap/>
            <w:tcMar>
              <w:top w:w="0" w:type="dxa"/>
              <w:left w:w="108" w:type="dxa"/>
              <w:bottom w:w="0" w:type="dxa"/>
              <w:right w:w="108" w:type="dxa"/>
            </w:tcMar>
            <w:hideMark/>
          </w:tcPr>
          <w:p w:rsidR="009A24C3" w:rsidRPr="0069535A" w:rsidRDefault="009A24C3" w:rsidP="009A24C3">
            <w:pPr>
              <w:rPr>
                <w:rFonts w:ascii="Times New Roman" w:eastAsia="Calibri" w:hAnsi="Times New Roman" w:cs="Times New Roman"/>
                <w:color w:val="000000"/>
                <w:szCs w:val="24"/>
                <w:lang w:eastAsia="en-GB"/>
              </w:rPr>
            </w:pPr>
            <w:r w:rsidRPr="0069535A">
              <w:rPr>
                <w:rFonts w:ascii="Times New Roman" w:eastAsia="Calibri" w:hAnsi="Times New Roman" w:cs="Times New Roman"/>
                <w:color w:val="000000"/>
                <w:szCs w:val="24"/>
                <w:lang w:eastAsia="en-GB"/>
              </w:rPr>
              <w:t> </w:t>
            </w:r>
          </w:p>
        </w:tc>
      </w:tr>
      <w:tr w:rsidR="009A24C3" w:rsidRPr="0069535A" w:rsidTr="00EB7245">
        <w:trPr>
          <w:trHeight w:val="265"/>
        </w:trPr>
        <w:tc>
          <w:tcPr>
            <w:tcW w:w="7553" w:type="dxa"/>
            <w:shd w:val="clear" w:color="auto" w:fill="2F75B5"/>
            <w:noWrap/>
            <w:tcMar>
              <w:top w:w="0" w:type="dxa"/>
              <w:left w:w="108" w:type="dxa"/>
              <w:bottom w:w="0" w:type="dxa"/>
              <w:right w:w="108" w:type="dxa"/>
            </w:tcMar>
            <w:vAlign w:val="center"/>
            <w:hideMark/>
          </w:tcPr>
          <w:p w:rsidR="009A24C3" w:rsidRPr="0069535A" w:rsidRDefault="009A24C3" w:rsidP="009A24C3">
            <w:pPr>
              <w:rPr>
                <w:rFonts w:ascii="Calibri" w:eastAsia="Calibri" w:hAnsi="Calibri" w:cs="Calibri"/>
                <w:b/>
                <w:bCs/>
                <w:color w:val="FFFFFF"/>
                <w:szCs w:val="24"/>
                <w:lang w:eastAsia="en-GB"/>
              </w:rPr>
            </w:pPr>
            <w:r w:rsidRPr="0069535A">
              <w:rPr>
                <w:rFonts w:ascii="Calibri" w:eastAsia="Calibri" w:hAnsi="Calibri" w:cs="Calibri"/>
                <w:b/>
                <w:bCs/>
                <w:color w:val="FFFFFF"/>
                <w:szCs w:val="24"/>
                <w:lang w:eastAsia="en-GB"/>
              </w:rPr>
              <w:t>2021/22 Baseline Funding Allocation (revised figure)</w:t>
            </w:r>
          </w:p>
        </w:tc>
        <w:tc>
          <w:tcPr>
            <w:tcW w:w="1597" w:type="dxa"/>
            <w:shd w:val="clear" w:color="auto" w:fill="2F75B5"/>
            <w:noWrap/>
            <w:tcMar>
              <w:top w:w="0" w:type="dxa"/>
              <w:left w:w="108" w:type="dxa"/>
              <w:bottom w:w="0" w:type="dxa"/>
              <w:right w:w="108" w:type="dxa"/>
            </w:tcMar>
            <w:vAlign w:val="center"/>
            <w:hideMark/>
          </w:tcPr>
          <w:p w:rsidR="009A24C3" w:rsidRPr="0069535A" w:rsidRDefault="00C06247" w:rsidP="00C06247">
            <w:pPr>
              <w:jc w:val="right"/>
              <w:rPr>
                <w:rFonts w:ascii="Calibri" w:eastAsia="Calibri" w:hAnsi="Calibri" w:cs="Calibri"/>
                <w:color w:val="FFFFFF"/>
                <w:szCs w:val="24"/>
                <w:lang w:eastAsia="en-GB"/>
              </w:rPr>
            </w:pPr>
            <w:r w:rsidRPr="0069535A">
              <w:rPr>
                <w:rFonts w:ascii="Calibri" w:eastAsia="Calibri" w:hAnsi="Calibri" w:cs="Calibri"/>
                <w:color w:val="FFFFFF"/>
                <w:szCs w:val="24"/>
                <w:lang w:eastAsia="en-GB"/>
              </w:rPr>
              <w:t>£</w:t>
            </w:r>
            <w:r w:rsidR="009A24C3" w:rsidRPr="0069535A">
              <w:rPr>
                <w:rFonts w:ascii="Calibri" w:eastAsia="Calibri" w:hAnsi="Calibri" w:cs="Calibri"/>
                <w:color w:val="FFFFFF"/>
                <w:szCs w:val="24"/>
                <w:lang w:eastAsia="en-GB"/>
              </w:rPr>
              <w:t>118</w:t>
            </w:r>
            <w:r w:rsidRPr="0069535A">
              <w:rPr>
                <w:rFonts w:ascii="Calibri" w:eastAsia="Calibri" w:hAnsi="Calibri" w:cs="Calibri"/>
                <w:color w:val="FFFFFF"/>
                <w:szCs w:val="24"/>
                <w:lang w:eastAsia="en-GB"/>
              </w:rPr>
              <w:t>.</w:t>
            </w:r>
            <w:r w:rsidR="009A24C3" w:rsidRPr="0069535A">
              <w:rPr>
                <w:rFonts w:ascii="Calibri" w:eastAsia="Calibri" w:hAnsi="Calibri" w:cs="Calibri"/>
                <w:color w:val="FFFFFF"/>
                <w:szCs w:val="24"/>
                <w:lang w:eastAsia="en-GB"/>
              </w:rPr>
              <w:t>079</w:t>
            </w:r>
          </w:p>
        </w:tc>
      </w:tr>
    </w:tbl>
    <w:p w:rsidR="009A24C3" w:rsidRDefault="009A24C3" w:rsidP="009A24C3">
      <w:pPr>
        <w:spacing w:before="240"/>
        <w:jc w:val="both"/>
      </w:pPr>
    </w:p>
    <w:p w:rsidR="002D7350" w:rsidRDefault="009A24C3" w:rsidP="00C06247">
      <w:pPr>
        <w:jc w:val="both"/>
        <w:rPr>
          <w:rFonts w:cstheme="minorHAnsi"/>
          <w:szCs w:val="24"/>
        </w:rPr>
      </w:pPr>
      <w:r w:rsidRPr="009A24C3">
        <w:rPr>
          <w:rFonts w:cstheme="minorHAnsi"/>
          <w:szCs w:val="24"/>
        </w:rPr>
        <w:lastRenderedPageBreak/>
        <w:t xml:space="preserve">However, there are a number of allocations that are still anticipated, </w:t>
      </w:r>
      <w:r w:rsidR="00C06247">
        <w:rPr>
          <w:rFonts w:cstheme="minorHAnsi"/>
          <w:szCs w:val="24"/>
        </w:rPr>
        <w:t>and included in our financial planning assumptions</w:t>
      </w:r>
      <w:r w:rsidR="0047681B">
        <w:rPr>
          <w:rFonts w:cstheme="minorHAnsi"/>
          <w:szCs w:val="24"/>
        </w:rPr>
        <w:t xml:space="preserve">. These are summarised in </w:t>
      </w:r>
      <w:r w:rsidR="0047681B" w:rsidRPr="0047681B">
        <w:rPr>
          <w:rFonts w:cstheme="minorHAnsi"/>
          <w:b/>
          <w:szCs w:val="24"/>
        </w:rPr>
        <w:t>Table 2</w:t>
      </w:r>
      <w:r w:rsidR="0047681B">
        <w:rPr>
          <w:rFonts w:cstheme="minorHAnsi"/>
          <w:szCs w:val="24"/>
        </w:rPr>
        <w:t xml:space="preserve"> below. It is important to note that a number of these are recurrent commitments that have had prior approval.  These should now form part of our core baseline funding.  We are awaiting confirmation of the continuation of the 202/21 successful pilot of online testing of STIs, if this funding is not forthcoming then we will cease the plan to continue into 2021/22 and reduce our expenditure plans accordingly.  </w:t>
      </w:r>
      <w:r w:rsidR="00C06247">
        <w:rPr>
          <w:rFonts w:cstheme="minorHAnsi"/>
          <w:szCs w:val="24"/>
        </w:rPr>
        <w:t xml:space="preserve"> </w:t>
      </w:r>
    </w:p>
    <w:p w:rsidR="0047681B" w:rsidRDefault="0047681B" w:rsidP="009A24C3">
      <w:pPr>
        <w:rPr>
          <w:rFonts w:cstheme="minorHAnsi"/>
          <w:b/>
          <w:bCs/>
          <w:szCs w:val="24"/>
        </w:rPr>
      </w:pPr>
    </w:p>
    <w:p w:rsidR="009A24C3" w:rsidRPr="009A24C3" w:rsidRDefault="009A24C3" w:rsidP="009A24C3">
      <w:pPr>
        <w:rPr>
          <w:rFonts w:cstheme="minorHAnsi"/>
          <w:b/>
          <w:bCs/>
          <w:szCs w:val="24"/>
        </w:rPr>
      </w:pPr>
      <w:r w:rsidRPr="009A24C3">
        <w:rPr>
          <w:rFonts w:cstheme="minorHAnsi"/>
          <w:b/>
          <w:bCs/>
          <w:szCs w:val="24"/>
        </w:rPr>
        <w:t>Table 2</w:t>
      </w:r>
    </w:p>
    <w:tbl>
      <w:tblPr>
        <w:tblW w:w="9300" w:type="dxa"/>
        <w:tblLook w:val="04A0" w:firstRow="1" w:lastRow="0" w:firstColumn="1" w:lastColumn="0" w:noHBand="0" w:noVBand="1"/>
      </w:tblPr>
      <w:tblGrid>
        <w:gridCol w:w="7940"/>
        <w:gridCol w:w="1360"/>
      </w:tblGrid>
      <w:tr w:rsidR="002D7350" w:rsidRPr="0069535A" w:rsidTr="002D7350">
        <w:trPr>
          <w:trHeight w:val="600"/>
        </w:trPr>
        <w:tc>
          <w:tcPr>
            <w:tcW w:w="7940" w:type="dxa"/>
            <w:tcBorders>
              <w:top w:val="nil"/>
              <w:left w:val="nil"/>
              <w:bottom w:val="nil"/>
              <w:right w:val="nil"/>
            </w:tcBorders>
            <w:shd w:val="clear" w:color="000000" w:fill="4F81BD"/>
            <w:vAlign w:val="center"/>
            <w:hideMark/>
          </w:tcPr>
          <w:p w:rsidR="002D7350" w:rsidRPr="0069535A" w:rsidRDefault="002D7350" w:rsidP="002D7350">
            <w:pPr>
              <w:rPr>
                <w:rFonts w:ascii="Calibri" w:eastAsia="Times New Roman" w:hAnsi="Calibri" w:cs="Calibri"/>
                <w:b/>
                <w:bCs/>
                <w:color w:val="FFFFFF"/>
                <w:szCs w:val="24"/>
                <w:lang w:eastAsia="en-GB"/>
              </w:rPr>
            </w:pPr>
            <w:r w:rsidRPr="0069535A">
              <w:rPr>
                <w:rFonts w:ascii="Calibri" w:eastAsia="Times New Roman" w:hAnsi="Calibri" w:cs="Calibri"/>
                <w:b/>
                <w:bCs/>
                <w:color w:val="FFFFFF"/>
                <w:szCs w:val="24"/>
                <w:lang w:eastAsia="en-GB"/>
              </w:rPr>
              <w:t>2021/22 Welsh Government Funding - Non COVID not part of allocation</w:t>
            </w:r>
          </w:p>
        </w:tc>
        <w:tc>
          <w:tcPr>
            <w:tcW w:w="1360" w:type="dxa"/>
            <w:tcBorders>
              <w:top w:val="nil"/>
              <w:left w:val="nil"/>
              <w:bottom w:val="nil"/>
              <w:right w:val="nil"/>
            </w:tcBorders>
            <w:shd w:val="clear" w:color="000000" w:fill="4F81BD"/>
            <w:vAlign w:val="center"/>
            <w:hideMark/>
          </w:tcPr>
          <w:p w:rsidR="002D7350" w:rsidRPr="0069535A" w:rsidRDefault="002D7350" w:rsidP="002D7350">
            <w:pPr>
              <w:jc w:val="right"/>
              <w:rPr>
                <w:rFonts w:ascii="Calibri" w:eastAsia="Times New Roman" w:hAnsi="Calibri" w:cs="Calibri"/>
                <w:b/>
                <w:bCs/>
                <w:color w:val="FFFFFF"/>
                <w:szCs w:val="24"/>
                <w:lang w:eastAsia="en-GB"/>
              </w:rPr>
            </w:pPr>
            <w:r w:rsidRPr="0069535A">
              <w:rPr>
                <w:rFonts w:ascii="Calibri" w:eastAsia="Times New Roman" w:hAnsi="Calibri" w:cs="Calibri"/>
                <w:b/>
                <w:bCs/>
                <w:color w:val="FFFFFF"/>
                <w:szCs w:val="24"/>
                <w:lang w:eastAsia="en-GB"/>
              </w:rPr>
              <w:t>£000's</w:t>
            </w:r>
          </w:p>
        </w:tc>
      </w:tr>
      <w:tr w:rsidR="002D7350" w:rsidRPr="0069535A" w:rsidTr="002D7350">
        <w:trPr>
          <w:trHeight w:val="600"/>
        </w:trPr>
        <w:tc>
          <w:tcPr>
            <w:tcW w:w="7940" w:type="dxa"/>
            <w:tcBorders>
              <w:top w:val="nil"/>
              <w:left w:val="nil"/>
              <w:bottom w:val="nil"/>
              <w:right w:val="nil"/>
            </w:tcBorders>
            <w:shd w:val="clear" w:color="auto" w:fill="auto"/>
            <w:vAlign w:val="center"/>
            <w:hideMark/>
          </w:tcPr>
          <w:p w:rsidR="002D7350" w:rsidRPr="0069535A" w:rsidRDefault="002D7350" w:rsidP="002D7350">
            <w:pPr>
              <w:rPr>
                <w:rFonts w:ascii="Calibri" w:eastAsia="Times New Roman" w:hAnsi="Calibri" w:cs="Calibri"/>
                <w:color w:val="000000"/>
                <w:szCs w:val="24"/>
                <w:lang w:eastAsia="en-GB"/>
              </w:rPr>
            </w:pPr>
            <w:r w:rsidRPr="0069535A">
              <w:rPr>
                <w:rFonts w:ascii="Calibri" w:eastAsia="Times New Roman" w:hAnsi="Calibri" w:cs="Calibri"/>
                <w:color w:val="000000"/>
                <w:szCs w:val="24"/>
                <w:lang w:eastAsia="en-GB"/>
              </w:rPr>
              <w:t>Turn Around Time and Resilience - recurrent pay (approved Sept 20)</w:t>
            </w:r>
          </w:p>
        </w:tc>
        <w:tc>
          <w:tcPr>
            <w:tcW w:w="1360" w:type="dxa"/>
            <w:tcBorders>
              <w:top w:val="nil"/>
              <w:left w:val="nil"/>
              <w:bottom w:val="nil"/>
              <w:right w:val="nil"/>
            </w:tcBorders>
            <w:shd w:val="clear" w:color="auto" w:fill="auto"/>
            <w:vAlign w:val="center"/>
            <w:hideMark/>
          </w:tcPr>
          <w:p w:rsidR="002D7350" w:rsidRPr="0069535A" w:rsidRDefault="002D7350" w:rsidP="002D7350">
            <w:pPr>
              <w:jc w:val="right"/>
              <w:rPr>
                <w:rFonts w:ascii="Calibri" w:eastAsia="Times New Roman" w:hAnsi="Calibri" w:cs="Calibri"/>
                <w:color w:val="000000"/>
                <w:szCs w:val="24"/>
                <w:lang w:eastAsia="en-GB"/>
              </w:rPr>
            </w:pPr>
            <w:r w:rsidRPr="0069535A">
              <w:rPr>
                <w:rFonts w:ascii="Calibri" w:eastAsia="Times New Roman" w:hAnsi="Calibri" w:cs="Calibri"/>
                <w:color w:val="000000"/>
                <w:szCs w:val="24"/>
                <w:lang w:eastAsia="en-GB"/>
              </w:rPr>
              <w:t>5.874</w:t>
            </w:r>
          </w:p>
        </w:tc>
      </w:tr>
      <w:tr w:rsidR="002D7350" w:rsidRPr="0069535A" w:rsidTr="002D7350">
        <w:trPr>
          <w:trHeight w:val="600"/>
        </w:trPr>
        <w:tc>
          <w:tcPr>
            <w:tcW w:w="7940" w:type="dxa"/>
            <w:tcBorders>
              <w:top w:val="nil"/>
              <w:left w:val="nil"/>
              <w:bottom w:val="nil"/>
              <w:right w:val="nil"/>
            </w:tcBorders>
            <w:shd w:val="clear" w:color="auto" w:fill="auto"/>
            <w:vAlign w:val="center"/>
            <w:hideMark/>
          </w:tcPr>
          <w:p w:rsidR="002D7350" w:rsidRPr="0069535A" w:rsidRDefault="002D7350" w:rsidP="002D7350">
            <w:pPr>
              <w:rPr>
                <w:rFonts w:ascii="Calibri" w:eastAsia="Times New Roman" w:hAnsi="Calibri" w:cs="Calibri"/>
                <w:color w:val="000000"/>
                <w:szCs w:val="24"/>
                <w:lang w:eastAsia="en-GB"/>
              </w:rPr>
            </w:pPr>
            <w:r w:rsidRPr="0069535A">
              <w:rPr>
                <w:rFonts w:ascii="Calibri" w:eastAsia="Times New Roman" w:hAnsi="Calibri" w:cs="Calibri"/>
                <w:color w:val="000000"/>
                <w:szCs w:val="24"/>
                <w:lang w:eastAsia="en-GB"/>
              </w:rPr>
              <w:t xml:space="preserve">Improvement </w:t>
            </w:r>
            <w:proofErr w:type="spellStart"/>
            <w:r w:rsidRPr="0069535A">
              <w:rPr>
                <w:rFonts w:ascii="Calibri" w:eastAsia="Times New Roman" w:hAnsi="Calibri" w:cs="Calibri"/>
                <w:color w:val="000000"/>
                <w:szCs w:val="24"/>
                <w:lang w:eastAsia="en-GB"/>
              </w:rPr>
              <w:t>Cymru</w:t>
            </w:r>
            <w:proofErr w:type="spellEnd"/>
            <w:r w:rsidRPr="0069535A">
              <w:rPr>
                <w:rFonts w:ascii="Calibri" w:eastAsia="Times New Roman" w:hAnsi="Calibri" w:cs="Calibri"/>
                <w:color w:val="000000"/>
                <w:szCs w:val="24"/>
                <w:lang w:eastAsia="en-GB"/>
              </w:rPr>
              <w:t xml:space="preserve"> (total case £2.822m, of which £2.337m provided in baseline) (approved Oct 19)</w:t>
            </w:r>
          </w:p>
        </w:tc>
        <w:tc>
          <w:tcPr>
            <w:tcW w:w="1360" w:type="dxa"/>
            <w:tcBorders>
              <w:top w:val="nil"/>
              <w:left w:val="nil"/>
              <w:bottom w:val="nil"/>
              <w:right w:val="nil"/>
            </w:tcBorders>
            <w:shd w:val="clear" w:color="auto" w:fill="auto"/>
            <w:vAlign w:val="center"/>
            <w:hideMark/>
          </w:tcPr>
          <w:p w:rsidR="002D7350" w:rsidRPr="0069535A" w:rsidRDefault="002D7350" w:rsidP="002D7350">
            <w:pPr>
              <w:jc w:val="right"/>
              <w:rPr>
                <w:rFonts w:ascii="Calibri" w:eastAsia="Times New Roman" w:hAnsi="Calibri" w:cs="Calibri"/>
                <w:color w:val="000000"/>
                <w:szCs w:val="24"/>
                <w:lang w:eastAsia="en-GB"/>
              </w:rPr>
            </w:pPr>
            <w:r w:rsidRPr="0069535A">
              <w:rPr>
                <w:rFonts w:ascii="Calibri" w:eastAsia="Times New Roman" w:hAnsi="Calibri" w:cs="Calibri"/>
                <w:color w:val="000000"/>
                <w:szCs w:val="24"/>
                <w:lang w:eastAsia="en-GB"/>
              </w:rPr>
              <w:t>0.485</w:t>
            </w:r>
          </w:p>
        </w:tc>
      </w:tr>
      <w:tr w:rsidR="002D7350" w:rsidRPr="0069535A" w:rsidTr="002D7350">
        <w:trPr>
          <w:trHeight w:val="300"/>
        </w:trPr>
        <w:tc>
          <w:tcPr>
            <w:tcW w:w="7940" w:type="dxa"/>
            <w:tcBorders>
              <w:top w:val="nil"/>
              <w:left w:val="nil"/>
              <w:bottom w:val="nil"/>
              <w:right w:val="nil"/>
            </w:tcBorders>
            <w:shd w:val="clear" w:color="auto" w:fill="auto"/>
            <w:vAlign w:val="center"/>
            <w:hideMark/>
          </w:tcPr>
          <w:p w:rsidR="002D7350" w:rsidRPr="0069535A" w:rsidRDefault="002D7350" w:rsidP="002D7350">
            <w:pPr>
              <w:rPr>
                <w:rFonts w:ascii="Calibri" w:eastAsia="Times New Roman" w:hAnsi="Calibri" w:cs="Calibri"/>
                <w:color w:val="000000"/>
                <w:szCs w:val="24"/>
                <w:lang w:eastAsia="en-GB"/>
              </w:rPr>
            </w:pPr>
            <w:r w:rsidRPr="0069535A">
              <w:rPr>
                <w:rFonts w:ascii="Calibri" w:eastAsia="Times New Roman" w:hAnsi="Calibri" w:cs="Calibri"/>
                <w:color w:val="000000"/>
                <w:szCs w:val="24"/>
                <w:lang w:eastAsia="en-GB"/>
              </w:rPr>
              <w:t xml:space="preserve">Transformation of the Health Protection Services for Wales (approved Feb 21) </w:t>
            </w:r>
          </w:p>
        </w:tc>
        <w:tc>
          <w:tcPr>
            <w:tcW w:w="1360" w:type="dxa"/>
            <w:tcBorders>
              <w:top w:val="nil"/>
              <w:left w:val="nil"/>
              <w:bottom w:val="nil"/>
              <w:right w:val="nil"/>
            </w:tcBorders>
            <w:shd w:val="clear" w:color="auto" w:fill="auto"/>
            <w:vAlign w:val="center"/>
            <w:hideMark/>
          </w:tcPr>
          <w:p w:rsidR="002D7350" w:rsidRPr="0069535A" w:rsidRDefault="002D7350" w:rsidP="002D7350">
            <w:pPr>
              <w:jc w:val="right"/>
              <w:rPr>
                <w:rFonts w:ascii="Calibri" w:eastAsia="Times New Roman" w:hAnsi="Calibri" w:cs="Calibri"/>
                <w:color w:val="000000"/>
                <w:szCs w:val="24"/>
                <w:lang w:eastAsia="en-GB"/>
              </w:rPr>
            </w:pPr>
            <w:r w:rsidRPr="0069535A">
              <w:rPr>
                <w:rFonts w:ascii="Calibri" w:eastAsia="Times New Roman" w:hAnsi="Calibri" w:cs="Calibri"/>
                <w:color w:val="000000"/>
                <w:szCs w:val="24"/>
                <w:lang w:eastAsia="en-GB"/>
              </w:rPr>
              <w:t>6.147</w:t>
            </w:r>
          </w:p>
        </w:tc>
      </w:tr>
      <w:tr w:rsidR="002D7350" w:rsidRPr="0069535A" w:rsidTr="002D7350">
        <w:trPr>
          <w:trHeight w:val="300"/>
        </w:trPr>
        <w:tc>
          <w:tcPr>
            <w:tcW w:w="7940" w:type="dxa"/>
            <w:tcBorders>
              <w:top w:val="nil"/>
              <w:left w:val="nil"/>
              <w:bottom w:val="nil"/>
              <w:right w:val="nil"/>
            </w:tcBorders>
            <w:shd w:val="clear" w:color="auto" w:fill="auto"/>
            <w:vAlign w:val="center"/>
            <w:hideMark/>
          </w:tcPr>
          <w:p w:rsidR="002D7350" w:rsidRPr="0069535A" w:rsidRDefault="002D7350" w:rsidP="002D7350">
            <w:pPr>
              <w:rPr>
                <w:rFonts w:ascii="Calibri" w:eastAsia="Times New Roman" w:hAnsi="Calibri" w:cs="Calibri"/>
                <w:color w:val="000000"/>
                <w:szCs w:val="24"/>
                <w:lang w:eastAsia="en-GB"/>
              </w:rPr>
            </w:pPr>
            <w:r w:rsidRPr="0069535A">
              <w:rPr>
                <w:rFonts w:ascii="Calibri" w:eastAsia="Times New Roman" w:hAnsi="Calibri" w:cs="Calibri"/>
                <w:color w:val="000000"/>
                <w:szCs w:val="24"/>
                <w:lang w:eastAsia="en-GB"/>
              </w:rPr>
              <w:t>Online Testing STIs</w:t>
            </w:r>
          </w:p>
        </w:tc>
        <w:tc>
          <w:tcPr>
            <w:tcW w:w="1360" w:type="dxa"/>
            <w:tcBorders>
              <w:top w:val="nil"/>
              <w:left w:val="nil"/>
              <w:bottom w:val="nil"/>
              <w:right w:val="nil"/>
            </w:tcBorders>
            <w:shd w:val="clear" w:color="auto" w:fill="auto"/>
            <w:vAlign w:val="center"/>
            <w:hideMark/>
          </w:tcPr>
          <w:p w:rsidR="002D7350" w:rsidRPr="0069535A" w:rsidRDefault="002D7350" w:rsidP="002D7350">
            <w:pPr>
              <w:jc w:val="right"/>
              <w:rPr>
                <w:rFonts w:ascii="Calibri" w:eastAsia="Times New Roman" w:hAnsi="Calibri" w:cs="Calibri"/>
                <w:color w:val="000000"/>
                <w:szCs w:val="24"/>
                <w:lang w:eastAsia="en-GB"/>
              </w:rPr>
            </w:pPr>
            <w:r w:rsidRPr="0069535A">
              <w:rPr>
                <w:rFonts w:ascii="Calibri" w:eastAsia="Times New Roman" w:hAnsi="Calibri" w:cs="Calibri"/>
                <w:color w:val="000000"/>
                <w:szCs w:val="24"/>
                <w:lang w:eastAsia="en-GB"/>
              </w:rPr>
              <w:t>3.251</w:t>
            </w:r>
          </w:p>
        </w:tc>
      </w:tr>
      <w:tr w:rsidR="002D7350" w:rsidRPr="0069535A" w:rsidTr="002D7350">
        <w:trPr>
          <w:trHeight w:val="300"/>
        </w:trPr>
        <w:tc>
          <w:tcPr>
            <w:tcW w:w="7940" w:type="dxa"/>
            <w:tcBorders>
              <w:top w:val="nil"/>
              <w:left w:val="nil"/>
              <w:bottom w:val="nil"/>
              <w:right w:val="nil"/>
            </w:tcBorders>
            <w:shd w:val="clear" w:color="000000" w:fill="4F81BD"/>
            <w:vAlign w:val="center"/>
            <w:hideMark/>
          </w:tcPr>
          <w:p w:rsidR="002D7350" w:rsidRPr="0069535A" w:rsidRDefault="002D7350" w:rsidP="002D7350">
            <w:pPr>
              <w:rPr>
                <w:rFonts w:ascii="Calibri" w:eastAsia="Times New Roman" w:hAnsi="Calibri" w:cs="Calibri"/>
                <w:b/>
                <w:bCs/>
                <w:color w:val="FFFFFF"/>
                <w:szCs w:val="24"/>
                <w:lang w:eastAsia="en-GB"/>
              </w:rPr>
            </w:pPr>
            <w:r w:rsidRPr="0069535A">
              <w:rPr>
                <w:rFonts w:ascii="Calibri" w:eastAsia="Times New Roman" w:hAnsi="Calibri" w:cs="Calibri"/>
                <w:b/>
                <w:bCs/>
                <w:color w:val="FFFFFF"/>
                <w:szCs w:val="24"/>
                <w:lang w:eastAsia="en-GB"/>
              </w:rPr>
              <w:t>Total</w:t>
            </w:r>
          </w:p>
        </w:tc>
        <w:tc>
          <w:tcPr>
            <w:tcW w:w="1360" w:type="dxa"/>
            <w:tcBorders>
              <w:top w:val="nil"/>
              <w:left w:val="nil"/>
              <w:bottom w:val="nil"/>
              <w:right w:val="nil"/>
            </w:tcBorders>
            <w:shd w:val="clear" w:color="000000" w:fill="4F81BD"/>
            <w:vAlign w:val="center"/>
            <w:hideMark/>
          </w:tcPr>
          <w:p w:rsidR="002D7350" w:rsidRPr="0069535A" w:rsidRDefault="002D7350" w:rsidP="002D7350">
            <w:pPr>
              <w:jc w:val="right"/>
              <w:rPr>
                <w:rFonts w:ascii="Calibri" w:eastAsia="Times New Roman" w:hAnsi="Calibri" w:cs="Calibri"/>
                <w:b/>
                <w:bCs/>
                <w:color w:val="FFFFFF"/>
                <w:szCs w:val="24"/>
                <w:lang w:eastAsia="en-GB"/>
              </w:rPr>
            </w:pPr>
            <w:r w:rsidRPr="0069535A">
              <w:rPr>
                <w:rFonts w:ascii="Calibri" w:eastAsia="Times New Roman" w:hAnsi="Calibri" w:cs="Calibri"/>
                <w:b/>
                <w:bCs/>
                <w:color w:val="FFFFFF"/>
                <w:szCs w:val="24"/>
                <w:lang w:eastAsia="en-GB"/>
              </w:rPr>
              <w:t>15.757</w:t>
            </w:r>
          </w:p>
        </w:tc>
      </w:tr>
    </w:tbl>
    <w:p w:rsidR="009A24C3" w:rsidRDefault="009A24C3" w:rsidP="009A24C3">
      <w:pPr>
        <w:rPr>
          <w:rFonts w:asciiTheme="minorHAnsi" w:hAnsiTheme="minorHAnsi" w:cstheme="minorHAnsi"/>
          <w:sz w:val="28"/>
          <w:szCs w:val="28"/>
        </w:rPr>
      </w:pPr>
    </w:p>
    <w:p w:rsidR="00F4679A" w:rsidRDefault="009B5A0E" w:rsidP="00C65815">
      <w:pPr>
        <w:jc w:val="both"/>
        <w:rPr>
          <w:rFonts w:asciiTheme="minorHAnsi" w:hAnsiTheme="minorHAnsi" w:cstheme="minorHAnsi"/>
          <w:sz w:val="28"/>
          <w:szCs w:val="28"/>
        </w:rPr>
      </w:pPr>
      <w:r>
        <w:rPr>
          <w:rFonts w:asciiTheme="minorHAnsi" w:hAnsiTheme="minorHAnsi" w:cstheme="minorHAnsi"/>
          <w:sz w:val="28"/>
          <w:szCs w:val="28"/>
        </w:rPr>
        <w:t xml:space="preserve">In addition to the above core allocations there is an assumed level of funding from Welsh Government in relation to the ongoing costs of supporting the COVID-19 response. </w:t>
      </w:r>
      <w:r w:rsidR="00A1272E">
        <w:rPr>
          <w:rFonts w:asciiTheme="minorHAnsi" w:hAnsiTheme="minorHAnsi" w:cstheme="minorHAnsi"/>
          <w:sz w:val="28"/>
          <w:szCs w:val="28"/>
        </w:rPr>
        <w:t xml:space="preserve"> These are summarised in </w:t>
      </w:r>
      <w:r w:rsidR="00A1272E" w:rsidRPr="00A1272E">
        <w:rPr>
          <w:rFonts w:asciiTheme="minorHAnsi" w:hAnsiTheme="minorHAnsi" w:cstheme="minorHAnsi"/>
          <w:b/>
          <w:sz w:val="28"/>
          <w:szCs w:val="28"/>
        </w:rPr>
        <w:t>Table 3</w:t>
      </w:r>
      <w:r w:rsidR="00A1272E">
        <w:rPr>
          <w:rFonts w:asciiTheme="minorHAnsi" w:hAnsiTheme="minorHAnsi" w:cstheme="minorHAnsi"/>
          <w:sz w:val="28"/>
          <w:szCs w:val="28"/>
        </w:rPr>
        <w:t xml:space="preserve"> below. </w:t>
      </w:r>
      <w:r>
        <w:rPr>
          <w:rFonts w:asciiTheme="minorHAnsi" w:hAnsiTheme="minorHAnsi" w:cstheme="minorHAnsi"/>
          <w:sz w:val="28"/>
          <w:szCs w:val="28"/>
        </w:rPr>
        <w:t xml:space="preserve"> </w:t>
      </w:r>
    </w:p>
    <w:p w:rsidR="0069535A" w:rsidRPr="00CA08B6" w:rsidRDefault="0069535A" w:rsidP="00C65815">
      <w:pPr>
        <w:jc w:val="both"/>
        <w:rPr>
          <w:rFonts w:asciiTheme="minorHAnsi" w:hAnsiTheme="minorHAnsi" w:cstheme="minorHAnsi"/>
          <w:sz w:val="28"/>
          <w:szCs w:val="28"/>
          <w:highlight w:val="magenta"/>
        </w:rPr>
      </w:pPr>
    </w:p>
    <w:p w:rsidR="009B5A0E" w:rsidRPr="009A24C3" w:rsidRDefault="009B5A0E" w:rsidP="009B5A0E">
      <w:pPr>
        <w:rPr>
          <w:rFonts w:cstheme="minorHAnsi"/>
          <w:b/>
          <w:bCs/>
          <w:szCs w:val="24"/>
        </w:rPr>
      </w:pPr>
      <w:r w:rsidRPr="009A24C3">
        <w:rPr>
          <w:rFonts w:cstheme="minorHAnsi"/>
          <w:b/>
          <w:bCs/>
          <w:szCs w:val="24"/>
        </w:rPr>
        <w:t xml:space="preserve">Table </w:t>
      </w:r>
      <w:r>
        <w:rPr>
          <w:rFonts w:cstheme="minorHAnsi"/>
          <w:b/>
          <w:bCs/>
          <w:szCs w:val="24"/>
        </w:rPr>
        <w:t>3</w:t>
      </w:r>
    </w:p>
    <w:tbl>
      <w:tblPr>
        <w:tblW w:w="9373" w:type="dxa"/>
        <w:tblLook w:val="04A0" w:firstRow="1" w:lastRow="0" w:firstColumn="1" w:lastColumn="0" w:noHBand="0" w:noVBand="1"/>
      </w:tblPr>
      <w:tblGrid>
        <w:gridCol w:w="8003"/>
        <w:gridCol w:w="1370"/>
      </w:tblGrid>
      <w:tr w:rsidR="002D7350" w:rsidRPr="002D7350" w:rsidTr="002D7350">
        <w:trPr>
          <w:trHeight w:val="294"/>
        </w:trPr>
        <w:tc>
          <w:tcPr>
            <w:tcW w:w="8003" w:type="dxa"/>
            <w:tcBorders>
              <w:top w:val="nil"/>
              <w:left w:val="nil"/>
              <w:bottom w:val="nil"/>
              <w:right w:val="nil"/>
            </w:tcBorders>
            <w:shd w:val="clear" w:color="000000" w:fill="4F81BD"/>
            <w:vAlign w:val="center"/>
            <w:hideMark/>
          </w:tcPr>
          <w:p w:rsidR="002D7350" w:rsidRPr="0069535A" w:rsidRDefault="002D7350" w:rsidP="002D7350">
            <w:pPr>
              <w:rPr>
                <w:rFonts w:ascii="Calibri" w:eastAsia="Times New Roman" w:hAnsi="Calibri" w:cs="Calibri"/>
                <w:b/>
                <w:bCs/>
                <w:color w:val="FFFFFF"/>
                <w:szCs w:val="24"/>
                <w:lang w:eastAsia="en-GB"/>
              </w:rPr>
            </w:pPr>
            <w:r w:rsidRPr="0069535A">
              <w:rPr>
                <w:rFonts w:ascii="Calibri" w:eastAsia="Times New Roman" w:hAnsi="Calibri" w:cs="Calibri"/>
                <w:b/>
                <w:bCs/>
                <w:color w:val="FFFFFF"/>
                <w:szCs w:val="24"/>
                <w:lang w:eastAsia="en-GB"/>
              </w:rPr>
              <w:t>2021/22 Welsh Government Funding – COVID not part of allocation</w:t>
            </w:r>
          </w:p>
        </w:tc>
        <w:tc>
          <w:tcPr>
            <w:tcW w:w="1370" w:type="dxa"/>
            <w:tcBorders>
              <w:top w:val="nil"/>
              <w:left w:val="nil"/>
              <w:bottom w:val="nil"/>
              <w:right w:val="nil"/>
            </w:tcBorders>
            <w:shd w:val="clear" w:color="000000" w:fill="4F81BD"/>
            <w:vAlign w:val="center"/>
            <w:hideMark/>
          </w:tcPr>
          <w:p w:rsidR="002D7350" w:rsidRPr="002D7350" w:rsidRDefault="002D7350" w:rsidP="002D7350">
            <w:pPr>
              <w:jc w:val="right"/>
              <w:rPr>
                <w:rFonts w:ascii="Calibri" w:eastAsia="Times New Roman" w:hAnsi="Calibri" w:cs="Calibri"/>
                <w:b/>
                <w:bCs/>
                <w:color w:val="FFFFFF"/>
                <w:sz w:val="22"/>
                <w:lang w:eastAsia="en-GB"/>
              </w:rPr>
            </w:pPr>
            <w:r w:rsidRPr="002D7350">
              <w:rPr>
                <w:rFonts w:ascii="Calibri" w:eastAsia="Times New Roman" w:hAnsi="Calibri" w:cs="Calibri"/>
                <w:b/>
                <w:bCs/>
                <w:color w:val="FFFFFF"/>
                <w:sz w:val="22"/>
                <w:lang w:eastAsia="en-GB"/>
              </w:rPr>
              <w:t>£000's</w:t>
            </w:r>
          </w:p>
        </w:tc>
      </w:tr>
      <w:tr w:rsidR="002D7350" w:rsidRPr="002D7350" w:rsidTr="002D7350">
        <w:trPr>
          <w:trHeight w:val="294"/>
        </w:trPr>
        <w:tc>
          <w:tcPr>
            <w:tcW w:w="8003" w:type="dxa"/>
            <w:tcBorders>
              <w:top w:val="nil"/>
              <w:left w:val="nil"/>
              <w:bottom w:val="nil"/>
              <w:right w:val="nil"/>
            </w:tcBorders>
            <w:shd w:val="clear" w:color="auto" w:fill="auto"/>
            <w:vAlign w:val="center"/>
            <w:hideMark/>
          </w:tcPr>
          <w:p w:rsidR="002D7350" w:rsidRPr="0069535A" w:rsidRDefault="002D7350" w:rsidP="002D7350">
            <w:pPr>
              <w:rPr>
                <w:rFonts w:ascii="Calibri" w:eastAsia="Times New Roman" w:hAnsi="Calibri" w:cs="Calibri"/>
                <w:color w:val="000000"/>
                <w:szCs w:val="24"/>
                <w:lang w:eastAsia="en-GB"/>
              </w:rPr>
            </w:pPr>
            <w:r w:rsidRPr="0069535A">
              <w:rPr>
                <w:rFonts w:ascii="Calibri" w:eastAsia="Times New Roman" w:hAnsi="Calibri" w:cs="Calibri"/>
                <w:color w:val="000000"/>
                <w:szCs w:val="24"/>
                <w:lang w:eastAsia="en-GB"/>
              </w:rPr>
              <w:t>Test Trace Protect – non-pay testing costs</w:t>
            </w:r>
          </w:p>
        </w:tc>
        <w:tc>
          <w:tcPr>
            <w:tcW w:w="1370" w:type="dxa"/>
            <w:tcBorders>
              <w:top w:val="nil"/>
              <w:left w:val="nil"/>
              <w:bottom w:val="nil"/>
              <w:right w:val="nil"/>
            </w:tcBorders>
            <w:shd w:val="clear" w:color="auto" w:fill="auto"/>
            <w:vAlign w:val="center"/>
            <w:hideMark/>
          </w:tcPr>
          <w:p w:rsidR="002D7350" w:rsidRPr="002D7350" w:rsidRDefault="002D7350" w:rsidP="002D7350">
            <w:pPr>
              <w:jc w:val="right"/>
              <w:rPr>
                <w:rFonts w:ascii="Calibri" w:eastAsia="Times New Roman" w:hAnsi="Calibri" w:cs="Calibri"/>
                <w:color w:val="000000"/>
                <w:sz w:val="22"/>
                <w:lang w:eastAsia="en-GB"/>
              </w:rPr>
            </w:pPr>
            <w:r w:rsidRPr="002D7350">
              <w:rPr>
                <w:rFonts w:ascii="Calibri" w:eastAsia="Times New Roman" w:hAnsi="Calibri" w:cs="Calibri"/>
                <w:color w:val="000000"/>
                <w:sz w:val="22"/>
                <w:lang w:eastAsia="en-GB"/>
              </w:rPr>
              <w:t>55.577</w:t>
            </w:r>
          </w:p>
        </w:tc>
      </w:tr>
      <w:tr w:rsidR="002D7350" w:rsidRPr="002D7350" w:rsidTr="002D7350">
        <w:trPr>
          <w:trHeight w:val="294"/>
        </w:trPr>
        <w:tc>
          <w:tcPr>
            <w:tcW w:w="8003" w:type="dxa"/>
            <w:tcBorders>
              <w:top w:val="nil"/>
              <w:left w:val="nil"/>
              <w:bottom w:val="nil"/>
              <w:right w:val="nil"/>
            </w:tcBorders>
            <w:shd w:val="clear" w:color="auto" w:fill="auto"/>
            <w:vAlign w:val="center"/>
            <w:hideMark/>
          </w:tcPr>
          <w:p w:rsidR="002D7350" w:rsidRPr="0069535A" w:rsidRDefault="002D7350" w:rsidP="002D7350">
            <w:pPr>
              <w:rPr>
                <w:rFonts w:ascii="Calibri" w:eastAsia="Times New Roman" w:hAnsi="Calibri" w:cs="Calibri"/>
                <w:color w:val="000000"/>
                <w:szCs w:val="24"/>
                <w:lang w:eastAsia="en-GB"/>
              </w:rPr>
            </w:pPr>
            <w:r w:rsidRPr="0069535A">
              <w:rPr>
                <w:rFonts w:ascii="Calibri" w:eastAsia="Times New Roman" w:hAnsi="Calibri" w:cs="Calibri"/>
                <w:color w:val="000000"/>
                <w:szCs w:val="24"/>
                <w:lang w:eastAsia="en-GB"/>
              </w:rPr>
              <w:t>Test Trace Protect – contact tracing</w:t>
            </w:r>
          </w:p>
        </w:tc>
        <w:tc>
          <w:tcPr>
            <w:tcW w:w="1370" w:type="dxa"/>
            <w:tcBorders>
              <w:top w:val="nil"/>
              <w:left w:val="nil"/>
              <w:bottom w:val="nil"/>
              <w:right w:val="nil"/>
            </w:tcBorders>
            <w:shd w:val="clear" w:color="auto" w:fill="auto"/>
            <w:vAlign w:val="center"/>
            <w:hideMark/>
          </w:tcPr>
          <w:p w:rsidR="002D7350" w:rsidRPr="002D7350" w:rsidRDefault="002D7350" w:rsidP="002D7350">
            <w:pPr>
              <w:jc w:val="right"/>
              <w:rPr>
                <w:rFonts w:ascii="Calibri" w:eastAsia="Times New Roman" w:hAnsi="Calibri" w:cs="Calibri"/>
                <w:color w:val="000000"/>
                <w:sz w:val="22"/>
                <w:lang w:eastAsia="en-GB"/>
              </w:rPr>
            </w:pPr>
            <w:r w:rsidRPr="002D7350">
              <w:rPr>
                <w:rFonts w:ascii="Calibri" w:eastAsia="Times New Roman" w:hAnsi="Calibri" w:cs="Calibri"/>
                <w:color w:val="000000"/>
                <w:sz w:val="22"/>
                <w:lang w:eastAsia="en-GB"/>
              </w:rPr>
              <w:t>1</w:t>
            </w:r>
            <w:r>
              <w:rPr>
                <w:rFonts w:ascii="Calibri" w:eastAsia="Times New Roman" w:hAnsi="Calibri" w:cs="Calibri"/>
                <w:color w:val="000000"/>
                <w:sz w:val="22"/>
                <w:lang w:eastAsia="en-GB"/>
              </w:rPr>
              <w:t>.000</w:t>
            </w:r>
          </w:p>
        </w:tc>
      </w:tr>
      <w:tr w:rsidR="002D7350" w:rsidRPr="002D7350" w:rsidTr="002D7350">
        <w:trPr>
          <w:trHeight w:val="294"/>
        </w:trPr>
        <w:tc>
          <w:tcPr>
            <w:tcW w:w="8003" w:type="dxa"/>
            <w:tcBorders>
              <w:top w:val="nil"/>
              <w:left w:val="nil"/>
              <w:bottom w:val="nil"/>
              <w:right w:val="nil"/>
            </w:tcBorders>
            <w:shd w:val="clear" w:color="auto" w:fill="auto"/>
            <w:vAlign w:val="center"/>
            <w:hideMark/>
          </w:tcPr>
          <w:p w:rsidR="002D7350" w:rsidRPr="0069535A" w:rsidRDefault="002D7350" w:rsidP="002D7350">
            <w:pPr>
              <w:rPr>
                <w:rFonts w:ascii="Calibri" w:eastAsia="Times New Roman" w:hAnsi="Calibri" w:cs="Calibri"/>
                <w:color w:val="000000"/>
                <w:szCs w:val="24"/>
                <w:lang w:eastAsia="en-GB"/>
              </w:rPr>
            </w:pPr>
            <w:r w:rsidRPr="0069535A">
              <w:rPr>
                <w:rFonts w:ascii="Calibri" w:eastAsia="Times New Roman" w:hAnsi="Calibri" w:cs="Calibri"/>
                <w:color w:val="000000"/>
                <w:szCs w:val="24"/>
                <w:lang w:eastAsia="en-GB"/>
              </w:rPr>
              <w:t>Pathogen Genomics</w:t>
            </w:r>
          </w:p>
        </w:tc>
        <w:tc>
          <w:tcPr>
            <w:tcW w:w="1370" w:type="dxa"/>
            <w:tcBorders>
              <w:top w:val="nil"/>
              <w:left w:val="nil"/>
              <w:bottom w:val="nil"/>
              <w:right w:val="nil"/>
            </w:tcBorders>
            <w:shd w:val="clear" w:color="auto" w:fill="auto"/>
            <w:vAlign w:val="center"/>
            <w:hideMark/>
          </w:tcPr>
          <w:p w:rsidR="002D7350" w:rsidRPr="002D7350" w:rsidRDefault="002D7350" w:rsidP="002D7350">
            <w:pPr>
              <w:jc w:val="right"/>
              <w:rPr>
                <w:rFonts w:ascii="Calibri" w:eastAsia="Times New Roman" w:hAnsi="Calibri" w:cs="Calibri"/>
                <w:color w:val="000000"/>
                <w:sz w:val="22"/>
                <w:lang w:eastAsia="en-GB"/>
              </w:rPr>
            </w:pPr>
            <w:r w:rsidRPr="002D7350">
              <w:rPr>
                <w:rFonts w:ascii="Calibri" w:eastAsia="Times New Roman" w:hAnsi="Calibri" w:cs="Calibri"/>
                <w:color w:val="000000"/>
                <w:sz w:val="22"/>
                <w:lang w:eastAsia="en-GB"/>
              </w:rPr>
              <w:t>11.077</w:t>
            </w:r>
          </w:p>
        </w:tc>
      </w:tr>
      <w:tr w:rsidR="002D7350" w:rsidRPr="002D7350" w:rsidTr="002D7350">
        <w:trPr>
          <w:trHeight w:val="590"/>
        </w:trPr>
        <w:tc>
          <w:tcPr>
            <w:tcW w:w="8003" w:type="dxa"/>
            <w:tcBorders>
              <w:top w:val="nil"/>
              <w:left w:val="nil"/>
              <w:bottom w:val="nil"/>
              <w:right w:val="nil"/>
            </w:tcBorders>
            <w:shd w:val="clear" w:color="auto" w:fill="auto"/>
            <w:vAlign w:val="center"/>
            <w:hideMark/>
          </w:tcPr>
          <w:p w:rsidR="002D7350" w:rsidRPr="0069535A" w:rsidRDefault="002D7350" w:rsidP="002D7350">
            <w:pPr>
              <w:rPr>
                <w:rFonts w:ascii="Calibri" w:eastAsia="Times New Roman" w:hAnsi="Calibri" w:cs="Calibri"/>
                <w:color w:val="000000"/>
                <w:szCs w:val="24"/>
                <w:lang w:eastAsia="en-GB"/>
              </w:rPr>
            </w:pPr>
            <w:r w:rsidRPr="0069535A">
              <w:rPr>
                <w:rFonts w:ascii="Calibri" w:eastAsia="Times New Roman" w:hAnsi="Calibri" w:cs="Calibri"/>
                <w:color w:val="000000"/>
                <w:szCs w:val="24"/>
                <w:lang w:eastAsia="en-GB"/>
              </w:rPr>
              <w:t>Vaccination Programme Costs (required recurrently National Finance Group Dec 20)</w:t>
            </w:r>
          </w:p>
        </w:tc>
        <w:tc>
          <w:tcPr>
            <w:tcW w:w="1370" w:type="dxa"/>
            <w:tcBorders>
              <w:top w:val="nil"/>
              <w:left w:val="nil"/>
              <w:bottom w:val="nil"/>
              <w:right w:val="nil"/>
            </w:tcBorders>
            <w:shd w:val="clear" w:color="auto" w:fill="auto"/>
            <w:vAlign w:val="center"/>
            <w:hideMark/>
          </w:tcPr>
          <w:p w:rsidR="002D7350" w:rsidRPr="002D7350" w:rsidRDefault="002D7350" w:rsidP="002D7350">
            <w:pPr>
              <w:jc w:val="right"/>
              <w:rPr>
                <w:rFonts w:ascii="Calibri" w:eastAsia="Times New Roman" w:hAnsi="Calibri" w:cs="Calibri"/>
                <w:color w:val="000000"/>
                <w:sz w:val="22"/>
                <w:lang w:eastAsia="en-GB"/>
              </w:rPr>
            </w:pPr>
            <w:r w:rsidRPr="002D7350">
              <w:rPr>
                <w:rFonts w:ascii="Calibri" w:eastAsia="Times New Roman" w:hAnsi="Calibri" w:cs="Calibri"/>
                <w:color w:val="000000"/>
                <w:sz w:val="22"/>
                <w:lang w:eastAsia="en-GB"/>
              </w:rPr>
              <w:t>1.458</w:t>
            </w:r>
          </w:p>
        </w:tc>
      </w:tr>
      <w:tr w:rsidR="002D7350" w:rsidRPr="002D7350" w:rsidTr="002D7350">
        <w:trPr>
          <w:trHeight w:val="294"/>
        </w:trPr>
        <w:tc>
          <w:tcPr>
            <w:tcW w:w="8003" w:type="dxa"/>
            <w:tcBorders>
              <w:top w:val="nil"/>
              <w:left w:val="nil"/>
              <w:bottom w:val="nil"/>
              <w:right w:val="nil"/>
            </w:tcBorders>
            <w:shd w:val="clear" w:color="000000" w:fill="4F81BD"/>
            <w:vAlign w:val="center"/>
            <w:hideMark/>
          </w:tcPr>
          <w:p w:rsidR="002D7350" w:rsidRPr="0069535A" w:rsidRDefault="002D7350" w:rsidP="002D7350">
            <w:pPr>
              <w:rPr>
                <w:rFonts w:ascii="Calibri" w:eastAsia="Times New Roman" w:hAnsi="Calibri" w:cs="Calibri"/>
                <w:b/>
                <w:bCs/>
                <w:color w:val="FFFFFF"/>
                <w:szCs w:val="24"/>
                <w:lang w:eastAsia="en-GB"/>
              </w:rPr>
            </w:pPr>
            <w:r w:rsidRPr="0069535A">
              <w:rPr>
                <w:rFonts w:ascii="Calibri" w:eastAsia="Times New Roman" w:hAnsi="Calibri" w:cs="Calibri"/>
                <w:b/>
                <w:bCs/>
                <w:color w:val="FFFFFF"/>
                <w:szCs w:val="24"/>
                <w:lang w:eastAsia="en-GB"/>
              </w:rPr>
              <w:t>Total</w:t>
            </w:r>
          </w:p>
        </w:tc>
        <w:tc>
          <w:tcPr>
            <w:tcW w:w="1370" w:type="dxa"/>
            <w:tcBorders>
              <w:top w:val="nil"/>
              <w:left w:val="nil"/>
              <w:bottom w:val="nil"/>
              <w:right w:val="nil"/>
            </w:tcBorders>
            <w:shd w:val="clear" w:color="000000" w:fill="4F81BD"/>
            <w:vAlign w:val="center"/>
            <w:hideMark/>
          </w:tcPr>
          <w:p w:rsidR="002D7350" w:rsidRPr="002D7350" w:rsidRDefault="002D7350" w:rsidP="002D7350">
            <w:pPr>
              <w:jc w:val="right"/>
              <w:rPr>
                <w:rFonts w:ascii="Calibri" w:eastAsia="Times New Roman" w:hAnsi="Calibri" w:cs="Calibri"/>
                <w:b/>
                <w:bCs/>
                <w:color w:val="FFFFFF"/>
                <w:sz w:val="22"/>
                <w:lang w:eastAsia="en-GB"/>
              </w:rPr>
            </w:pPr>
            <w:r w:rsidRPr="002D7350">
              <w:rPr>
                <w:rFonts w:ascii="Calibri" w:eastAsia="Times New Roman" w:hAnsi="Calibri" w:cs="Calibri"/>
                <w:b/>
                <w:bCs/>
                <w:color w:val="FFFFFF"/>
                <w:sz w:val="22"/>
                <w:lang w:eastAsia="en-GB"/>
              </w:rPr>
              <w:t>69.112</w:t>
            </w:r>
          </w:p>
        </w:tc>
      </w:tr>
    </w:tbl>
    <w:p w:rsidR="009B5A0E" w:rsidRDefault="009B5A0E" w:rsidP="009A24C3">
      <w:pPr>
        <w:rPr>
          <w:rFonts w:asciiTheme="minorHAnsi" w:hAnsiTheme="minorHAnsi" w:cstheme="minorHAnsi"/>
          <w:sz w:val="28"/>
          <w:szCs w:val="28"/>
        </w:rPr>
      </w:pPr>
    </w:p>
    <w:p w:rsidR="00A1272E" w:rsidRDefault="00A1272E" w:rsidP="0069535A">
      <w:pPr>
        <w:jc w:val="both"/>
        <w:rPr>
          <w:rFonts w:asciiTheme="minorHAnsi" w:hAnsiTheme="minorHAnsi" w:cstheme="minorHAnsi"/>
          <w:sz w:val="28"/>
          <w:szCs w:val="28"/>
        </w:rPr>
      </w:pPr>
      <w:r w:rsidRPr="0069535A">
        <w:rPr>
          <w:rFonts w:asciiTheme="minorHAnsi" w:hAnsiTheme="minorHAnsi" w:cstheme="minorHAnsi"/>
          <w:sz w:val="28"/>
          <w:szCs w:val="28"/>
        </w:rPr>
        <w:t xml:space="preserve">We will keep Welsh Government informed of changes to these ongoing costs through our monthly monitoring. The current assumption on the non-pay costs associated with testing are based on 4,000 tests per day being undertaken in Welsh Laboratories. The level of COVID-19 testing is dependent on the All Wales strategy in respect of testing that will be delivered through the Test Trace Protect Board.  The non-pay funding for testing </w:t>
      </w:r>
      <w:r w:rsidR="0069535A">
        <w:rPr>
          <w:rFonts w:asciiTheme="minorHAnsi" w:hAnsiTheme="minorHAnsi" w:cstheme="minorHAnsi"/>
          <w:sz w:val="28"/>
          <w:szCs w:val="28"/>
        </w:rPr>
        <w:t xml:space="preserve">included within the Turn </w:t>
      </w:r>
      <w:proofErr w:type="gramStart"/>
      <w:r w:rsidR="0069535A">
        <w:rPr>
          <w:rFonts w:asciiTheme="minorHAnsi" w:hAnsiTheme="minorHAnsi" w:cstheme="minorHAnsi"/>
          <w:sz w:val="28"/>
          <w:szCs w:val="28"/>
        </w:rPr>
        <w:t>Around</w:t>
      </w:r>
      <w:proofErr w:type="gramEnd"/>
      <w:r w:rsidR="0069535A">
        <w:rPr>
          <w:rFonts w:asciiTheme="minorHAnsi" w:hAnsiTheme="minorHAnsi" w:cstheme="minorHAnsi"/>
          <w:sz w:val="28"/>
          <w:szCs w:val="28"/>
        </w:rPr>
        <w:t xml:space="preserve"> Time and Resilience business case included costs associated with</w:t>
      </w:r>
      <w:r w:rsidRPr="0069535A">
        <w:rPr>
          <w:rFonts w:asciiTheme="minorHAnsi" w:hAnsiTheme="minorHAnsi" w:cstheme="minorHAnsi"/>
          <w:sz w:val="28"/>
          <w:szCs w:val="28"/>
        </w:rPr>
        <w:t xml:space="preserve"> the additional respiratory testing </w:t>
      </w:r>
      <w:r w:rsidR="0069535A">
        <w:rPr>
          <w:rFonts w:asciiTheme="minorHAnsi" w:hAnsiTheme="minorHAnsi" w:cstheme="minorHAnsi"/>
          <w:sz w:val="28"/>
          <w:szCs w:val="28"/>
        </w:rPr>
        <w:t>post COVID-19</w:t>
      </w:r>
      <w:r w:rsidRPr="0069535A">
        <w:rPr>
          <w:rFonts w:asciiTheme="minorHAnsi" w:hAnsiTheme="minorHAnsi" w:cstheme="minorHAnsi"/>
          <w:sz w:val="28"/>
          <w:szCs w:val="28"/>
        </w:rPr>
        <w:t>.  This is represented in the assumption that 4,000 tests will be undertaken for the whole of 2021/22.</w:t>
      </w:r>
    </w:p>
    <w:p w:rsidR="00A1272E" w:rsidRDefault="00A1272E" w:rsidP="009A24C3">
      <w:pPr>
        <w:rPr>
          <w:rFonts w:asciiTheme="minorHAnsi" w:hAnsiTheme="minorHAnsi" w:cstheme="minorHAnsi"/>
          <w:sz w:val="28"/>
          <w:szCs w:val="28"/>
        </w:rPr>
      </w:pPr>
    </w:p>
    <w:p w:rsidR="00C65815" w:rsidRPr="007067F5" w:rsidRDefault="007067F5" w:rsidP="00AA0128">
      <w:pPr>
        <w:pStyle w:val="ListParagraph"/>
        <w:numPr>
          <w:ilvl w:val="0"/>
          <w:numId w:val="23"/>
        </w:numPr>
        <w:ind w:left="426" w:hanging="426"/>
        <w:rPr>
          <w:rFonts w:asciiTheme="minorHAnsi" w:hAnsiTheme="minorHAnsi" w:cstheme="minorHAnsi"/>
          <w:b/>
          <w:sz w:val="28"/>
          <w:szCs w:val="28"/>
        </w:rPr>
      </w:pPr>
      <w:r w:rsidRPr="007067F5">
        <w:rPr>
          <w:rFonts w:asciiTheme="minorHAnsi" w:hAnsiTheme="minorHAnsi" w:cstheme="minorHAnsi"/>
          <w:b/>
          <w:sz w:val="28"/>
          <w:szCs w:val="28"/>
        </w:rPr>
        <w:t>O</w:t>
      </w:r>
      <w:r w:rsidR="00AA0128">
        <w:rPr>
          <w:rFonts w:asciiTheme="minorHAnsi" w:hAnsiTheme="minorHAnsi" w:cstheme="minorHAnsi"/>
          <w:b/>
          <w:sz w:val="28"/>
          <w:szCs w:val="28"/>
        </w:rPr>
        <w:t>ur 2021/22 Revenue P</w:t>
      </w:r>
      <w:r w:rsidRPr="007067F5">
        <w:rPr>
          <w:rFonts w:asciiTheme="minorHAnsi" w:hAnsiTheme="minorHAnsi" w:cstheme="minorHAnsi"/>
          <w:b/>
          <w:sz w:val="28"/>
          <w:szCs w:val="28"/>
        </w:rPr>
        <w:t>lan</w:t>
      </w:r>
    </w:p>
    <w:p w:rsidR="000C1EAD" w:rsidRDefault="003B4A68" w:rsidP="00AA0128">
      <w:pPr>
        <w:pStyle w:val="NormalText"/>
        <w:rPr>
          <w:rFonts w:ascii="Verdana" w:hAnsi="Verdana"/>
        </w:rPr>
      </w:pPr>
      <w:r>
        <w:rPr>
          <w:rFonts w:ascii="Verdana" w:hAnsi="Verdana"/>
        </w:rPr>
        <w:lastRenderedPageBreak/>
        <w:t xml:space="preserve">Our 2021/22 Revenue Plan is detailed in </w:t>
      </w:r>
      <w:r w:rsidRPr="003B4A68">
        <w:rPr>
          <w:rFonts w:ascii="Verdana" w:hAnsi="Verdana"/>
          <w:b/>
        </w:rPr>
        <w:t>Appendix One</w:t>
      </w:r>
      <w:r>
        <w:rPr>
          <w:rFonts w:ascii="Verdana" w:hAnsi="Verdana"/>
        </w:rPr>
        <w:t xml:space="preserve"> with a summary set out in </w:t>
      </w:r>
      <w:r w:rsidR="00AA0128" w:rsidRPr="00F4679A">
        <w:rPr>
          <w:rFonts w:ascii="Verdana" w:hAnsi="Verdana"/>
          <w:b/>
        </w:rPr>
        <w:t>Table</w:t>
      </w:r>
      <w:r w:rsidR="00AA0128" w:rsidRPr="00AA0128">
        <w:rPr>
          <w:rFonts w:ascii="Verdana" w:hAnsi="Verdana"/>
          <w:b/>
        </w:rPr>
        <w:t xml:space="preserve"> 4</w:t>
      </w:r>
      <w:r>
        <w:rPr>
          <w:rFonts w:ascii="Verdana" w:hAnsi="Verdana"/>
        </w:rPr>
        <w:t xml:space="preserve">.  This </w:t>
      </w:r>
      <w:r w:rsidR="00AA0128" w:rsidRPr="00AA0128">
        <w:rPr>
          <w:rFonts w:ascii="Verdana" w:hAnsi="Verdana"/>
        </w:rPr>
        <w:t xml:space="preserve">demonstrates that </w:t>
      </w:r>
      <w:r>
        <w:rPr>
          <w:rFonts w:ascii="Verdana" w:hAnsi="Verdana"/>
        </w:rPr>
        <w:t xml:space="preserve">our </w:t>
      </w:r>
      <w:r w:rsidR="00AA0128" w:rsidRPr="00AA0128">
        <w:rPr>
          <w:rFonts w:ascii="Verdana" w:hAnsi="Verdana"/>
        </w:rPr>
        <w:t xml:space="preserve">financial plan </w:t>
      </w:r>
      <w:r>
        <w:rPr>
          <w:rFonts w:ascii="Verdana" w:hAnsi="Verdana"/>
        </w:rPr>
        <w:t>is</w:t>
      </w:r>
      <w:r w:rsidR="00AA0128" w:rsidRPr="00AA0128">
        <w:rPr>
          <w:rFonts w:ascii="Verdana" w:hAnsi="Verdana"/>
        </w:rPr>
        <w:t xml:space="preserve"> balanced</w:t>
      </w:r>
      <w:r w:rsidR="00AA0128">
        <w:rPr>
          <w:rFonts w:ascii="Verdana" w:hAnsi="Verdana"/>
        </w:rPr>
        <w:t xml:space="preserve">. </w:t>
      </w:r>
      <w:r w:rsidR="00F4679A">
        <w:rPr>
          <w:rFonts w:ascii="Verdana" w:hAnsi="Verdana"/>
        </w:rPr>
        <w:t xml:space="preserve"> It is</w:t>
      </w:r>
      <w:r w:rsidR="00AA0128">
        <w:rPr>
          <w:rFonts w:ascii="Verdana" w:hAnsi="Verdana"/>
        </w:rPr>
        <w:t xml:space="preserve"> based on</w:t>
      </w:r>
      <w:r w:rsidR="00AA0128" w:rsidRPr="00AA0128">
        <w:rPr>
          <w:rFonts w:ascii="Verdana" w:hAnsi="Verdana"/>
        </w:rPr>
        <w:t xml:space="preserve"> the resource allocation and planning parameters set out in the Public Health Wales Grant Allocation Letter </w:t>
      </w:r>
      <w:r w:rsidR="00AA0128">
        <w:rPr>
          <w:rFonts w:ascii="Verdana" w:hAnsi="Verdana"/>
        </w:rPr>
        <w:t xml:space="preserve">update </w:t>
      </w:r>
      <w:r w:rsidR="00AA0128" w:rsidRPr="00AA0128">
        <w:rPr>
          <w:rFonts w:ascii="Verdana" w:hAnsi="Verdana"/>
        </w:rPr>
        <w:t xml:space="preserve">received on </w:t>
      </w:r>
      <w:r w:rsidR="00AA0128">
        <w:rPr>
          <w:rFonts w:ascii="Verdana" w:hAnsi="Verdana"/>
        </w:rPr>
        <w:t xml:space="preserve">29 January </w:t>
      </w:r>
      <w:r w:rsidR="00AA0128" w:rsidRPr="00AA0128">
        <w:rPr>
          <w:rFonts w:ascii="Verdana" w:hAnsi="Verdana"/>
        </w:rPr>
        <w:t>20</w:t>
      </w:r>
      <w:r w:rsidR="00AA0128">
        <w:rPr>
          <w:rFonts w:ascii="Verdana" w:hAnsi="Verdana"/>
        </w:rPr>
        <w:t>2</w:t>
      </w:r>
      <w:r w:rsidR="00AA0128" w:rsidRPr="00AA0128">
        <w:rPr>
          <w:rFonts w:ascii="Verdana" w:hAnsi="Verdana"/>
        </w:rPr>
        <w:t>1</w:t>
      </w:r>
      <w:r w:rsidR="00AA0128">
        <w:rPr>
          <w:rFonts w:ascii="Verdana" w:hAnsi="Verdana"/>
        </w:rPr>
        <w:t>, and include expenditure and income assumptions associated with the continuation of the COVID-19 response</w:t>
      </w:r>
      <w:r w:rsidR="00AA0128" w:rsidRPr="00AA0128">
        <w:rPr>
          <w:rFonts w:ascii="Verdana" w:hAnsi="Verdana"/>
        </w:rPr>
        <w:t xml:space="preserve"> </w:t>
      </w:r>
      <w:r w:rsidR="00AA0128">
        <w:rPr>
          <w:rFonts w:ascii="Verdana" w:hAnsi="Verdana"/>
        </w:rPr>
        <w:t>into 2021/22.</w:t>
      </w:r>
    </w:p>
    <w:p w:rsidR="00AA0128" w:rsidRPr="0069535A" w:rsidRDefault="000C1EAD" w:rsidP="00AA0128">
      <w:pPr>
        <w:pStyle w:val="NormalText"/>
        <w:rPr>
          <w:rFonts w:ascii="Verdana" w:hAnsi="Verdana"/>
          <w:b/>
          <w:szCs w:val="24"/>
        </w:rPr>
      </w:pPr>
      <w:r w:rsidRPr="0069535A">
        <w:rPr>
          <w:rFonts w:ascii="Verdana" w:hAnsi="Verdana"/>
          <w:b/>
          <w:szCs w:val="24"/>
        </w:rPr>
        <w:t>Table 4</w:t>
      </w:r>
      <w:r w:rsidR="00AA0128" w:rsidRPr="0069535A">
        <w:rPr>
          <w:rFonts w:ascii="Verdana" w:hAnsi="Verdana"/>
          <w:b/>
          <w:szCs w:val="24"/>
        </w:rPr>
        <w:t xml:space="preserve"> </w:t>
      </w:r>
    </w:p>
    <w:p w:rsidR="007067F5" w:rsidRPr="000C1EAD" w:rsidRDefault="000C1EAD" w:rsidP="007067F5">
      <w:pPr>
        <w:rPr>
          <w:rFonts w:asciiTheme="minorHAnsi" w:hAnsiTheme="minorHAnsi" w:cstheme="minorHAnsi"/>
          <w:sz w:val="28"/>
          <w:szCs w:val="28"/>
        </w:rPr>
      </w:pPr>
      <w:r w:rsidRPr="0069535A">
        <w:rPr>
          <w:noProof/>
          <w:szCs w:val="24"/>
          <w:lang w:eastAsia="en-GB"/>
        </w:rPr>
        <w:drawing>
          <wp:inline distT="0" distB="0" distL="0" distR="0">
            <wp:extent cx="5730875" cy="50673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5102" cy="5079880"/>
                    </a:xfrm>
                    <a:prstGeom prst="rect">
                      <a:avLst/>
                    </a:prstGeom>
                    <a:noFill/>
                    <a:ln>
                      <a:noFill/>
                    </a:ln>
                  </pic:spPr>
                </pic:pic>
              </a:graphicData>
            </a:graphic>
          </wp:inline>
        </w:drawing>
      </w:r>
    </w:p>
    <w:p w:rsidR="007067F5" w:rsidRDefault="007067F5" w:rsidP="007067F5">
      <w:pPr>
        <w:rPr>
          <w:rFonts w:asciiTheme="minorHAnsi" w:hAnsiTheme="minorHAnsi" w:cstheme="minorHAnsi"/>
          <w:sz w:val="28"/>
          <w:szCs w:val="28"/>
        </w:rPr>
      </w:pPr>
    </w:p>
    <w:p w:rsidR="007067F5" w:rsidRPr="007067F5" w:rsidRDefault="007067F5" w:rsidP="00C83EB1">
      <w:pPr>
        <w:pStyle w:val="ListParagraph"/>
        <w:numPr>
          <w:ilvl w:val="0"/>
          <w:numId w:val="23"/>
        </w:numPr>
        <w:ind w:left="284" w:hanging="284"/>
        <w:rPr>
          <w:rFonts w:asciiTheme="minorHAnsi" w:hAnsiTheme="minorHAnsi" w:cstheme="minorHAnsi"/>
          <w:b/>
          <w:sz w:val="28"/>
          <w:szCs w:val="28"/>
        </w:rPr>
      </w:pPr>
      <w:r w:rsidRPr="007067F5">
        <w:rPr>
          <w:rFonts w:asciiTheme="minorHAnsi" w:hAnsiTheme="minorHAnsi" w:cstheme="minorHAnsi"/>
          <w:b/>
          <w:sz w:val="28"/>
          <w:szCs w:val="28"/>
        </w:rPr>
        <w:t>Cost Pressure and Investment Funding</w:t>
      </w:r>
    </w:p>
    <w:p w:rsidR="00C65815" w:rsidRDefault="00C65815" w:rsidP="009A24C3">
      <w:pPr>
        <w:rPr>
          <w:rFonts w:asciiTheme="minorHAnsi" w:hAnsiTheme="minorHAnsi" w:cstheme="minorHAnsi"/>
          <w:sz w:val="28"/>
          <w:szCs w:val="28"/>
        </w:rPr>
      </w:pPr>
    </w:p>
    <w:p w:rsidR="00C65815" w:rsidRDefault="00C65815" w:rsidP="007067F5">
      <w:pPr>
        <w:jc w:val="both"/>
        <w:rPr>
          <w:szCs w:val="24"/>
        </w:rPr>
      </w:pPr>
      <w:r w:rsidRPr="00C65815">
        <w:rPr>
          <w:szCs w:val="24"/>
        </w:rPr>
        <w:t>On the 12 January 2021 BET discussed and agreed a number of proposals put forward in respect of the draft financial plan and budget strategy for 202</w:t>
      </w:r>
      <w:r w:rsidR="0069535A">
        <w:rPr>
          <w:szCs w:val="24"/>
        </w:rPr>
        <w:t>1/</w:t>
      </w:r>
      <w:r w:rsidRPr="00C65815">
        <w:rPr>
          <w:szCs w:val="24"/>
        </w:rPr>
        <w:t>2.  These included the following:</w:t>
      </w:r>
    </w:p>
    <w:p w:rsidR="00E417B9" w:rsidRPr="00C65815" w:rsidRDefault="00E417B9" w:rsidP="007067F5">
      <w:pPr>
        <w:jc w:val="both"/>
        <w:rPr>
          <w:szCs w:val="24"/>
        </w:rPr>
      </w:pPr>
    </w:p>
    <w:p w:rsidR="006D3D83" w:rsidRDefault="00C65815" w:rsidP="00C65815">
      <w:pPr>
        <w:pStyle w:val="ListParagraph"/>
        <w:numPr>
          <w:ilvl w:val="0"/>
          <w:numId w:val="27"/>
        </w:numPr>
        <w:jc w:val="both"/>
        <w:rPr>
          <w:rFonts w:eastAsia="Times New Roman" w:cstheme="minorHAnsi"/>
          <w:szCs w:val="24"/>
        </w:rPr>
      </w:pPr>
      <w:r w:rsidRPr="00C65815">
        <w:rPr>
          <w:rFonts w:eastAsia="Times New Roman" w:cstheme="minorHAnsi"/>
          <w:szCs w:val="24"/>
        </w:rPr>
        <w:t>The Welsh Government 2% uplift would be applied to fund</w:t>
      </w:r>
      <w:r w:rsidR="006D3D83">
        <w:rPr>
          <w:rFonts w:eastAsia="Times New Roman" w:cstheme="minorHAnsi"/>
          <w:szCs w:val="24"/>
        </w:rPr>
        <w:t>:-</w:t>
      </w:r>
    </w:p>
    <w:p w:rsidR="006D3D83" w:rsidRDefault="00C65815" w:rsidP="006D3D83">
      <w:pPr>
        <w:pStyle w:val="ListParagraph"/>
        <w:numPr>
          <w:ilvl w:val="0"/>
          <w:numId w:val="28"/>
        </w:numPr>
        <w:jc w:val="both"/>
        <w:rPr>
          <w:rFonts w:eastAsia="Times New Roman" w:cstheme="minorHAnsi"/>
          <w:szCs w:val="24"/>
        </w:rPr>
      </w:pPr>
      <w:r w:rsidRPr="00C65815">
        <w:rPr>
          <w:rFonts w:eastAsia="Times New Roman" w:cstheme="minorHAnsi"/>
          <w:szCs w:val="24"/>
        </w:rPr>
        <w:t>pay awards</w:t>
      </w:r>
      <w:r w:rsidR="006D3D83">
        <w:rPr>
          <w:rFonts w:eastAsia="Times New Roman" w:cstheme="minorHAnsi"/>
          <w:szCs w:val="24"/>
        </w:rPr>
        <w:t>, currently covered at a level of 1%, our plans assume that any additional increase following the independent review will be funded by Welsh Government</w:t>
      </w:r>
    </w:p>
    <w:p w:rsidR="00C65815" w:rsidRPr="00C65815" w:rsidRDefault="00C65815" w:rsidP="006D3D83">
      <w:pPr>
        <w:pStyle w:val="ListParagraph"/>
        <w:numPr>
          <w:ilvl w:val="0"/>
          <w:numId w:val="28"/>
        </w:numPr>
        <w:jc w:val="both"/>
        <w:rPr>
          <w:rFonts w:eastAsia="Times New Roman" w:cstheme="minorHAnsi"/>
          <w:szCs w:val="24"/>
        </w:rPr>
      </w:pPr>
      <w:r w:rsidRPr="00C65815">
        <w:rPr>
          <w:rFonts w:eastAsia="Times New Roman" w:cstheme="minorHAnsi"/>
          <w:szCs w:val="24"/>
        </w:rPr>
        <w:lastRenderedPageBreak/>
        <w:t>nationally agreed non-pay cost pressures, including</w:t>
      </w:r>
    </w:p>
    <w:p w:rsidR="00C65815" w:rsidRPr="00C65815" w:rsidRDefault="00C65815" w:rsidP="006D3D83">
      <w:pPr>
        <w:pStyle w:val="ListParagraph"/>
        <w:numPr>
          <w:ilvl w:val="1"/>
          <w:numId w:val="28"/>
        </w:numPr>
        <w:jc w:val="both"/>
        <w:rPr>
          <w:rFonts w:eastAsia="Times New Roman" w:cstheme="minorHAnsi"/>
          <w:szCs w:val="24"/>
        </w:rPr>
      </w:pPr>
      <w:r w:rsidRPr="00C65815">
        <w:rPr>
          <w:rFonts w:eastAsia="Times New Roman" w:cstheme="minorHAnsi"/>
          <w:szCs w:val="24"/>
        </w:rPr>
        <w:t xml:space="preserve">SLA uplifts, </w:t>
      </w:r>
    </w:p>
    <w:p w:rsidR="00C65815" w:rsidRPr="00C65815" w:rsidRDefault="00C65815" w:rsidP="006D3D83">
      <w:pPr>
        <w:pStyle w:val="ListParagraph"/>
        <w:numPr>
          <w:ilvl w:val="1"/>
          <w:numId w:val="28"/>
        </w:numPr>
        <w:jc w:val="both"/>
        <w:rPr>
          <w:rFonts w:eastAsia="Times New Roman" w:cstheme="minorHAnsi"/>
          <w:szCs w:val="24"/>
        </w:rPr>
      </w:pPr>
      <w:r w:rsidRPr="00C65815">
        <w:rPr>
          <w:rFonts w:eastAsia="Times New Roman" w:cstheme="minorHAnsi"/>
          <w:szCs w:val="24"/>
        </w:rPr>
        <w:t>increase to Welsh Risk Pool contributions,</w:t>
      </w:r>
    </w:p>
    <w:p w:rsidR="00C65815" w:rsidRPr="00C65815" w:rsidRDefault="00C65815" w:rsidP="006D3D83">
      <w:pPr>
        <w:pStyle w:val="ListParagraph"/>
        <w:numPr>
          <w:ilvl w:val="1"/>
          <w:numId w:val="28"/>
        </w:numPr>
        <w:jc w:val="both"/>
        <w:rPr>
          <w:rFonts w:eastAsia="Times New Roman" w:cstheme="minorHAnsi"/>
          <w:szCs w:val="24"/>
        </w:rPr>
      </w:pPr>
      <w:r w:rsidRPr="00C65815">
        <w:rPr>
          <w:rFonts w:eastAsia="Times New Roman" w:cstheme="minorHAnsi"/>
          <w:szCs w:val="24"/>
        </w:rPr>
        <w:t>Rent, Rates, Utilities and Service Charges</w:t>
      </w:r>
    </w:p>
    <w:p w:rsidR="00C65815" w:rsidRDefault="00C65815" w:rsidP="006D3D83">
      <w:pPr>
        <w:pStyle w:val="ListParagraph"/>
        <w:numPr>
          <w:ilvl w:val="1"/>
          <w:numId w:val="28"/>
        </w:numPr>
        <w:jc w:val="both"/>
        <w:rPr>
          <w:rFonts w:eastAsia="Times New Roman" w:cstheme="minorHAnsi"/>
          <w:szCs w:val="24"/>
        </w:rPr>
      </w:pPr>
      <w:r w:rsidRPr="00C65815">
        <w:rPr>
          <w:rFonts w:eastAsia="Times New Roman" w:cstheme="minorHAnsi"/>
          <w:szCs w:val="24"/>
        </w:rPr>
        <w:t xml:space="preserve">Dilapidations </w:t>
      </w:r>
    </w:p>
    <w:p w:rsidR="00C65815" w:rsidRPr="00C65815" w:rsidRDefault="00C65815" w:rsidP="00C65815">
      <w:pPr>
        <w:pStyle w:val="ListParagraph"/>
        <w:numPr>
          <w:ilvl w:val="0"/>
          <w:numId w:val="27"/>
        </w:numPr>
        <w:jc w:val="both"/>
        <w:rPr>
          <w:rFonts w:eastAsia="Times New Roman" w:cstheme="minorHAnsi"/>
          <w:szCs w:val="24"/>
        </w:rPr>
      </w:pPr>
      <w:r w:rsidRPr="00C65815">
        <w:rPr>
          <w:rFonts w:eastAsia="Times New Roman" w:cstheme="minorHAnsi"/>
          <w:szCs w:val="24"/>
        </w:rPr>
        <w:t>That we would not set a target for additional organisational efficiency savings in 2021</w:t>
      </w:r>
      <w:r w:rsidR="0069535A">
        <w:rPr>
          <w:rFonts w:eastAsia="Times New Roman" w:cstheme="minorHAnsi"/>
          <w:szCs w:val="24"/>
        </w:rPr>
        <w:t>/</w:t>
      </w:r>
      <w:r w:rsidRPr="00C65815">
        <w:rPr>
          <w:rFonts w:eastAsia="Times New Roman" w:cstheme="minorHAnsi"/>
          <w:szCs w:val="24"/>
        </w:rPr>
        <w:t>22 but would continue with existing schemes and seek further opportunities as they arise</w:t>
      </w:r>
    </w:p>
    <w:p w:rsidR="00C65815" w:rsidRPr="00C65815" w:rsidRDefault="00C65815" w:rsidP="00C65815">
      <w:pPr>
        <w:numPr>
          <w:ilvl w:val="0"/>
          <w:numId w:val="27"/>
        </w:numPr>
        <w:jc w:val="both"/>
        <w:rPr>
          <w:rFonts w:eastAsia="Times New Roman"/>
          <w:szCs w:val="24"/>
        </w:rPr>
      </w:pPr>
      <w:r w:rsidRPr="00C65815">
        <w:rPr>
          <w:rFonts w:eastAsia="Times New Roman"/>
          <w:szCs w:val="24"/>
        </w:rPr>
        <w:t xml:space="preserve">That we would not levy a Directorate 1% CIP </w:t>
      </w:r>
      <w:r w:rsidR="00E417B9">
        <w:rPr>
          <w:rFonts w:eastAsia="Times New Roman"/>
          <w:szCs w:val="24"/>
        </w:rPr>
        <w:t>for 2021/22</w:t>
      </w:r>
      <w:r w:rsidRPr="00C65815">
        <w:rPr>
          <w:rFonts w:eastAsia="Times New Roman"/>
          <w:szCs w:val="24"/>
        </w:rPr>
        <w:t>. We would review and remove relevant budgets to reflect reductions in our cost base.  The initial exercise include</w:t>
      </w:r>
      <w:r w:rsidR="00E417B9">
        <w:rPr>
          <w:rFonts w:eastAsia="Times New Roman"/>
          <w:szCs w:val="24"/>
        </w:rPr>
        <w:t>d</w:t>
      </w:r>
      <w:r w:rsidRPr="00C65815">
        <w:rPr>
          <w:rFonts w:eastAsia="Times New Roman"/>
          <w:szCs w:val="24"/>
        </w:rPr>
        <w:t xml:space="preserve"> travel/subsistence and revenue IT as set out </w:t>
      </w:r>
      <w:r w:rsidR="007067F5">
        <w:rPr>
          <w:rFonts w:eastAsia="Times New Roman"/>
          <w:szCs w:val="24"/>
        </w:rPr>
        <w:t xml:space="preserve">in </w:t>
      </w:r>
      <w:r w:rsidR="007067F5" w:rsidRPr="007067F5">
        <w:rPr>
          <w:rFonts w:eastAsia="Times New Roman"/>
          <w:b/>
          <w:szCs w:val="24"/>
        </w:rPr>
        <w:t xml:space="preserve">Table </w:t>
      </w:r>
      <w:r w:rsidR="00C83EB1">
        <w:rPr>
          <w:rFonts w:eastAsia="Times New Roman"/>
          <w:b/>
          <w:szCs w:val="24"/>
        </w:rPr>
        <w:t>5</w:t>
      </w:r>
      <w:r w:rsidRPr="00C65815">
        <w:rPr>
          <w:rFonts w:eastAsia="Times New Roman"/>
          <w:szCs w:val="24"/>
        </w:rPr>
        <w:t xml:space="preserve"> below:</w:t>
      </w:r>
    </w:p>
    <w:p w:rsidR="00C65815" w:rsidRDefault="00C65815" w:rsidP="00C65815">
      <w:pPr>
        <w:rPr>
          <w:rFonts w:eastAsia="Times New Roman"/>
          <w:b/>
          <w:bCs/>
          <w:sz w:val="28"/>
          <w:szCs w:val="28"/>
          <w:u w:val="single"/>
        </w:rPr>
      </w:pPr>
    </w:p>
    <w:p w:rsidR="00C65815" w:rsidRPr="008D68E9" w:rsidRDefault="007067F5" w:rsidP="00C65815">
      <w:pPr>
        <w:rPr>
          <w:rFonts w:eastAsia="Times New Roman"/>
          <w:szCs w:val="24"/>
        </w:rPr>
      </w:pPr>
      <w:r w:rsidRPr="008D68E9">
        <w:rPr>
          <w:rFonts w:eastAsia="Times New Roman"/>
          <w:b/>
          <w:bCs/>
          <w:szCs w:val="24"/>
        </w:rPr>
        <w:t xml:space="preserve">Table </w:t>
      </w:r>
      <w:r w:rsidR="00C83EB1">
        <w:rPr>
          <w:rFonts w:eastAsia="Times New Roman"/>
          <w:b/>
          <w:bCs/>
          <w:szCs w:val="24"/>
        </w:rPr>
        <w:t>5</w:t>
      </w:r>
    </w:p>
    <w:tbl>
      <w:tblPr>
        <w:tblStyle w:val="TableGrid"/>
        <w:tblW w:w="0" w:type="auto"/>
        <w:tblInd w:w="-5" w:type="dxa"/>
        <w:tblLayout w:type="fixed"/>
        <w:tblLook w:val="06A0" w:firstRow="1" w:lastRow="0" w:firstColumn="1" w:lastColumn="0" w:noHBand="1" w:noVBand="1"/>
      </w:tblPr>
      <w:tblGrid>
        <w:gridCol w:w="4962"/>
        <w:gridCol w:w="1553"/>
        <w:gridCol w:w="1290"/>
        <w:gridCol w:w="1170"/>
      </w:tblGrid>
      <w:tr w:rsidR="00C65815" w:rsidRPr="0069535A" w:rsidTr="00E417B9">
        <w:trPr>
          <w:trHeight w:val="1185"/>
        </w:trPr>
        <w:tc>
          <w:tcPr>
            <w:tcW w:w="4962" w:type="dxa"/>
            <w:tcBorders>
              <w:top w:val="single" w:sz="4" w:space="0" w:color="auto"/>
              <w:left w:val="single" w:sz="4" w:space="0" w:color="auto"/>
              <w:bottom w:val="single" w:sz="4" w:space="0" w:color="auto"/>
              <w:right w:val="single" w:sz="4" w:space="0" w:color="auto"/>
            </w:tcBorders>
            <w:shd w:val="clear" w:color="auto" w:fill="4F81BD" w:themeFill="accent1"/>
          </w:tcPr>
          <w:p w:rsidR="00C65815" w:rsidRPr="0069535A" w:rsidRDefault="00C65815" w:rsidP="00C83EB1">
            <w:pPr>
              <w:rPr>
                <w:color w:val="FFFFFF" w:themeColor="background1"/>
                <w:szCs w:val="24"/>
              </w:rPr>
            </w:pPr>
            <w:r w:rsidRPr="0069535A">
              <w:rPr>
                <w:rFonts w:ascii="Calibri" w:eastAsia="Calibri" w:hAnsi="Calibri" w:cs="Calibri"/>
                <w:b/>
                <w:bCs/>
                <w:color w:val="FFFFFF" w:themeColor="background1"/>
                <w:szCs w:val="24"/>
              </w:rPr>
              <w:t>Directorate</w:t>
            </w:r>
          </w:p>
        </w:tc>
        <w:tc>
          <w:tcPr>
            <w:tcW w:w="1553" w:type="dxa"/>
            <w:tcBorders>
              <w:top w:val="single" w:sz="4" w:space="0" w:color="auto"/>
              <w:left w:val="single" w:sz="4" w:space="0" w:color="auto"/>
              <w:bottom w:val="single" w:sz="4" w:space="0" w:color="auto"/>
              <w:right w:val="single" w:sz="4" w:space="0" w:color="auto"/>
            </w:tcBorders>
            <w:shd w:val="clear" w:color="auto" w:fill="4F81BD" w:themeFill="accent1"/>
          </w:tcPr>
          <w:p w:rsidR="00C65815" w:rsidRPr="0069535A" w:rsidRDefault="00C65815" w:rsidP="00C83EB1">
            <w:pPr>
              <w:rPr>
                <w:color w:val="FFFFFF" w:themeColor="background1"/>
                <w:szCs w:val="24"/>
              </w:rPr>
            </w:pPr>
            <w:r w:rsidRPr="0069535A">
              <w:rPr>
                <w:rFonts w:ascii="Calibri" w:eastAsia="Calibri" w:hAnsi="Calibri" w:cs="Calibri"/>
                <w:b/>
                <w:bCs/>
                <w:color w:val="FFFFFF" w:themeColor="background1"/>
                <w:szCs w:val="24"/>
              </w:rPr>
              <w:t>Travel &amp; Subsistence £000</w:t>
            </w:r>
          </w:p>
        </w:tc>
        <w:tc>
          <w:tcPr>
            <w:tcW w:w="1290" w:type="dxa"/>
            <w:tcBorders>
              <w:top w:val="single" w:sz="4" w:space="0" w:color="auto"/>
              <w:left w:val="single" w:sz="4" w:space="0" w:color="auto"/>
              <w:bottom w:val="single" w:sz="4" w:space="0" w:color="auto"/>
              <w:right w:val="single" w:sz="4" w:space="0" w:color="auto"/>
            </w:tcBorders>
            <w:shd w:val="clear" w:color="auto" w:fill="4F81BD" w:themeFill="accent1"/>
          </w:tcPr>
          <w:p w:rsidR="00C65815" w:rsidRPr="0069535A" w:rsidRDefault="00C65815" w:rsidP="00C83EB1">
            <w:pPr>
              <w:rPr>
                <w:color w:val="FFFFFF" w:themeColor="background1"/>
                <w:szCs w:val="24"/>
              </w:rPr>
            </w:pPr>
            <w:r w:rsidRPr="0069535A">
              <w:rPr>
                <w:rFonts w:ascii="Calibri" w:eastAsia="Calibri" w:hAnsi="Calibri" w:cs="Calibri"/>
                <w:b/>
                <w:bCs/>
                <w:color w:val="FFFFFF" w:themeColor="background1"/>
                <w:szCs w:val="24"/>
              </w:rPr>
              <w:t>IT Hardware (Switch to Capital) £000</w:t>
            </w:r>
          </w:p>
        </w:tc>
        <w:tc>
          <w:tcPr>
            <w:tcW w:w="1170" w:type="dxa"/>
            <w:tcBorders>
              <w:top w:val="single" w:sz="4" w:space="0" w:color="auto"/>
              <w:left w:val="single" w:sz="4" w:space="0" w:color="auto"/>
              <w:bottom w:val="single" w:sz="4" w:space="0" w:color="auto"/>
              <w:right w:val="single" w:sz="4" w:space="0" w:color="auto"/>
            </w:tcBorders>
            <w:shd w:val="clear" w:color="auto" w:fill="4F81BD" w:themeFill="accent1"/>
          </w:tcPr>
          <w:p w:rsidR="00C65815" w:rsidRPr="0069535A" w:rsidRDefault="00C65815" w:rsidP="00C83EB1">
            <w:pPr>
              <w:rPr>
                <w:color w:val="FFFFFF" w:themeColor="background1"/>
                <w:szCs w:val="24"/>
              </w:rPr>
            </w:pPr>
            <w:r w:rsidRPr="0069535A">
              <w:rPr>
                <w:rFonts w:ascii="Calibri" w:eastAsia="Calibri" w:hAnsi="Calibri" w:cs="Calibri"/>
                <w:b/>
                <w:bCs/>
                <w:color w:val="FFFFFF" w:themeColor="background1"/>
                <w:szCs w:val="24"/>
              </w:rPr>
              <w:t>Total £000</w:t>
            </w:r>
          </w:p>
        </w:tc>
      </w:tr>
      <w:tr w:rsidR="00C65815" w:rsidRPr="0069535A" w:rsidTr="00E417B9">
        <w:trPr>
          <w:trHeight w:val="285"/>
        </w:trPr>
        <w:tc>
          <w:tcPr>
            <w:tcW w:w="4962" w:type="dxa"/>
            <w:tcBorders>
              <w:top w:val="single" w:sz="4" w:space="0" w:color="auto"/>
              <w:left w:val="single" w:sz="4" w:space="0" w:color="auto"/>
              <w:bottom w:val="nil"/>
              <w:right w:val="single" w:sz="4" w:space="0" w:color="auto"/>
            </w:tcBorders>
            <w:vAlign w:val="bottom"/>
          </w:tcPr>
          <w:p w:rsidR="00C65815" w:rsidRPr="0069535A" w:rsidRDefault="00C65815" w:rsidP="00C83EB1">
            <w:pPr>
              <w:rPr>
                <w:szCs w:val="24"/>
              </w:rPr>
            </w:pPr>
            <w:r w:rsidRPr="0069535A">
              <w:rPr>
                <w:rFonts w:ascii="Calibri" w:eastAsia="Calibri" w:hAnsi="Calibri" w:cs="Calibri"/>
                <w:color w:val="000000" w:themeColor="text1"/>
                <w:szCs w:val="24"/>
              </w:rPr>
              <w:t>Board and Corporate</w:t>
            </w:r>
          </w:p>
        </w:tc>
        <w:tc>
          <w:tcPr>
            <w:tcW w:w="1553" w:type="dxa"/>
            <w:tcBorders>
              <w:top w:val="single" w:sz="4" w:space="0" w:color="auto"/>
              <w:left w:val="single" w:sz="4" w:space="0" w:color="auto"/>
              <w:bottom w:val="nil"/>
              <w:right w:val="single" w:sz="4" w:space="0" w:color="auto"/>
            </w:tcBorders>
          </w:tcPr>
          <w:p w:rsidR="00C65815" w:rsidRPr="0069535A" w:rsidRDefault="00C65815" w:rsidP="007067F5">
            <w:pPr>
              <w:jc w:val="right"/>
              <w:rPr>
                <w:szCs w:val="24"/>
              </w:rPr>
            </w:pPr>
            <w:r w:rsidRPr="0069535A">
              <w:rPr>
                <w:rFonts w:ascii="Calibri" w:eastAsia="Calibri" w:hAnsi="Calibri" w:cs="Calibri"/>
                <w:color w:val="000000" w:themeColor="text1"/>
                <w:szCs w:val="24"/>
              </w:rPr>
              <w:t>29</w:t>
            </w:r>
          </w:p>
        </w:tc>
        <w:tc>
          <w:tcPr>
            <w:tcW w:w="1290" w:type="dxa"/>
            <w:tcBorders>
              <w:top w:val="single" w:sz="4" w:space="0" w:color="auto"/>
              <w:left w:val="single" w:sz="4" w:space="0" w:color="auto"/>
              <w:bottom w:val="nil"/>
              <w:right w:val="single" w:sz="4" w:space="0" w:color="auto"/>
            </w:tcBorders>
          </w:tcPr>
          <w:p w:rsidR="00C65815" w:rsidRPr="0069535A" w:rsidRDefault="00C65815" w:rsidP="007067F5">
            <w:pPr>
              <w:jc w:val="right"/>
              <w:rPr>
                <w:szCs w:val="24"/>
              </w:rPr>
            </w:pPr>
            <w:r w:rsidRPr="0069535A">
              <w:rPr>
                <w:rFonts w:ascii="Calibri" w:eastAsia="Calibri" w:hAnsi="Calibri" w:cs="Calibri"/>
                <w:color w:val="000000" w:themeColor="text1"/>
                <w:szCs w:val="24"/>
              </w:rPr>
              <w:t>1</w:t>
            </w:r>
          </w:p>
        </w:tc>
        <w:tc>
          <w:tcPr>
            <w:tcW w:w="1170" w:type="dxa"/>
            <w:tcBorders>
              <w:top w:val="single" w:sz="4" w:space="0" w:color="auto"/>
              <w:left w:val="single" w:sz="4" w:space="0" w:color="auto"/>
              <w:bottom w:val="nil"/>
              <w:right w:val="single" w:sz="4" w:space="0" w:color="auto"/>
            </w:tcBorders>
            <w:vAlign w:val="bottom"/>
          </w:tcPr>
          <w:p w:rsidR="00C65815" w:rsidRPr="0069535A" w:rsidRDefault="00C65815" w:rsidP="007067F5">
            <w:pPr>
              <w:jc w:val="right"/>
              <w:rPr>
                <w:szCs w:val="24"/>
              </w:rPr>
            </w:pPr>
            <w:r w:rsidRPr="0069535A">
              <w:rPr>
                <w:rFonts w:ascii="Calibri" w:eastAsia="Calibri" w:hAnsi="Calibri" w:cs="Calibri"/>
                <w:color w:val="000000" w:themeColor="text1"/>
                <w:szCs w:val="24"/>
              </w:rPr>
              <w:t>31</w:t>
            </w:r>
          </w:p>
        </w:tc>
      </w:tr>
      <w:tr w:rsidR="00C65815" w:rsidRPr="0069535A" w:rsidTr="00E417B9">
        <w:trPr>
          <w:trHeight w:val="285"/>
        </w:trPr>
        <w:tc>
          <w:tcPr>
            <w:tcW w:w="4962" w:type="dxa"/>
            <w:tcBorders>
              <w:top w:val="nil"/>
              <w:left w:val="single" w:sz="4" w:space="0" w:color="auto"/>
              <w:bottom w:val="nil"/>
              <w:right w:val="single" w:sz="4" w:space="0" w:color="auto"/>
            </w:tcBorders>
            <w:vAlign w:val="bottom"/>
          </w:tcPr>
          <w:p w:rsidR="00C65815" w:rsidRPr="0069535A" w:rsidRDefault="00C65815" w:rsidP="00C83EB1">
            <w:pPr>
              <w:rPr>
                <w:szCs w:val="24"/>
              </w:rPr>
            </w:pPr>
            <w:r w:rsidRPr="0069535A">
              <w:rPr>
                <w:rFonts w:ascii="Calibri" w:eastAsia="Calibri" w:hAnsi="Calibri" w:cs="Calibri"/>
                <w:color w:val="000000" w:themeColor="text1"/>
                <w:szCs w:val="24"/>
              </w:rPr>
              <w:t>Health &amp; Wellbeing Directorate</w:t>
            </w:r>
          </w:p>
        </w:tc>
        <w:tc>
          <w:tcPr>
            <w:tcW w:w="1553" w:type="dxa"/>
            <w:tcBorders>
              <w:top w:val="nil"/>
              <w:left w:val="single" w:sz="4" w:space="0" w:color="auto"/>
              <w:bottom w:val="nil"/>
              <w:right w:val="single" w:sz="4" w:space="0" w:color="auto"/>
            </w:tcBorders>
          </w:tcPr>
          <w:p w:rsidR="00C65815" w:rsidRPr="0069535A" w:rsidRDefault="00C65815" w:rsidP="007067F5">
            <w:pPr>
              <w:jc w:val="right"/>
              <w:rPr>
                <w:szCs w:val="24"/>
              </w:rPr>
            </w:pPr>
            <w:r w:rsidRPr="0069535A">
              <w:rPr>
                <w:rFonts w:ascii="Calibri" w:eastAsia="Calibri" w:hAnsi="Calibri" w:cs="Calibri"/>
                <w:color w:val="000000" w:themeColor="text1"/>
                <w:szCs w:val="24"/>
              </w:rPr>
              <w:t>147</w:t>
            </w:r>
          </w:p>
        </w:tc>
        <w:tc>
          <w:tcPr>
            <w:tcW w:w="1290" w:type="dxa"/>
            <w:tcBorders>
              <w:top w:val="nil"/>
              <w:left w:val="single" w:sz="4" w:space="0" w:color="auto"/>
              <w:bottom w:val="nil"/>
              <w:right w:val="single" w:sz="4" w:space="0" w:color="auto"/>
            </w:tcBorders>
          </w:tcPr>
          <w:p w:rsidR="00C65815" w:rsidRPr="0069535A" w:rsidRDefault="00C65815" w:rsidP="007067F5">
            <w:pPr>
              <w:jc w:val="right"/>
              <w:rPr>
                <w:szCs w:val="24"/>
              </w:rPr>
            </w:pPr>
            <w:r w:rsidRPr="0069535A">
              <w:rPr>
                <w:rFonts w:ascii="Calibri" w:eastAsia="Calibri" w:hAnsi="Calibri" w:cs="Calibri"/>
                <w:color w:val="000000" w:themeColor="text1"/>
                <w:szCs w:val="24"/>
              </w:rPr>
              <w:t>41</w:t>
            </w:r>
          </w:p>
        </w:tc>
        <w:tc>
          <w:tcPr>
            <w:tcW w:w="1170" w:type="dxa"/>
            <w:tcBorders>
              <w:top w:val="nil"/>
              <w:left w:val="single" w:sz="4" w:space="0" w:color="auto"/>
              <w:bottom w:val="nil"/>
              <w:right w:val="single" w:sz="4" w:space="0" w:color="auto"/>
            </w:tcBorders>
            <w:vAlign w:val="bottom"/>
          </w:tcPr>
          <w:p w:rsidR="00C65815" w:rsidRPr="0069535A" w:rsidRDefault="00C65815" w:rsidP="007067F5">
            <w:pPr>
              <w:jc w:val="right"/>
              <w:rPr>
                <w:szCs w:val="24"/>
              </w:rPr>
            </w:pPr>
            <w:r w:rsidRPr="0069535A">
              <w:rPr>
                <w:rFonts w:ascii="Calibri" w:eastAsia="Calibri" w:hAnsi="Calibri" w:cs="Calibri"/>
                <w:color w:val="000000" w:themeColor="text1"/>
                <w:szCs w:val="24"/>
              </w:rPr>
              <w:t>188</w:t>
            </w:r>
          </w:p>
        </w:tc>
      </w:tr>
      <w:tr w:rsidR="00C65815" w:rsidRPr="0069535A" w:rsidTr="00E417B9">
        <w:trPr>
          <w:trHeight w:val="285"/>
        </w:trPr>
        <w:tc>
          <w:tcPr>
            <w:tcW w:w="4962" w:type="dxa"/>
            <w:tcBorders>
              <w:top w:val="nil"/>
              <w:left w:val="single" w:sz="4" w:space="0" w:color="auto"/>
              <w:bottom w:val="nil"/>
              <w:right w:val="single" w:sz="4" w:space="0" w:color="auto"/>
            </w:tcBorders>
            <w:vAlign w:val="bottom"/>
          </w:tcPr>
          <w:p w:rsidR="00C65815" w:rsidRPr="0069535A" w:rsidRDefault="00C65815" w:rsidP="00C83EB1">
            <w:pPr>
              <w:rPr>
                <w:szCs w:val="24"/>
              </w:rPr>
            </w:pPr>
            <w:r w:rsidRPr="0069535A">
              <w:rPr>
                <w:rFonts w:ascii="Calibri" w:eastAsia="Calibri" w:hAnsi="Calibri" w:cs="Calibri"/>
                <w:color w:val="000000" w:themeColor="text1"/>
                <w:szCs w:val="24"/>
              </w:rPr>
              <w:t xml:space="preserve">Improvement </w:t>
            </w:r>
            <w:proofErr w:type="spellStart"/>
            <w:r w:rsidRPr="0069535A">
              <w:rPr>
                <w:rFonts w:ascii="Calibri" w:eastAsia="Calibri" w:hAnsi="Calibri" w:cs="Calibri"/>
                <w:color w:val="000000" w:themeColor="text1"/>
                <w:szCs w:val="24"/>
              </w:rPr>
              <w:t>Cymru</w:t>
            </w:r>
            <w:proofErr w:type="spellEnd"/>
          </w:p>
        </w:tc>
        <w:tc>
          <w:tcPr>
            <w:tcW w:w="1553" w:type="dxa"/>
            <w:tcBorders>
              <w:top w:val="nil"/>
              <w:left w:val="single" w:sz="4" w:space="0" w:color="auto"/>
              <w:bottom w:val="nil"/>
              <w:right w:val="single" w:sz="4" w:space="0" w:color="auto"/>
            </w:tcBorders>
          </w:tcPr>
          <w:p w:rsidR="00C65815" w:rsidRPr="0069535A" w:rsidRDefault="00C65815" w:rsidP="007067F5">
            <w:pPr>
              <w:jc w:val="right"/>
              <w:rPr>
                <w:szCs w:val="24"/>
              </w:rPr>
            </w:pPr>
            <w:r w:rsidRPr="0069535A">
              <w:rPr>
                <w:rFonts w:ascii="Calibri" w:eastAsia="Calibri" w:hAnsi="Calibri" w:cs="Calibri"/>
                <w:color w:val="000000" w:themeColor="text1"/>
                <w:szCs w:val="24"/>
              </w:rPr>
              <w:t>87</w:t>
            </w:r>
          </w:p>
        </w:tc>
        <w:tc>
          <w:tcPr>
            <w:tcW w:w="1290" w:type="dxa"/>
            <w:tcBorders>
              <w:top w:val="nil"/>
              <w:left w:val="single" w:sz="4" w:space="0" w:color="auto"/>
              <w:bottom w:val="nil"/>
              <w:right w:val="single" w:sz="4" w:space="0" w:color="auto"/>
            </w:tcBorders>
          </w:tcPr>
          <w:p w:rsidR="00C65815" w:rsidRPr="0069535A" w:rsidRDefault="00C65815" w:rsidP="007067F5">
            <w:pPr>
              <w:jc w:val="right"/>
              <w:rPr>
                <w:szCs w:val="24"/>
              </w:rPr>
            </w:pPr>
            <w:r w:rsidRPr="0069535A">
              <w:rPr>
                <w:rFonts w:ascii="Calibri" w:eastAsia="Calibri" w:hAnsi="Calibri" w:cs="Calibri"/>
                <w:color w:val="000000" w:themeColor="text1"/>
                <w:szCs w:val="24"/>
              </w:rPr>
              <w:t>20</w:t>
            </w:r>
          </w:p>
        </w:tc>
        <w:tc>
          <w:tcPr>
            <w:tcW w:w="1170" w:type="dxa"/>
            <w:tcBorders>
              <w:top w:val="nil"/>
              <w:left w:val="single" w:sz="4" w:space="0" w:color="auto"/>
              <w:bottom w:val="nil"/>
              <w:right w:val="single" w:sz="4" w:space="0" w:color="auto"/>
            </w:tcBorders>
            <w:vAlign w:val="bottom"/>
          </w:tcPr>
          <w:p w:rsidR="00C65815" w:rsidRPr="0069535A" w:rsidRDefault="00C65815" w:rsidP="007067F5">
            <w:pPr>
              <w:jc w:val="right"/>
              <w:rPr>
                <w:szCs w:val="24"/>
              </w:rPr>
            </w:pPr>
            <w:r w:rsidRPr="0069535A">
              <w:rPr>
                <w:rFonts w:ascii="Calibri" w:eastAsia="Calibri" w:hAnsi="Calibri" w:cs="Calibri"/>
                <w:color w:val="000000" w:themeColor="text1"/>
                <w:szCs w:val="24"/>
              </w:rPr>
              <w:t>108</w:t>
            </w:r>
          </w:p>
        </w:tc>
      </w:tr>
      <w:tr w:rsidR="00C65815" w:rsidRPr="0069535A" w:rsidTr="00E417B9">
        <w:trPr>
          <w:trHeight w:val="285"/>
        </w:trPr>
        <w:tc>
          <w:tcPr>
            <w:tcW w:w="4962" w:type="dxa"/>
            <w:tcBorders>
              <w:top w:val="nil"/>
              <w:left w:val="single" w:sz="4" w:space="0" w:color="auto"/>
              <w:bottom w:val="nil"/>
              <w:right w:val="single" w:sz="4" w:space="0" w:color="auto"/>
            </w:tcBorders>
            <w:vAlign w:val="bottom"/>
          </w:tcPr>
          <w:p w:rsidR="00C65815" w:rsidRPr="0069535A" w:rsidRDefault="00C65815" w:rsidP="00C83EB1">
            <w:pPr>
              <w:rPr>
                <w:szCs w:val="24"/>
              </w:rPr>
            </w:pPr>
            <w:r w:rsidRPr="0069535A">
              <w:rPr>
                <w:rFonts w:ascii="Calibri" w:eastAsia="Calibri" w:hAnsi="Calibri" w:cs="Calibri"/>
                <w:color w:val="000000" w:themeColor="text1"/>
                <w:szCs w:val="24"/>
              </w:rPr>
              <w:t>Knowledge Directorate</w:t>
            </w:r>
          </w:p>
        </w:tc>
        <w:tc>
          <w:tcPr>
            <w:tcW w:w="1553" w:type="dxa"/>
            <w:tcBorders>
              <w:top w:val="nil"/>
              <w:left w:val="single" w:sz="4" w:space="0" w:color="auto"/>
              <w:bottom w:val="nil"/>
              <w:right w:val="single" w:sz="4" w:space="0" w:color="auto"/>
            </w:tcBorders>
          </w:tcPr>
          <w:p w:rsidR="00C65815" w:rsidRPr="0069535A" w:rsidRDefault="00C65815" w:rsidP="007067F5">
            <w:pPr>
              <w:jc w:val="right"/>
              <w:rPr>
                <w:szCs w:val="24"/>
              </w:rPr>
            </w:pPr>
            <w:r w:rsidRPr="0069535A">
              <w:rPr>
                <w:rFonts w:ascii="Calibri" w:eastAsia="Calibri" w:hAnsi="Calibri" w:cs="Calibri"/>
                <w:color w:val="000000" w:themeColor="text1"/>
                <w:szCs w:val="24"/>
              </w:rPr>
              <w:t>34</w:t>
            </w:r>
          </w:p>
        </w:tc>
        <w:tc>
          <w:tcPr>
            <w:tcW w:w="1290" w:type="dxa"/>
            <w:tcBorders>
              <w:top w:val="nil"/>
              <w:left w:val="single" w:sz="4" w:space="0" w:color="auto"/>
              <w:bottom w:val="nil"/>
              <w:right w:val="single" w:sz="4" w:space="0" w:color="auto"/>
            </w:tcBorders>
          </w:tcPr>
          <w:p w:rsidR="00C65815" w:rsidRPr="0069535A" w:rsidRDefault="00C65815" w:rsidP="007067F5">
            <w:pPr>
              <w:jc w:val="right"/>
              <w:rPr>
                <w:szCs w:val="24"/>
              </w:rPr>
            </w:pPr>
            <w:r w:rsidRPr="0069535A">
              <w:rPr>
                <w:rFonts w:ascii="Calibri" w:eastAsia="Calibri" w:hAnsi="Calibri" w:cs="Calibri"/>
                <w:color w:val="000000" w:themeColor="text1"/>
                <w:szCs w:val="24"/>
              </w:rPr>
              <w:t>28</w:t>
            </w:r>
          </w:p>
        </w:tc>
        <w:tc>
          <w:tcPr>
            <w:tcW w:w="1170" w:type="dxa"/>
            <w:tcBorders>
              <w:top w:val="nil"/>
              <w:left w:val="single" w:sz="4" w:space="0" w:color="auto"/>
              <w:bottom w:val="nil"/>
              <w:right w:val="single" w:sz="4" w:space="0" w:color="auto"/>
            </w:tcBorders>
            <w:vAlign w:val="bottom"/>
          </w:tcPr>
          <w:p w:rsidR="00C65815" w:rsidRPr="0069535A" w:rsidRDefault="00C65815" w:rsidP="007067F5">
            <w:pPr>
              <w:jc w:val="right"/>
              <w:rPr>
                <w:szCs w:val="24"/>
              </w:rPr>
            </w:pPr>
            <w:r w:rsidRPr="0069535A">
              <w:rPr>
                <w:rFonts w:ascii="Calibri" w:eastAsia="Calibri" w:hAnsi="Calibri" w:cs="Calibri"/>
                <w:color w:val="000000" w:themeColor="text1"/>
                <w:szCs w:val="24"/>
              </w:rPr>
              <w:t>63</w:t>
            </w:r>
          </w:p>
        </w:tc>
      </w:tr>
      <w:tr w:rsidR="00C65815" w:rsidRPr="0069535A" w:rsidTr="00E417B9">
        <w:trPr>
          <w:trHeight w:val="285"/>
        </w:trPr>
        <w:tc>
          <w:tcPr>
            <w:tcW w:w="4962" w:type="dxa"/>
            <w:tcBorders>
              <w:top w:val="nil"/>
              <w:left w:val="single" w:sz="4" w:space="0" w:color="auto"/>
              <w:bottom w:val="nil"/>
              <w:right w:val="single" w:sz="4" w:space="0" w:color="auto"/>
            </w:tcBorders>
            <w:vAlign w:val="bottom"/>
          </w:tcPr>
          <w:p w:rsidR="00C65815" w:rsidRPr="0069535A" w:rsidRDefault="00C65815" w:rsidP="00C83EB1">
            <w:pPr>
              <w:rPr>
                <w:szCs w:val="24"/>
              </w:rPr>
            </w:pPr>
            <w:r w:rsidRPr="0069535A">
              <w:rPr>
                <w:rFonts w:ascii="Calibri" w:eastAsia="Calibri" w:hAnsi="Calibri" w:cs="Calibri"/>
                <w:color w:val="000000" w:themeColor="text1"/>
                <w:szCs w:val="24"/>
              </w:rPr>
              <w:t>Operations and Finance Directorate</w:t>
            </w:r>
          </w:p>
        </w:tc>
        <w:tc>
          <w:tcPr>
            <w:tcW w:w="1553" w:type="dxa"/>
            <w:tcBorders>
              <w:top w:val="nil"/>
              <w:left w:val="single" w:sz="4" w:space="0" w:color="auto"/>
              <w:bottom w:val="nil"/>
              <w:right w:val="single" w:sz="4" w:space="0" w:color="auto"/>
            </w:tcBorders>
          </w:tcPr>
          <w:p w:rsidR="00C65815" w:rsidRPr="0069535A" w:rsidRDefault="00C65815" w:rsidP="007067F5">
            <w:pPr>
              <w:jc w:val="right"/>
              <w:rPr>
                <w:szCs w:val="24"/>
              </w:rPr>
            </w:pPr>
            <w:r w:rsidRPr="0069535A">
              <w:rPr>
                <w:rFonts w:ascii="Calibri" w:eastAsia="Calibri" w:hAnsi="Calibri" w:cs="Calibri"/>
                <w:color w:val="000000" w:themeColor="text1"/>
                <w:szCs w:val="24"/>
              </w:rPr>
              <w:t>34</w:t>
            </w:r>
          </w:p>
        </w:tc>
        <w:tc>
          <w:tcPr>
            <w:tcW w:w="1290" w:type="dxa"/>
            <w:tcBorders>
              <w:top w:val="nil"/>
              <w:left w:val="single" w:sz="4" w:space="0" w:color="auto"/>
              <w:bottom w:val="nil"/>
              <w:right w:val="single" w:sz="4" w:space="0" w:color="auto"/>
            </w:tcBorders>
          </w:tcPr>
          <w:p w:rsidR="00C65815" w:rsidRPr="0069535A" w:rsidRDefault="00C65815" w:rsidP="007067F5">
            <w:pPr>
              <w:jc w:val="right"/>
              <w:rPr>
                <w:szCs w:val="24"/>
              </w:rPr>
            </w:pPr>
            <w:r w:rsidRPr="0069535A">
              <w:rPr>
                <w:rFonts w:ascii="Calibri" w:eastAsia="Calibri" w:hAnsi="Calibri" w:cs="Calibri"/>
                <w:color w:val="000000" w:themeColor="text1"/>
                <w:szCs w:val="24"/>
              </w:rPr>
              <w:t>12</w:t>
            </w:r>
          </w:p>
        </w:tc>
        <w:tc>
          <w:tcPr>
            <w:tcW w:w="1170" w:type="dxa"/>
            <w:tcBorders>
              <w:top w:val="nil"/>
              <w:left w:val="single" w:sz="4" w:space="0" w:color="auto"/>
              <w:bottom w:val="nil"/>
              <w:right w:val="single" w:sz="4" w:space="0" w:color="auto"/>
            </w:tcBorders>
            <w:vAlign w:val="bottom"/>
          </w:tcPr>
          <w:p w:rsidR="00C65815" w:rsidRPr="0069535A" w:rsidRDefault="00C65815" w:rsidP="007067F5">
            <w:pPr>
              <w:jc w:val="right"/>
              <w:rPr>
                <w:szCs w:val="24"/>
              </w:rPr>
            </w:pPr>
            <w:r w:rsidRPr="0069535A">
              <w:rPr>
                <w:rFonts w:ascii="Calibri" w:eastAsia="Calibri" w:hAnsi="Calibri" w:cs="Calibri"/>
                <w:color w:val="000000" w:themeColor="text1"/>
                <w:szCs w:val="24"/>
              </w:rPr>
              <w:t>45</w:t>
            </w:r>
          </w:p>
        </w:tc>
      </w:tr>
      <w:tr w:rsidR="00C65815" w:rsidRPr="0069535A" w:rsidTr="00E417B9">
        <w:trPr>
          <w:trHeight w:val="285"/>
        </w:trPr>
        <w:tc>
          <w:tcPr>
            <w:tcW w:w="4962" w:type="dxa"/>
            <w:tcBorders>
              <w:top w:val="nil"/>
              <w:left w:val="single" w:sz="4" w:space="0" w:color="auto"/>
              <w:bottom w:val="nil"/>
              <w:right w:val="single" w:sz="4" w:space="0" w:color="auto"/>
            </w:tcBorders>
            <w:vAlign w:val="bottom"/>
          </w:tcPr>
          <w:p w:rsidR="00C65815" w:rsidRPr="0069535A" w:rsidRDefault="00C65815" w:rsidP="00C83EB1">
            <w:pPr>
              <w:rPr>
                <w:szCs w:val="24"/>
              </w:rPr>
            </w:pPr>
            <w:r w:rsidRPr="0069535A">
              <w:rPr>
                <w:rFonts w:ascii="Calibri" w:eastAsia="Calibri" w:hAnsi="Calibri" w:cs="Calibri"/>
                <w:color w:val="000000" w:themeColor="text1"/>
                <w:szCs w:val="24"/>
              </w:rPr>
              <w:t>People &amp; Organisational Development</w:t>
            </w:r>
          </w:p>
        </w:tc>
        <w:tc>
          <w:tcPr>
            <w:tcW w:w="1553" w:type="dxa"/>
            <w:tcBorders>
              <w:top w:val="nil"/>
              <w:left w:val="single" w:sz="4" w:space="0" w:color="auto"/>
              <w:bottom w:val="nil"/>
              <w:right w:val="single" w:sz="4" w:space="0" w:color="auto"/>
            </w:tcBorders>
          </w:tcPr>
          <w:p w:rsidR="00C65815" w:rsidRPr="0069535A" w:rsidRDefault="00C65815" w:rsidP="007067F5">
            <w:pPr>
              <w:jc w:val="right"/>
              <w:rPr>
                <w:szCs w:val="24"/>
              </w:rPr>
            </w:pPr>
            <w:r w:rsidRPr="0069535A">
              <w:rPr>
                <w:rFonts w:ascii="Calibri" w:eastAsia="Calibri" w:hAnsi="Calibri" w:cs="Calibri"/>
                <w:color w:val="000000" w:themeColor="text1"/>
                <w:szCs w:val="24"/>
              </w:rPr>
              <w:t>15</w:t>
            </w:r>
          </w:p>
        </w:tc>
        <w:tc>
          <w:tcPr>
            <w:tcW w:w="1290" w:type="dxa"/>
            <w:tcBorders>
              <w:top w:val="nil"/>
              <w:left w:val="single" w:sz="4" w:space="0" w:color="auto"/>
              <w:bottom w:val="nil"/>
              <w:right w:val="single" w:sz="4" w:space="0" w:color="auto"/>
            </w:tcBorders>
          </w:tcPr>
          <w:p w:rsidR="00C65815" w:rsidRPr="0069535A" w:rsidRDefault="00C65815" w:rsidP="007067F5">
            <w:pPr>
              <w:jc w:val="right"/>
              <w:rPr>
                <w:szCs w:val="24"/>
              </w:rPr>
            </w:pPr>
            <w:r w:rsidRPr="0069535A">
              <w:rPr>
                <w:rFonts w:ascii="Calibri" w:eastAsia="Calibri" w:hAnsi="Calibri" w:cs="Calibri"/>
                <w:color w:val="000000" w:themeColor="text1"/>
                <w:szCs w:val="24"/>
              </w:rPr>
              <w:t>4</w:t>
            </w:r>
          </w:p>
        </w:tc>
        <w:tc>
          <w:tcPr>
            <w:tcW w:w="1170" w:type="dxa"/>
            <w:tcBorders>
              <w:top w:val="nil"/>
              <w:left w:val="single" w:sz="4" w:space="0" w:color="auto"/>
              <w:bottom w:val="nil"/>
              <w:right w:val="single" w:sz="4" w:space="0" w:color="auto"/>
            </w:tcBorders>
            <w:vAlign w:val="bottom"/>
          </w:tcPr>
          <w:p w:rsidR="00C65815" w:rsidRPr="0069535A" w:rsidRDefault="00C65815" w:rsidP="007067F5">
            <w:pPr>
              <w:jc w:val="right"/>
              <w:rPr>
                <w:szCs w:val="24"/>
              </w:rPr>
            </w:pPr>
            <w:r w:rsidRPr="0069535A">
              <w:rPr>
                <w:rFonts w:ascii="Calibri" w:eastAsia="Calibri" w:hAnsi="Calibri" w:cs="Calibri"/>
                <w:color w:val="000000" w:themeColor="text1"/>
                <w:szCs w:val="24"/>
              </w:rPr>
              <w:t>19</w:t>
            </w:r>
          </w:p>
        </w:tc>
      </w:tr>
      <w:tr w:rsidR="00C65815" w:rsidRPr="0069535A" w:rsidTr="00E417B9">
        <w:trPr>
          <w:trHeight w:val="285"/>
        </w:trPr>
        <w:tc>
          <w:tcPr>
            <w:tcW w:w="4962" w:type="dxa"/>
            <w:tcBorders>
              <w:top w:val="nil"/>
              <w:left w:val="single" w:sz="4" w:space="0" w:color="auto"/>
              <w:bottom w:val="nil"/>
              <w:right w:val="single" w:sz="4" w:space="0" w:color="auto"/>
            </w:tcBorders>
            <w:vAlign w:val="bottom"/>
          </w:tcPr>
          <w:p w:rsidR="00C65815" w:rsidRPr="0069535A" w:rsidRDefault="00C65815" w:rsidP="00C83EB1">
            <w:pPr>
              <w:rPr>
                <w:szCs w:val="24"/>
              </w:rPr>
            </w:pPr>
            <w:r w:rsidRPr="0069535A">
              <w:rPr>
                <w:rFonts w:ascii="Calibri" w:eastAsia="Calibri" w:hAnsi="Calibri" w:cs="Calibri"/>
                <w:color w:val="000000" w:themeColor="text1"/>
                <w:szCs w:val="24"/>
              </w:rPr>
              <w:t>Public Health Services Directorate</w:t>
            </w:r>
          </w:p>
        </w:tc>
        <w:tc>
          <w:tcPr>
            <w:tcW w:w="1553" w:type="dxa"/>
            <w:tcBorders>
              <w:top w:val="nil"/>
              <w:left w:val="single" w:sz="4" w:space="0" w:color="auto"/>
              <w:bottom w:val="nil"/>
              <w:right w:val="single" w:sz="4" w:space="0" w:color="auto"/>
            </w:tcBorders>
          </w:tcPr>
          <w:p w:rsidR="00C65815" w:rsidRPr="0069535A" w:rsidRDefault="00C65815" w:rsidP="007067F5">
            <w:pPr>
              <w:jc w:val="right"/>
              <w:rPr>
                <w:szCs w:val="24"/>
              </w:rPr>
            </w:pPr>
            <w:r w:rsidRPr="0069535A">
              <w:rPr>
                <w:rFonts w:ascii="Calibri" w:eastAsia="Calibri" w:hAnsi="Calibri" w:cs="Calibri"/>
                <w:color w:val="000000" w:themeColor="text1"/>
                <w:szCs w:val="24"/>
              </w:rPr>
              <w:t>449</w:t>
            </w:r>
          </w:p>
        </w:tc>
        <w:tc>
          <w:tcPr>
            <w:tcW w:w="1290" w:type="dxa"/>
            <w:tcBorders>
              <w:top w:val="nil"/>
              <w:left w:val="single" w:sz="4" w:space="0" w:color="auto"/>
              <w:bottom w:val="nil"/>
              <w:right w:val="single" w:sz="4" w:space="0" w:color="auto"/>
            </w:tcBorders>
          </w:tcPr>
          <w:p w:rsidR="00C65815" w:rsidRPr="0069535A" w:rsidRDefault="00C65815" w:rsidP="007067F5">
            <w:pPr>
              <w:jc w:val="right"/>
              <w:rPr>
                <w:szCs w:val="24"/>
              </w:rPr>
            </w:pPr>
            <w:r w:rsidRPr="0069535A">
              <w:rPr>
                <w:rFonts w:ascii="Calibri" w:eastAsia="Calibri" w:hAnsi="Calibri" w:cs="Calibri"/>
                <w:color w:val="000000" w:themeColor="text1"/>
                <w:szCs w:val="24"/>
              </w:rPr>
              <w:t>127</w:t>
            </w:r>
          </w:p>
        </w:tc>
        <w:tc>
          <w:tcPr>
            <w:tcW w:w="1170" w:type="dxa"/>
            <w:tcBorders>
              <w:top w:val="nil"/>
              <w:left w:val="single" w:sz="4" w:space="0" w:color="auto"/>
              <w:bottom w:val="nil"/>
              <w:right w:val="single" w:sz="4" w:space="0" w:color="auto"/>
            </w:tcBorders>
            <w:vAlign w:val="bottom"/>
          </w:tcPr>
          <w:p w:rsidR="00C65815" w:rsidRPr="0069535A" w:rsidRDefault="00C65815" w:rsidP="007067F5">
            <w:pPr>
              <w:jc w:val="right"/>
              <w:rPr>
                <w:szCs w:val="24"/>
              </w:rPr>
            </w:pPr>
            <w:r w:rsidRPr="0069535A">
              <w:rPr>
                <w:rFonts w:ascii="Calibri" w:eastAsia="Calibri" w:hAnsi="Calibri" w:cs="Calibri"/>
                <w:color w:val="000000" w:themeColor="text1"/>
                <w:szCs w:val="24"/>
              </w:rPr>
              <w:t>576</w:t>
            </w:r>
          </w:p>
        </w:tc>
      </w:tr>
      <w:tr w:rsidR="00C65815" w:rsidRPr="0069535A" w:rsidTr="00E417B9">
        <w:trPr>
          <w:trHeight w:val="285"/>
        </w:trPr>
        <w:tc>
          <w:tcPr>
            <w:tcW w:w="4962" w:type="dxa"/>
            <w:tcBorders>
              <w:top w:val="nil"/>
              <w:left w:val="single" w:sz="4" w:space="0" w:color="auto"/>
              <w:bottom w:val="nil"/>
              <w:right w:val="single" w:sz="4" w:space="0" w:color="auto"/>
            </w:tcBorders>
            <w:vAlign w:val="bottom"/>
          </w:tcPr>
          <w:p w:rsidR="00C65815" w:rsidRPr="0069535A" w:rsidRDefault="00C65815" w:rsidP="00C83EB1">
            <w:pPr>
              <w:rPr>
                <w:szCs w:val="24"/>
              </w:rPr>
            </w:pPr>
            <w:r w:rsidRPr="0069535A">
              <w:rPr>
                <w:rFonts w:ascii="Calibri" w:eastAsia="Calibri" w:hAnsi="Calibri" w:cs="Calibri"/>
                <w:color w:val="000000" w:themeColor="text1"/>
                <w:szCs w:val="24"/>
              </w:rPr>
              <w:t>Quality Nursing &amp; Allied Health Professionals</w:t>
            </w:r>
          </w:p>
        </w:tc>
        <w:tc>
          <w:tcPr>
            <w:tcW w:w="1553" w:type="dxa"/>
            <w:tcBorders>
              <w:top w:val="nil"/>
              <w:left w:val="single" w:sz="4" w:space="0" w:color="auto"/>
              <w:bottom w:val="nil"/>
              <w:right w:val="single" w:sz="4" w:space="0" w:color="auto"/>
            </w:tcBorders>
          </w:tcPr>
          <w:p w:rsidR="00C65815" w:rsidRPr="0069535A" w:rsidRDefault="00C65815" w:rsidP="007067F5">
            <w:pPr>
              <w:jc w:val="right"/>
              <w:rPr>
                <w:szCs w:val="24"/>
              </w:rPr>
            </w:pPr>
            <w:r w:rsidRPr="0069535A">
              <w:rPr>
                <w:rFonts w:ascii="Calibri" w:eastAsia="Calibri" w:hAnsi="Calibri" w:cs="Calibri"/>
                <w:color w:val="000000" w:themeColor="text1"/>
                <w:szCs w:val="24"/>
              </w:rPr>
              <w:t>66</w:t>
            </w:r>
          </w:p>
        </w:tc>
        <w:tc>
          <w:tcPr>
            <w:tcW w:w="1290" w:type="dxa"/>
            <w:tcBorders>
              <w:top w:val="nil"/>
              <w:left w:val="single" w:sz="4" w:space="0" w:color="auto"/>
              <w:bottom w:val="nil"/>
              <w:right w:val="single" w:sz="4" w:space="0" w:color="auto"/>
            </w:tcBorders>
          </w:tcPr>
          <w:p w:rsidR="00C65815" w:rsidRPr="0069535A" w:rsidRDefault="00C65815" w:rsidP="007067F5">
            <w:pPr>
              <w:jc w:val="right"/>
              <w:rPr>
                <w:szCs w:val="24"/>
              </w:rPr>
            </w:pPr>
            <w:r w:rsidRPr="0069535A">
              <w:rPr>
                <w:rFonts w:ascii="Calibri" w:eastAsia="Calibri" w:hAnsi="Calibri" w:cs="Calibri"/>
                <w:color w:val="000000" w:themeColor="text1"/>
                <w:szCs w:val="24"/>
              </w:rPr>
              <w:t>4</w:t>
            </w:r>
          </w:p>
        </w:tc>
        <w:tc>
          <w:tcPr>
            <w:tcW w:w="1170" w:type="dxa"/>
            <w:tcBorders>
              <w:top w:val="nil"/>
              <w:left w:val="single" w:sz="4" w:space="0" w:color="auto"/>
              <w:bottom w:val="nil"/>
              <w:right w:val="single" w:sz="4" w:space="0" w:color="auto"/>
            </w:tcBorders>
            <w:vAlign w:val="bottom"/>
          </w:tcPr>
          <w:p w:rsidR="00C65815" w:rsidRPr="0069535A" w:rsidRDefault="00C65815" w:rsidP="007067F5">
            <w:pPr>
              <w:jc w:val="right"/>
              <w:rPr>
                <w:szCs w:val="24"/>
              </w:rPr>
            </w:pPr>
            <w:r w:rsidRPr="0069535A">
              <w:rPr>
                <w:rFonts w:ascii="Calibri" w:eastAsia="Calibri" w:hAnsi="Calibri" w:cs="Calibri"/>
                <w:color w:val="000000" w:themeColor="text1"/>
                <w:szCs w:val="24"/>
              </w:rPr>
              <w:t>70</w:t>
            </w:r>
          </w:p>
        </w:tc>
      </w:tr>
      <w:tr w:rsidR="00C65815" w:rsidRPr="0069535A" w:rsidTr="00E417B9">
        <w:trPr>
          <w:trHeight w:val="285"/>
        </w:trPr>
        <w:tc>
          <w:tcPr>
            <w:tcW w:w="4962" w:type="dxa"/>
            <w:tcBorders>
              <w:top w:val="nil"/>
              <w:left w:val="single" w:sz="4" w:space="0" w:color="auto"/>
              <w:bottom w:val="single" w:sz="4" w:space="0" w:color="auto"/>
              <w:right w:val="single" w:sz="4" w:space="0" w:color="auto"/>
            </w:tcBorders>
            <w:vAlign w:val="bottom"/>
          </w:tcPr>
          <w:p w:rsidR="00C65815" w:rsidRPr="0069535A" w:rsidRDefault="00C65815" w:rsidP="00C83EB1">
            <w:pPr>
              <w:rPr>
                <w:szCs w:val="24"/>
              </w:rPr>
            </w:pPr>
            <w:r w:rsidRPr="0069535A">
              <w:rPr>
                <w:rFonts w:ascii="Calibri" w:eastAsia="Calibri" w:hAnsi="Calibri" w:cs="Calibri"/>
                <w:color w:val="000000" w:themeColor="text1"/>
                <w:szCs w:val="24"/>
              </w:rPr>
              <w:t>WHO Collaborating Centre</w:t>
            </w:r>
          </w:p>
        </w:tc>
        <w:tc>
          <w:tcPr>
            <w:tcW w:w="1553" w:type="dxa"/>
            <w:tcBorders>
              <w:top w:val="nil"/>
              <w:left w:val="single" w:sz="4" w:space="0" w:color="auto"/>
              <w:bottom w:val="single" w:sz="4" w:space="0" w:color="auto"/>
              <w:right w:val="single" w:sz="4" w:space="0" w:color="auto"/>
            </w:tcBorders>
          </w:tcPr>
          <w:p w:rsidR="00C65815" w:rsidRPr="0069535A" w:rsidRDefault="00C65815" w:rsidP="007067F5">
            <w:pPr>
              <w:jc w:val="right"/>
              <w:rPr>
                <w:szCs w:val="24"/>
              </w:rPr>
            </w:pPr>
            <w:r w:rsidRPr="0069535A">
              <w:rPr>
                <w:rFonts w:ascii="Calibri" w:eastAsia="Calibri" w:hAnsi="Calibri" w:cs="Calibri"/>
                <w:color w:val="000000" w:themeColor="text1"/>
                <w:szCs w:val="24"/>
              </w:rPr>
              <w:t>39</w:t>
            </w:r>
          </w:p>
        </w:tc>
        <w:tc>
          <w:tcPr>
            <w:tcW w:w="1290" w:type="dxa"/>
            <w:tcBorders>
              <w:top w:val="nil"/>
              <w:left w:val="single" w:sz="4" w:space="0" w:color="auto"/>
              <w:bottom w:val="single" w:sz="4" w:space="0" w:color="auto"/>
              <w:right w:val="single" w:sz="4" w:space="0" w:color="auto"/>
            </w:tcBorders>
          </w:tcPr>
          <w:p w:rsidR="00C65815" w:rsidRPr="0069535A" w:rsidRDefault="00C65815" w:rsidP="007067F5">
            <w:pPr>
              <w:jc w:val="right"/>
              <w:rPr>
                <w:szCs w:val="24"/>
              </w:rPr>
            </w:pPr>
            <w:r w:rsidRPr="0069535A">
              <w:rPr>
                <w:rFonts w:ascii="Calibri" w:eastAsia="Calibri" w:hAnsi="Calibri" w:cs="Calibri"/>
                <w:color w:val="000000" w:themeColor="text1"/>
                <w:szCs w:val="24"/>
              </w:rPr>
              <w:t>9</w:t>
            </w:r>
          </w:p>
        </w:tc>
        <w:tc>
          <w:tcPr>
            <w:tcW w:w="1170" w:type="dxa"/>
            <w:tcBorders>
              <w:top w:val="nil"/>
              <w:left w:val="single" w:sz="4" w:space="0" w:color="auto"/>
              <w:bottom w:val="single" w:sz="4" w:space="0" w:color="auto"/>
              <w:right w:val="single" w:sz="4" w:space="0" w:color="auto"/>
            </w:tcBorders>
            <w:vAlign w:val="bottom"/>
          </w:tcPr>
          <w:p w:rsidR="00C65815" w:rsidRPr="0069535A" w:rsidRDefault="00C65815" w:rsidP="007067F5">
            <w:pPr>
              <w:jc w:val="right"/>
              <w:rPr>
                <w:szCs w:val="24"/>
              </w:rPr>
            </w:pPr>
            <w:r w:rsidRPr="0069535A">
              <w:rPr>
                <w:rFonts w:ascii="Calibri" w:eastAsia="Calibri" w:hAnsi="Calibri" w:cs="Calibri"/>
                <w:color w:val="000000" w:themeColor="text1"/>
                <w:szCs w:val="24"/>
              </w:rPr>
              <w:t>48</w:t>
            </w:r>
          </w:p>
        </w:tc>
      </w:tr>
      <w:tr w:rsidR="00C65815" w:rsidRPr="0069535A" w:rsidTr="00E417B9">
        <w:trPr>
          <w:trHeight w:val="285"/>
        </w:trPr>
        <w:tc>
          <w:tcPr>
            <w:tcW w:w="4962" w:type="dxa"/>
            <w:tcBorders>
              <w:top w:val="single" w:sz="4" w:space="0" w:color="auto"/>
              <w:left w:val="single" w:sz="4" w:space="0" w:color="auto"/>
              <w:bottom w:val="single" w:sz="4" w:space="0" w:color="auto"/>
              <w:right w:val="single" w:sz="4" w:space="0" w:color="auto"/>
            </w:tcBorders>
            <w:shd w:val="clear" w:color="auto" w:fill="4F81BD" w:themeFill="accent1"/>
            <w:vAlign w:val="bottom"/>
          </w:tcPr>
          <w:p w:rsidR="00C65815" w:rsidRPr="0069535A" w:rsidRDefault="00C65815" w:rsidP="00C83EB1">
            <w:pPr>
              <w:rPr>
                <w:color w:val="FFFFFF" w:themeColor="background1"/>
                <w:szCs w:val="24"/>
              </w:rPr>
            </w:pPr>
            <w:r w:rsidRPr="0069535A">
              <w:rPr>
                <w:rFonts w:ascii="Calibri" w:eastAsia="Calibri" w:hAnsi="Calibri" w:cs="Calibri"/>
                <w:b/>
                <w:bCs/>
                <w:color w:val="FFFFFF" w:themeColor="background1"/>
                <w:szCs w:val="24"/>
              </w:rPr>
              <w:t>Grand Total</w:t>
            </w:r>
          </w:p>
        </w:tc>
        <w:tc>
          <w:tcPr>
            <w:tcW w:w="1553" w:type="dxa"/>
            <w:tcBorders>
              <w:top w:val="single" w:sz="4" w:space="0" w:color="auto"/>
              <w:left w:val="single" w:sz="4" w:space="0" w:color="auto"/>
              <w:bottom w:val="single" w:sz="4" w:space="0" w:color="auto"/>
              <w:right w:val="single" w:sz="4" w:space="0" w:color="auto"/>
            </w:tcBorders>
            <w:shd w:val="clear" w:color="auto" w:fill="4F81BD" w:themeFill="accent1"/>
            <w:vAlign w:val="bottom"/>
          </w:tcPr>
          <w:p w:rsidR="00C65815" w:rsidRPr="0069535A" w:rsidRDefault="00C65815" w:rsidP="007067F5">
            <w:pPr>
              <w:jc w:val="right"/>
              <w:rPr>
                <w:color w:val="FFFFFF" w:themeColor="background1"/>
                <w:szCs w:val="24"/>
              </w:rPr>
            </w:pPr>
            <w:r w:rsidRPr="0069535A">
              <w:rPr>
                <w:rFonts w:ascii="Calibri" w:eastAsia="Calibri" w:hAnsi="Calibri" w:cs="Calibri"/>
                <w:b/>
                <w:bCs/>
                <w:color w:val="FFFFFF" w:themeColor="background1"/>
                <w:szCs w:val="24"/>
              </w:rPr>
              <w:t>900</w:t>
            </w:r>
          </w:p>
        </w:tc>
        <w:tc>
          <w:tcPr>
            <w:tcW w:w="1290" w:type="dxa"/>
            <w:tcBorders>
              <w:top w:val="single" w:sz="4" w:space="0" w:color="auto"/>
              <w:left w:val="single" w:sz="4" w:space="0" w:color="auto"/>
              <w:bottom w:val="single" w:sz="4" w:space="0" w:color="auto"/>
              <w:right w:val="single" w:sz="4" w:space="0" w:color="auto"/>
            </w:tcBorders>
            <w:shd w:val="clear" w:color="auto" w:fill="4F81BD" w:themeFill="accent1"/>
            <w:vAlign w:val="bottom"/>
          </w:tcPr>
          <w:p w:rsidR="00C65815" w:rsidRPr="0069535A" w:rsidRDefault="00C65815" w:rsidP="007067F5">
            <w:pPr>
              <w:jc w:val="right"/>
              <w:rPr>
                <w:color w:val="FFFFFF" w:themeColor="background1"/>
                <w:szCs w:val="24"/>
              </w:rPr>
            </w:pPr>
            <w:r w:rsidRPr="0069535A">
              <w:rPr>
                <w:rFonts w:ascii="Calibri" w:eastAsia="Calibri" w:hAnsi="Calibri" w:cs="Calibri"/>
                <w:b/>
                <w:bCs/>
                <w:color w:val="FFFFFF" w:themeColor="background1"/>
                <w:szCs w:val="24"/>
              </w:rPr>
              <w:t>247</w:t>
            </w:r>
          </w:p>
        </w:tc>
        <w:tc>
          <w:tcPr>
            <w:tcW w:w="1170" w:type="dxa"/>
            <w:tcBorders>
              <w:top w:val="single" w:sz="4" w:space="0" w:color="auto"/>
              <w:left w:val="single" w:sz="4" w:space="0" w:color="auto"/>
              <w:bottom w:val="single" w:sz="4" w:space="0" w:color="auto"/>
              <w:right w:val="single" w:sz="4" w:space="0" w:color="auto"/>
            </w:tcBorders>
            <w:shd w:val="clear" w:color="auto" w:fill="4F81BD" w:themeFill="accent1"/>
            <w:vAlign w:val="bottom"/>
          </w:tcPr>
          <w:p w:rsidR="00C65815" w:rsidRPr="0069535A" w:rsidRDefault="00C65815" w:rsidP="007067F5">
            <w:pPr>
              <w:jc w:val="right"/>
              <w:rPr>
                <w:color w:val="FFFFFF" w:themeColor="background1"/>
                <w:szCs w:val="24"/>
              </w:rPr>
            </w:pPr>
            <w:r w:rsidRPr="0069535A">
              <w:rPr>
                <w:rFonts w:ascii="Calibri" w:eastAsia="Calibri" w:hAnsi="Calibri" w:cs="Calibri"/>
                <w:b/>
                <w:bCs/>
                <w:color w:val="FFFFFF" w:themeColor="background1"/>
                <w:szCs w:val="24"/>
              </w:rPr>
              <w:t>1,148</w:t>
            </w:r>
          </w:p>
        </w:tc>
      </w:tr>
    </w:tbl>
    <w:p w:rsidR="00C65815" w:rsidRDefault="00C65815" w:rsidP="00C65815"/>
    <w:p w:rsidR="00E417B9" w:rsidRDefault="00E417B9" w:rsidP="007067F5">
      <w:pPr>
        <w:jc w:val="both"/>
        <w:rPr>
          <w:rFonts w:cstheme="minorHAnsi"/>
          <w:szCs w:val="24"/>
        </w:rPr>
      </w:pPr>
    </w:p>
    <w:p w:rsidR="00E417B9" w:rsidRPr="00E417B9" w:rsidRDefault="00E417B9" w:rsidP="00E417B9">
      <w:pPr>
        <w:pStyle w:val="ListParagraph"/>
        <w:numPr>
          <w:ilvl w:val="0"/>
          <w:numId w:val="27"/>
        </w:numPr>
        <w:jc w:val="both"/>
        <w:rPr>
          <w:rFonts w:eastAsia="Times New Roman" w:cstheme="minorHAnsi"/>
          <w:szCs w:val="24"/>
        </w:rPr>
      </w:pPr>
      <w:r w:rsidRPr="00E417B9">
        <w:rPr>
          <w:rFonts w:eastAsia="Times New Roman" w:cstheme="minorHAnsi"/>
          <w:szCs w:val="24"/>
        </w:rPr>
        <w:t>For 2021</w:t>
      </w:r>
      <w:r w:rsidR="0069535A">
        <w:rPr>
          <w:rFonts w:eastAsia="Times New Roman" w:cstheme="minorHAnsi"/>
          <w:szCs w:val="24"/>
        </w:rPr>
        <w:t>/</w:t>
      </w:r>
      <w:r w:rsidRPr="00E417B9">
        <w:rPr>
          <w:rFonts w:eastAsia="Times New Roman" w:cstheme="minorHAnsi"/>
          <w:szCs w:val="24"/>
        </w:rPr>
        <w:t xml:space="preserve">22 the </w:t>
      </w:r>
      <w:r w:rsidR="00AD4511">
        <w:rPr>
          <w:rFonts w:eastAsia="Times New Roman" w:cstheme="minorHAnsi"/>
          <w:szCs w:val="24"/>
        </w:rPr>
        <w:t xml:space="preserve">forecast </w:t>
      </w:r>
      <w:r w:rsidRPr="00E417B9">
        <w:rPr>
          <w:rFonts w:eastAsia="Times New Roman" w:cstheme="minorHAnsi"/>
          <w:szCs w:val="24"/>
        </w:rPr>
        <w:t xml:space="preserve">cost pressure of the North Wales locum microbiology consultants would be addressed through non-recurrent funding. This would allow the Directorate </w:t>
      </w:r>
      <w:r w:rsidR="00AD4511">
        <w:rPr>
          <w:rFonts w:eastAsia="Times New Roman" w:cstheme="minorHAnsi"/>
          <w:szCs w:val="24"/>
        </w:rPr>
        <w:t xml:space="preserve">2021/22 </w:t>
      </w:r>
      <w:r w:rsidR="00E27EE7">
        <w:rPr>
          <w:rFonts w:eastAsia="Times New Roman" w:cstheme="minorHAnsi"/>
          <w:szCs w:val="24"/>
        </w:rPr>
        <w:t>to develop a</w:t>
      </w:r>
      <w:r w:rsidRPr="00E417B9">
        <w:rPr>
          <w:rFonts w:eastAsia="Times New Roman" w:cstheme="minorHAnsi"/>
          <w:szCs w:val="24"/>
        </w:rPr>
        <w:t xml:space="preserve"> sustainable plan within the recurrent budget envelope.</w:t>
      </w:r>
    </w:p>
    <w:p w:rsidR="00E417B9" w:rsidRPr="00E417B9" w:rsidRDefault="00E417B9" w:rsidP="00E417B9">
      <w:pPr>
        <w:rPr>
          <w:rFonts w:eastAsia="Times New Roman" w:cstheme="minorHAnsi"/>
          <w:szCs w:val="24"/>
        </w:rPr>
      </w:pPr>
    </w:p>
    <w:p w:rsidR="00E417B9" w:rsidRPr="00AD4511" w:rsidRDefault="00E417B9" w:rsidP="00AD4511">
      <w:pPr>
        <w:pStyle w:val="ListParagraph"/>
        <w:numPr>
          <w:ilvl w:val="0"/>
          <w:numId w:val="27"/>
        </w:numPr>
        <w:jc w:val="both"/>
        <w:rPr>
          <w:rFonts w:eastAsia="Times New Roman" w:cstheme="minorHAnsi"/>
          <w:szCs w:val="24"/>
        </w:rPr>
      </w:pPr>
      <w:r w:rsidRPr="00AD4511">
        <w:rPr>
          <w:rFonts w:eastAsia="Times New Roman" w:cstheme="minorHAnsi"/>
          <w:szCs w:val="24"/>
        </w:rPr>
        <w:t>In order to develop a 2021</w:t>
      </w:r>
      <w:r w:rsidR="0069535A">
        <w:rPr>
          <w:rFonts w:eastAsia="Times New Roman" w:cstheme="minorHAnsi"/>
          <w:szCs w:val="24"/>
        </w:rPr>
        <w:t>/</w:t>
      </w:r>
      <w:r w:rsidRPr="00AD4511">
        <w:rPr>
          <w:rFonts w:eastAsia="Times New Roman" w:cstheme="minorHAnsi"/>
          <w:szCs w:val="24"/>
        </w:rPr>
        <w:t>22 internal investment fund a review of time limited investments was carr</w:t>
      </w:r>
      <w:r w:rsidR="00AD4511">
        <w:rPr>
          <w:rFonts w:eastAsia="Times New Roman" w:cstheme="minorHAnsi"/>
          <w:szCs w:val="24"/>
        </w:rPr>
        <w:t xml:space="preserve">ied out, along with reviewing commitments made </w:t>
      </w:r>
      <w:r w:rsidRPr="00AD4511">
        <w:rPr>
          <w:rFonts w:eastAsia="Times New Roman" w:cstheme="minorHAnsi"/>
          <w:szCs w:val="24"/>
        </w:rPr>
        <w:t>from 2019</w:t>
      </w:r>
      <w:r w:rsidR="0069535A">
        <w:rPr>
          <w:rFonts w:eastAsia="Times New Roman" w:cstheme="minorHAnsi"/>
          <w:szCs w:val="24"/>
        </w:rPr>
        <w:t>/</w:t>
      </w:r>
      <w:r w:rsidRPr="00AD4511">
        <w:rPr>
          <w:rFonts w:eastAsia="Times New Roman" w:cstheme="minorHAnsi"/>
          <w:szCs w:val="24"/>
        </w:rPr>
        <w:t xml:space="preserve">20 </w:t>
      </w:r>
      <w:r w:rsidR="00AD4511">
        <w:rPr>
          <w:rFonts w:eastAsia="Times New Roman" w:cstheme="minorHAnsi"/>
          <w:szCs w:val="24"/>
        </w:rPr>
        <w:t>and 2020</w:t>
      </w:r>
      <w:r w:rsidR="0069535A">
        <w:rPr>
          <w:rFonts w:eastAsia="Times New Roman" w:cstheme="minorHAnsi"/>
          <w:szCs w:val="24"/>
        </w:rPr>
        <w:t>/</w:t>
      </w:r>
      <w:r w:rsidR="00AD4511">
        <w:rPr>
          <w:rFonts w:eastAsia="Times New Roman" w:cstheme="minorHAnsi"/>
          <w:szCs w:val="24"/>
        </w:rPr>
        <w:t xml:space="preserve">21 </w:t>
      </w:r>
      <w:r w:rsidRPr="00AD4511">
        <w:rPr>
          <w:rFonts w:eastAsia="Times New Roman" w:cstheme="minorHAnsi"/>
          <w:szCs w:val="24"/>
        </w:rPr>
        <w:t>that had not been drawn down.  This exercise concluded, and the surplus identified included within the 2021</w:t>
      </w:r>
      <w:r w:rsidR="0069535A">
        <w:rPr>
          <w:rFonts w:eastAsia="Times New Roman" w:cstheme="minorHAnsi"/>
          <w:szCs w:val="24"/>
        </w:rPr>
        <w:t>/</w:t>
      </w:r>
      <w:r w:rsidRPr="00AD4511">
        <w:rPr>
          <w:rFonts w:eastAsia="Times New Roman" w:cstheme="minorHAnsi"/>
          <w:szCs w:val="24"/>
        </w:rPr>
        <w:t xml:space="preserve">22 investment fund for allocation. </w:t>
      </w:r>
    </w:p>
    <w:p w:rsidR="00E417B9" w:rsidRDefault="00E417B9" w:rsidP="00E417B9">
      <w:pPr>
        <w:jc w:val="both"/>
        <w:rPr>
          <w:rFonts w:eastAsia="Times New Roman" w:cstheme="minorHAnsi"/>
          <w:szCs w:val="24"/>
        </w:rPr>
      </w:pPr>
    </w:p>
    <w:p w:rsidR="0069535A" w:rsidRDefault="0069535A" w:rsidP="00E417B9">
      <w:pPr>
        <w:jc w:val="both"/>
        <w:rPr>
          <w:rFonts w:eastAsia="Times New Roman" w:cstheme="minorHAnsi"/>
          <w:szCs w:val="24"/>
        </w:rPr>
      </w:pPr>
    </w:p>
    <w:p w:rsidR="0069535A" w:rsidRDefault="0069535A" w:rsidP="00E417B9">
      <w:pPr>
        <w:jc w:val="both"/>
        <w:rPr>
          <w:rFonts w:eastAsia="Times New Roman" w:cstheme="minorHAnsi"/>
          <w:szCs w:val="24"/>
        </w:rPr>
      </w:pPr>
    </w:p>
    <w:p w:rsidR="0069535A" w:rsidRDefault="0069535A" w:rsidP="00E417B9">
      <w:pPr>
        <w:jc w:val="both"/>
        <w:rPr>
          <w:rFonts w:eastAsia="Times New Roman" w:cstheme="minorHAnsi"/>
          <w:szCs w:val="24"/>
        </w:rPr>
      </w:pPr>
    </w:p>
    <w:p w:rsidR="0069535A" w:rsidRDefault="0069535A" w:rsidP="00E417B9">
      <w:pPr>
        <w:jc w:val="both"/>
        <w:rPr>
          <w:rFonts w:eastAsia="Times New Roman" w:cstheme="minorHAnsi"/>
          <w:szCs w:val="24"/>
        </w:rPr>
      </w:pPr>
    </w:p>
    <w:p w:rsidR="0069535A" w:rsidRDefault="0069535A" w:rsidP="00E417B9">
      <w:pPr>
        <w:jc w:val="both"/>
        <w:rPr>
          <w:rFonts w:eastAsia="Times New Roman" w:cstheme="minorHAnsi"/>
          <w:szCs w:val="24"/>
        </w:rPr>
      </w:pPr>
    </w:p>
    <w:p w:rsidR="00E417B9" w:rsidRPr="00E417B9" w:rsidRDefault="008D68E9" w:rsidP="00E417B9">
      <w:pPr>
        <w:jc w:val="both"/>
        <w:rPr>
          <w:rFonts w:eastAsia="Times New Roman" w:cstheme="minorHAnsi"/>
          <w:szCs w:val="24"/>
        </w:rPr>
      </w:pPr>
      <w:r>
        <w:rPr>
          <w:rFonts w:eastAsia="Times New Roman" w:cstheme="minorHAnsi"/>
          <w:szCs w:val="24"/>
        </w:rPr>
        <w:lastRenderedPageBreak/>
        <w:t xml:space="preserve">A summary of the internal investment fund generated is shown in </w:t>
      </w:r>
      <w:r w:rsidRPr="008D68E9">
        <w:rPr>
          <w:rFonts w:eastAsia="Times New Roman" w:cstheme="minorHAnsi"/>
          <w:b/>
          <w:szCs w:val="24"/>
        </w:rPr>
        <w:t xml:space="preserve">Table </w:t>
      </w:r>
      <w:r w:rsidR="00C83EB1">
        <w:rPr>
          <w:rFonts w:eastAsia="Times New Roman" w:cstheme="minorHAnsi"/>
          <w:b/>
          <w:szCs w:val="24"/>
        </w:rPr>
        <w:t>6</w:t>
      </w:r>
      <w:r>
        <w:rPr>
          <w:rFonts w:eastAsia="Times New Roman" w:cstheme="minorHAnsi"/>
          <w:szCs w:val="24"/>
        </w:rPr>
        <w:t>:</w:t>
      </w:r>
    </w:p>
    <w:p w:rsidR="0069535A" w:rsidRPr="00E417B9" w:rsidRDefault="0069535A" w:rsidP="007067F5">
      <w:pPr>
        <w:jc w:val="both"/>
        <w:rPr>
          <w:rFonts w:cstheme="minorHAnsi"/>
          <w:szCs w:val="24"/>
        </w:rPr>
      </w:pPr>
    </w:p>
    <w:p w:rsidR="007067F5" w:rsidRPr="007067F5" w:rsidRDefault="007067F5" w:rsidP="007067F5">
      <w:pPr>
        <w:jc w:val="both"/>
        <w:rPr>
          <w:b/>
          <w:bCs/>
          <w:szCs w:val="24"/>
        </w:rPr>
      </w:pPr>
      <w:r w:rsidRPr="007067F5">
        <w:rPr>
          <w:b/>
          <w:bCs/>
          <w:szCs w:val="24"/>
        </w:rPr>
        <w:t xml:space="preserve">Table </w:t>
      </w:r>
      <w:r w:rsidR="00C83EB1">
        <w:rPr>
          <w:b/>
          <w:bCs/>
          <w:szCs w:val="24"/>
        </w:rPr>
        <w:t>6</w:t>
      </w:r>
    </w:p>
    <w:tbl>
      <w:tblPr>
        <w:tblW w:w="0" w:type="auto"/>
        <w:tblLayout w:type="fixed"/>
        <w:tblLook w:val="04A0" w:firstRow="1" w:lastRow="0" w:firstColumn="1" w:lastColumn="0" w:noHBand="0" w:noVBand="1"/>
      </w:tblPr>
      <w:tblGrid>
        <w:gridCol w:w="7125"/>
        <w:gridCol w:w="1801"/>
      </w:tblGrid>
      <w:tr w:rsidR="007067F5" w:rsidTr="00E417B9">
        <w:trPr>
          <w:trHeight w:val="315"/>
        </w:trPr>
        <w:tc>
          <w:tcPr>
            <w:tcW w:w="7125" w:type="dxa"/>
            <w:tcBorders>
              <w:top w:val="single" w:sz="4" w:space="0" w:color="auto"/>
              <w:left w:val="single" w:sz="4" w:space="0" w:color="auto"/>
              <w:bottom w:val="single" w:sz="8" w:space="0" w:color="auto"/>
              <w:right w:val="nil"/>
            </w:tcBorders>
            <w:shd w:val="clear" w:color="auto" w:fill="4F81BD" w:themeFill="accent1"/>
            <w:vAlign w:val="center"/>
          </w:tcPr>
          <w:p w:rsidR="007067F5" w:rsidRPr="00E417B9" w:rsidRDefault="007067F5" w:rsidP="00C83EB1">
            <w:pPr>
              <w:rPr>
                <w:rFonts w:asciiTheme="minorHAnsi" w:hAnsiTheme="minorHAnsi" w:cstheme="minorHAnsi"/>
                <w:color w:val="FFFFFF" w:themeColor="background1"/>
              </w:rPr>
            </w:pPr>
            <w:r w:rsidRPr="00E417B9">
              <w:rPr>
                <w:rFonts w:asciiTheme="minorHAnsi" w:eastAsia="Arial" w:hAnsiTheme="minorHAnsi" w:cstheme="minorHAnsi"/>
                <w:b/>
                <w:bCs/>
                <w:color w:val="FFFFFF" w:themeColor="background1"/>
                <w:szCs w:val="24"/>
              </w:rPr>
              <w:t>Internal Investment Fund Generated</w:t>
            </w:r>
            <w:r w:rsidRPr="00E417B9">
              <w:rPr>
                <w:rFonts w:asciiTheme="minorHAnsi" w:eastAsia="Arial" w:hAnsiTheme="minorHAnsi" w:cstheme="minorHAnsi"/>
                <w:color w:val="FFFFFF" w:themeColor="background1"/>
                <w:szCs w:val="24"/>
              </w:rPr>
              <w:t xml:space="preserve"> </w:t>
            </w:r>
          </w:p>
        </w:tc>
        <w:tc>
          <w:tcPr>
            <w:tcW w:w="1801" w:type="dxa"/>
            <w:tcBorders>
              <w:top w:val="single" w:sz="4" w:space="0" w:color="000000" w:themeColor="text1"/>
              <w:left w:val="nil"/>
              <w:bottom w:val="single" w:sz="8" w:space="0" w:color="000000" w:themeColor="text1"/>
              <w:right w:val="single" w:sz="4" w:space="0" w:color="000000" w:themeColor="text1"/>
            </w:tcBorders>
            <w:shd w:val="clear" w:color="auto" w:fill="4F81BD" w:themeFill="accent1"/>
            <w:vAlign w:val="center"/>
          </w:tcPr>
          <w:p w:rsidR="007067F5" w:rsidRPr="00E417B9" w:rsidRDefault="007067F5" w:rsidP="00C83EB1">
            <w:pPr>
              <w:jc w:val="center"/>
              <w:rPr>
                <w:rFonts w:asciiTheme="minorHAnsi" w:hAnsiTheme="minorHAnsi" w:cstheme="minorHAnsi"/>
                <w:color w:val="FFFFFF" w:themeColor="background1"/>
              </w:rPr>
            </w:pPr>
            <w:r w:rsidRPr="00E417B9">
              <w:rPr>
                <w:rFonts w:asciiTheme="minorHAnsi" w:eastAsia="Arial" w:hAnsiTheme="minorHAnsi" w:cstheme="minorHAnsi"/>
                <w:b/>
                <w:bCs/>
                <w:color w:val="FFFFFF" w:themeColor="background1"/>
                <w:szCs w:val="24"/>
              </w:rPr>
              <w:t>£000's</w:t>
            </w:r>
            <w:r w:rsidRPr="00E417B9">
              <w:rPr>
                <w:rFonts w:asciiTheme="minorHAnsi" w:eastAsia="Arial" w:hAnsiTheme="minorHAnsi" w:cstheme="minorHAnsi"/>
                <w:color w:val="FFFFFF" w:themeColor="background1"/>
                <w:szCs w:val="24"/>
              </w:rPr>
              <w:t xml:space="preserve"> </w:t>
            </w:r>
          </w:p>
        </w:tc>
      </w:tr>
      <w:tr w:rsidR="007067F5" w:rsidTr="00E417B9">
        <w:trPr>
          <w:trHeight w:val="315"/>
        </w:trPr>
        <w:tc>
          <w:tcPr>
            <w:tcW w:w="7125" w:type="dxa"/>
            <w:tcBorders>
              <w:top w:val="single" w:sz="8" w:space="0" w:color="auto"/>
              <w:left w:val="single" w:sz="4" w:space="0" w:color="auto"/>
              <w:bottom w:val="nil"/>
              <w:right w:val="nil"/>
            </w:tcBorders>
            <w:vAlign w:val="center"/>
          </w:tcPr>
          <w:p w:rsidR="007067F5" w:rsidRPr="00E417B9" w:rsidRDefault="007067F5" w:rsidP="00C83EB1">
            <w:pPr>
              <w:rPr>
                <w:rFonts w:asciiTheme="minorHAnsi" w:hAnsiTheme="minorHAnsi" w:cstheme="minorHAnsi"/>
              </w:rPr>
            </w:pPr>
            <w:r w:rsidRPr="00E417B9">
              <w:rPr>
                <w:rFonts w:asciiTheme="minorHAnsi" w:eastAsia="Arial" w:hAnsiTheme="minorHAnsi" w:cstheme="minorHAnsi"/>
                <w:color w:val="000000" w:themeColor="text1"/>
                <w:szCs w:val="24"/>
              </w:rPr>
              <w:t xml:space="preserve">19/20 Investments – Unutilised to date </w:t>
            </w:r>
          </w:p>
        </w:tc>
        <w:tc>
          <w:tcPr>
            <w:tcW w:w="1801" w:type="dxa"/>
            <w:tcBorders>
              <w:top w:val="single" w:sz="8" w:space="0" w:color="000000" w:themeColor="text1"/>
              <w:left w:val="nil"/>
              <w:bottom w:val="nil"/>
              <w:right w:val="single" w:sz="4" w:space="0" w:color="000000" w:themeColor="text1"/>
            </w:tcBorders>
            <w:vAlign w:val="center"/>
          </w:tcPr>
          <w:p w:rsidR="007067F5" w:rsidRPr="00E417B9" w:rsidRDefault="007067F5" w:rsidP="00C83EB1">
            <w:pPr>
              <w:jc w:val="right"/>
              <w:rPr>
                <w:rFonts w:asciiTheme="minorHAnsi" w:hAnsiTheme="minorHAnsi" w:cstheme="minorHAnsi"/>
              </w:rPr>
            </w:pPr>
            <w:r w:rsidRPr="00E417B9">
              <w:rPr>
                <w:rFonts w:asciiTheme="minorHAnsi" w:eastAsia="Arial" w:hAnsiTheme="minorHAnsi" w:cstheme="minorHAnsi"/>
                <w:color w:val="000000" w:themeColor="text1"/>
                <w:szCs w:val="24"/>
              </w:rPr>
              <w:t>-604</w:t>
            </w:r>
          </w:p>
        </w:tc>
      </w:tr>
      <w:tr w:rsidR="007067F5" w:rsidTr="00E417B9">
        <w:trPr>
          <w:trHeight w:val="315"/>
        </w:trPr>
        <w:tc>
          <w:tcPr>
            <w:tcW w:w="7125" w:type="dxa"/>
            <w:tcBorders>
              <w:top w:val="nil"/>
              <w:left w:val="single" w:sz="4" w:space="0" w:color="auto"/>
              <w:bottom w:val="nil"/>
              <w:right w:val="nil"/>
            </w:tcBorders>
            <w:vAlign w:val="center"/>
          </w:tcPr>
          <w:p w:rsidR="007067F5" w:rsidRPr="00E417B9" w:rsidRDefault="007067F5" w:rsidP="00C83EB1">
            <w:pPr>
              <w:rPr>
                <w:rFonts w:asciiTheme="minorHAnsi" w:hAnsiTheme="minorHAnsi" w:cstheme="minorHAnsi"/>
              </w:rPr>
            </w:pPr>
            <w:r w:rsidRPr="00E417B9">
              <w:rPr>
                <w:rFonts w:asciiTheme="minorHAnsi" w:eastAsia="Arial" w:hAnsiTheme="minorHAnsi" w:cstheme="minorHAnsi"/>
                <w:color w:val="000000" w:themeColor="text1"/>
                <w:szCs w:val="24"/>
              </w:rPr>
              <w:t xml:space="preserve">19/20 Return of Time Limited Investments </w:t>
            </w:r>
          </w:p>
        </w:tc>
        <w:tc>
          <w:tcPr>
            <w:tcW w:w="1801" w:type="dxa"/>
            <w:tcBorders>
              <w:top w:val="nil"/>
              <w:left w:val="nil"/>
              <w:bottom w:val="nil"/>
              <w:right w:val="single" w:sz="4" w:space="0" w:color="000000" w:themeColor="text1"/>
            </w:tcBorders>
            <w:vAlign w:val="center"/>
          </w:tcPr>
          <w:p w:rsidR="007067F5" w:rsidRPr="00E417B9" w:rsidRDefault="007067F5" w:rsidP="00C83EB1">
            <w:pPr>
              <w:jc w:val="right"/>
              <w:rPr>
                <w:rFonts w:asciiTheme="minorHAnsi" w:hAnsiTheme="minorHAnsi" w:cstheme="minorHAnsi"/>
              </w:rPr>
            </w:pPr>
            <w:r w:rsidRPr="00E417B9">
              <w:rPr>
                <w:rFonts w:asciiTheme="minorHAnsi" w:eastAsia="Arial" w:hAnsiTheme="minorHAnsi" w:cstheme="minorHAnsi"/>
                <w:color w:val="000000" w:themeColor="text1"/>
                <w:szCs w:val="24"/>
              </w:rPr>
              <w:t>-230</w:t>
            </w:r>
          </w:p>
        </w:tc>
      </w:tr>
      <w:tr w:rsidR="007067F5" w:rsidTr="00E417B9">
        <w:trPr>
          <w:trHeight w:val="315"/>
        </w:trPr>
        <w:tc>
          <w:tcPr>
            <w:tcW w:w="7125" w:type="dxa"/>
            <w:tcBorders>
              <w:top w:val="nil"/>
              <w:left w:val="single" w:sz="4" w:space="0" w:color="auto"/>
              <w:bottom w:val="nil"/>
              <w:right w:val="nil"/>
            </w:tcBorders>
            <w:vAlign w:val="center"/>
          </w:tcPr>
          <w:p w:rsidR="007067F5" w:rsidRPr="00E417B9" w:rsidRDefault="007067F5" w:rsidP="00C83EB1">
            <w:pPr>
              <w:rPr>
                <w:rFonts w:asciiTheme="minorHAnsi" w:hAnsiTheme="minorHAnsi" w:cstheme="minorHAnsi"/>
              </w:rPr>
            </w:pPr>
            <w:r w:rsidRPr="00E417B9">
              <w:rPr>
                <w:rFonts w:asciiTheme="minorHAnsi" w:eastAsia="Arial" w:hAnsiTheme="minorHAnsi" w:cstheme="minorHAnsi"/>
                <w:color w:val="000000" w:themeColor="text1"/>
                <w:szCs w:val="24"/>
              </w:rPr>
              <w:t xml:space="preserve">21/22 Reduction in NP cost base in place of 1% CIP  </w:t>
            </w:r>
          </w:p>
        </w:tc>
        <w:tc>
          <w:tcPr>
            <w:tcW w:w="1801" w:type="dxa"/>
            <w:tcBorders>
              <w:top w:val="nil"/>
              <w:left w:val="nil"/>
              <w:bottom w:val="nil"/>
              <w:right w:val="single" w:sz="4" w:space="0" w:color="000000" w:themeColor="text1"/>
            </w:tcBorders>
            <w:vAlign w:val="center"/>
          </w:tcPr>
          <w:p w:rsidR="007067F5" w:rsidRPr="00E417B9" w:rsidRDefault="007067F5" w:rsidP="00C83EB1">
            <w:pPr>
              <w:jc w:val="right"/>
              <w:rPr>
                <w:rFonts w:asciiTheme="minorHAnsi" w:eastAsia="Arial" w:hAnsiTheme="minorHAnsi" w:cstheme="minorHAnsi"/>
                <w:szCs w:val="24"/>
              </w:rPr>
            </w:pPr>
            <w:r w:rsidRPr="00E417B9">
              <w:rPr>
                <w:rFonts w:asciiTheme="minorHAnsi" w:eastAsia="Arial" w:hAnsiTheme="minorHAnsi" w:cstheme="minorHAnsi"/>
                <w:szCs w:val="24"/>
              </w:rPr>
              <w:t>-1,148</w:t>
            </w:r>
          </w:p>
        </w:tc>
      </w:tr>
      <w:tr w:rsidR="007067F5" w:rsidTr="00E417B9">
        <w:trPr>
          <w:trHeight w:val="315"/>
        </w:trPr>
        <w:tc>
          <w:tcPr>
            <w:tcW w:w="7125" w:type="dxa"/>
            <w:tcBorders>
              <w:top w:val="single" w:sz="8" w:space="0" w:color="auto"/>
              <w:left w:val="single" w:sz="4" w:space="0" w:color="auto"/>
              <w:bottom w:val="single" w:sz="8" w:space="0" w:color="auto"/>
              <w:right w:val="nil"/>
            </w:tcBorders>
            <w:shd w:val="clear" w:color="auto" w:fill="4F81BD" w:themeFill="accent1"/>
            <w:vAlign w:val="center"/>
          </w:tcPr>
          <w:p w:rsidR="007067F5" w:rsidRPr="00E417B9" w:rsidRDefault="007067F5" w:rsidP="00C83EB1">
            <w:pPr>
              <w:rPr>
                <w:rFonts w:asciiTheme="minorHAnsi" w:hAnsiTheme="minorHAnsi" w:cstheme="minorHAnsi"/>
                <w:color w:val="FFFFFF" w:themeColor="background1"/>
              </w:rPr>
            </w:pPr>
            <w:r w:rsidRPr="00E417B9">
              <w:rPr>
                <w:rFonts w:asciiTheme="minorHAnsi" w:eastAsia="Arial" w:hAnsiTheme="minorHAnsi" w:cstheme="minorHAnsi"/>
                <w:b/>
                <w:bCs/>
                <w:color w:val="FFFFFF" w:themeColor="background1"/>
                <w:szCs w:val="24"/>
              </w:rPr>
              <w:t>Internal Investment Fund Generated Sub Total</w:t>
            </w:r>
            <w:r w:rsidRPr="00E417B9">
              <w:rPr>
                <w:rFonts w:asciiTheme="minorHAnsi" w:eastAsia="Arial" w:hAnsiTheme="minorHAnsi" w:cstheme="minorHAnsi"/>
                <w:color w:val="FFFFFF" w:themeColor="background1"/>
                <w:szCs w:val="24"/>
              </w:rPr>
              <w:t xml:space="preserve"> </w:t>
            </w:r>
          </w:p>
        </w:tc>
        <w:tc>
          <w:tcPr>
            <w:tcW w:w="1801" w:type="dxa"/>
            <w:tcBorders>
              <w:top w:val="single" w:sz="8" w:space="0" w:color="000000" w:themeColor="text1"/>
              <w:left w:val="nil"/>
              <w:bottom w:val="single" w:sz="8" w:space="0" w:color="000000" w:themeColor="text1"/>
              <w:right w:val="single" w:sz="4" w:space="0" w:color="000000" w:themeColor="text1"/>
            </w:tcBorders>
            <w:shd w:val="clear" w:color="auto" w:fill="4F81BD" w:themeFill="accent1"/>
            <w:vAlign w:val="center"/>
          </w:tcPr>
          <w:p w:rsidR="007067F5" w:rsidRPr="00E417B9" w:rsidRDefault="007067F5" w:rsidP="00C83EB1">
            <w:pPr>
              <w:jc w:val="right"/>
              <w:rPr>
                <w:rFonts w:asciiTheme="minorHAnsi" w:hAnsiTheme="minorHAnsi" w:cstheme="minorHAnsi"/>
                <w:color w:val="FFFFFF" w:themeColor="background1"/>
              </w:rPr>
            </w:pPr>
            <w:r w:rsidRPr="00E417B9">
              <w:rPr>
                <w:rFonts w:asciiTheme="minorHAnsi" w:eastAsia="Arial" w:hAnsiTheme="minorHAnsi" w:cstheme="minorHAnsi"/>
                <w:b/>
                <w:bCs/>
                <w:color w:val="FFFFFF" w:themeColor="background1"/>
                <w:szCs w:val="24"/>
              </w:rPr>
              <w:t>-1,982</w:t>
            </w:r>
          </w:p>
        </w:tc>
      </w:tr>
      <w:tr w:rsidR="007067F5" w:rsidTr="00E417B9">
        <w:trPr>
          <w:trHeight w:val="315"/>
        </w:trPr>
        <w:tc>
          <w:tcPr>
            <w:tcW w:w="7125" w:type="dxa"/>
            <w:tcBorders>
              <w:top w:val="single" w:sz="8" w:space="0" w:color="auto"/>
              <w:left w:val="single" w:sz="4" w:space="0" w:color="auto"/>
              <w:bottom w:val="nil"/>
              <w:right w:val="nil"/>
            </w:tcBorders>
            <w:vAlign w:val="center"/>
          </w:tcPr>
          <w:p w:rsidR="007067F5" w:rsidRPr="00E417B9" w:rsidRDefault="007067F5" w:rsidP="00C83EB1">
            <w:pPr>
              <w:rPr>
                <w:rFonts w:asciiTheme="minorHAnsi" w:hAnsiTheme="minorHAnsi" w:cstheme="minorHAnsi"/>
              </w:rPr>
            </w:pPr>
            <w:r w:rsidRPr="00E417B9">
              <w:rPr>
                <w:rFonts w:asciiTheme="minorHAnsi" w:eastAsia="Arial" w:hAnsiTheme="minorHAnsi" w:cstheme="minorHAnsi"/>
                <w:color w:val="000000" w:themeColor="text1"/>
                <w:szCs w:val="24"/>
              </w:rPr>
              <w:t xml:space="preserve">20/21 Investments yet to be allocated </w:t>
            </w:r>
          </w:p>
        </w:tc>
        <w:tc>
          <w:tcPr>
            <w:tcW w:w="1801" w:type="dxa"/>
            <w:tcBorders>
              <w:top w:val="single" w:sz="8" w:space="0" w:color="000000" w:themeColor="text1"/>
              <w:left w:val="nil"/>
              <w:bottom w:val="nil"/>
              <w:right w:val="single" w:sz="4" w:space="0" w:color="000000" w:themeColor="text1"/>
            </w:tcBorders>
            <w:vAlign w:val="center"/>
          </w:tcPr>
          <w:p w:rsidR="007067F5" w:rsidRPr="00E417B9" w:rsidRDefault="007067F5" w:rsidP="00C83EB1">
            <w:pPr>
              <w:jc w:val="right"/>
              <w:rPr>
                <w:rFonts w:asciiTheme="minorHAnsi" w:hAnsiTheme="minorHAnsi" w:cstheme="minorHAnsi"/>
              </w:rPr>
            </w:pPr>
            <w:r w:rsidRPr="00E417B9">
              <w:rPr>
                <w:rFonts w:asciiTheme="minorHAnsi" w:eastAsia="Arial" w:hAnsiTheme="minorHAnsi" w:cstheme="minorHAnsi"/>
                <w:color w:val="000000" w:themeColor="text1"/>
                <w:szCs w:val="24"/>
              </w:rPr>
              <w:t>-433</w:t>
            </w:r>
          </w:p>
        </w:tc>
      </w:tr>
      <w:tr w:rsidR="007067F5" w:rsidTr="00E417B9">
        <w:trPr>
          <w:trHeight w:val="315"/>
        </w:trPr>
        <w:tc>
          <w:tcPr>
            <w:tcW w:w="7125" w:type="dxa"/>
            <w:tcBorders>
              <w:top w:val="single" w:sz="8" w:space="0" w:color="auto"/>
              <w:left w:val="single" w:sz="4" w:space="0" w:color="auto"/>
              <w:bottom w:val="single" w:sz="8" w:space="0" w:color="auto"/>
              <w:right w:val="nil"/>
            </w:tcBorders>
            <w:shd w:val="clear" w:color="auto" w:fill="4F81BD" w:themeFill="accent1"/>
            <w:vAlign w:val="center"/>
          </w:tcPr>
          <w:p w:rsidR="007067F5" w:rsidRPr="00E417B9" w:rsidRDefault="007067F5" w:rsidP="00C83EB1">
            <w:pPr>
              <w:rPr>
                <w:rFonts w:asciiTheme="minorHAnsi" w:hAnsiTheme="minorHAnsi" w:cstheme="minorHAnsi"/>
                <w:color w:val="FFFFFF" w:themeColor="background1"/>
              </w:rPr>
            </w:pPr>
            <w:r w:rsidRPr="00E417B9">
              <w:rPr>
                <w:rFonts w:asciiTheme="minorHAnsi" w:eastAsia="Arial" w:hAnsiTheme="minorHAnsi" w:cstheme="minorHAnsi"/>
                <w:b/>
                <w:bCs/>
                <w:color w:val="FFFFFF" w:themeColor="background1"/>
                <w:szCs w:val="24"/>
              </w:rPr>
              <w:t>Internal Investment Fund Generated Total</w:t>
            </w:r>
            <w:r w:rsidRPr="00E417B9">
              <w:rPr>
                <w:rFonts w:asciiTheme="minorHAnsi" w:eastAsia="Arial" w:hAnsiTheme="minorHAnsi" w:cstheme="minorHAnsi"/>
                <w:color w:val="FFFFFF" w:themeColor="background1"/>
                <w:szCs w:val="24"/>
              </w:rPr>
              <w:t xml:space="preserve"> </w:t>
            </w:r>
          </w:p>
        </w:tc>
        <w:tc>
          <w:tcPr>
            <w:tcW w:w="1801" w:type="dxa"/>
            <w:tcBorders>
              <w:top w:val="single" w:sz="8" w:space="0" w:color="000000" w:themeColor="text1"/>
              <w:left w:val="nil"/>
              <w:bottom w:val="single" w:sz="8" w:space="0" w:color="000000" w:themeColor="text1"/>
              <w:right w:val="single" w:sz="4" w:space="0" w:color="000000" w:themeColor="text1"/>
            </w:tcBorders>
            <w:shd w:val="clear" w:color="auto" w:fill="4F81BD" w:themeFill="accent1"/>
            <w:vAlign w:val="center"/>
          </w:tcPr>
          <w:p w:rsidR="007067F5" w:rsidRPr="00E417B9" w:rsidRDefault="007067F5" w:rsidP="00C83EB1">
            <w:pPr>
              <w:jc w:val="right"/>
              <w:rPr>
                <w:rFonts w:asciiTheme="minorHAnsi" w:hAnsiTheme="minorHAnsi" w:cstheme="minorHAnsi"/>
                <w:color w:val="FFFFFF" w:themeColor="background1"/>
              </w:rPr>
            </w:pPr>
            <w:r w:rsidRPr="00E417B9">
              <w:rPr>
                <w:rFonts w:asciiTheme="minorHAnsi" w:eastAsia="Arial" w:hAnsiTheme="minorHAnsi" w:cstheme="minorHAnsi"/>
                <w:b/>
                <w:bCs/>
                <w:color w:val="FFFFFF" w:themeColor="background1"/>
                <w:szCs w:val="24"/>
              </w:rPr>
              <w:t>-2,415</w:t>
            </w:r>
          </w:p>
        </w:tc>
      </w:tr>
      <w:tr w:rsidR="007067F5" w:rsidTr="00E417B9">
        <w:trPr>
          <w:trHeight w:val="300"/>
        </w:trPr>
        <w:tc>
          <w:tcPr>
            <w:tcW w:w="7125" w:type="dxa"/>
            <w:tcBorders>
              <w:top w:val="single" w:sz="8" w:space="0" w:color="auto"/>
              <w:left w:val="single" w:sz="4" w:space="0" w:color="auto"/>
              <w:bottom w:val="nil"/>
              <w:right w:val="nil"/>
            </w:tcBorders>
            <w:vAlign w:val="center"/>
          </w:tcPr>
          <w:p w:rsidR="007067F5" w:rsidRPr="00E417B9" w:rsidRDefault="007067F5" w:rsidP="00C83EB1">
            <w:pPr>
              <w:rPr>
                <w:rFonts w:asciiTheme="minorHAnsi" w:hAnsiTheme="minorHAnsi" w:cstheme="minorHAnsi"/>
              </w:rPr>
            </w:pPr>
            <w:r w:rsidRPr="00E417B9">
              <w:rPr>
                <w:rFonts w:asciiTheme="minorHAnsi" w:eastAsia="Calibri" w:hAnsiTheme="minorHAnsi" w:cstheme="minorHAnsi"/>
                <w:color w:val="000000" w:themeColor="text1"/>
              </w:rPr>
              <w:t xml:space="preserve">  </w:t>
            </w:r>
          </w:p>
        </w:tc>
        <w:tc>
          <w:tcPr>
            <w:tcW w:w="1801" w:type="dxa"/>
            <w:tcBorders>
              <w:top w:val="single" w:sz="8" w:space="0" w:color="000000" w:themeColor="text1"/>
              <w:left w:val="nil"/>
              <w:bottom w:val="nil"/>
              <w:right w:val="single" w:sz="4" w:space="0" w:color="000000" w:themeColor="text1"/>
            </w:tcBorders>
            <w:vAlign w:val="center"/>
          </w:tcPr>
          <w:p w:rsidR="007067F5" w:rsidRPr="00E417B9" w:rsidRDefault="007067F5" w:rsidP="00C83EB1">
            <w:pPr>
              <w:rPr>
                <w:rFonts w:asciiTheme="minorHAnsi" w:hAnsiTheme="minorHAnsi" w:cstheme="minorHAnsi"/>
              </w:rPr>
            </w:pPr>
            <w:r w:rsidRPr="00E417B9">
              <w:rPr>
                <w:rFonts w:asciiTheme="minorHAnsi" w:eastAsia="Calibri" w:hAnsiTheme="minorHAnsi" w:cstheme="minorHAnsi"/>
                <w:color w:val="000000" w:themeColor="text1"/>
              </w:rPr>
              <w:t xml:space="preserve">  </w:t>
            </w:r>
          </w:p>
        </w:tc>
      </w:tr>
      <w:tr w:rsidR="007067F5" w:rsidTr="00E417B9">
        <w:trPr>
          <w:trHeight w:val="315"/>
        </w:trPr>
        <w:tc>
          <w:tcPr>
            <w:tcW w:w="7125" w:type="dxa"/>
            <w:tcBorders>
              <w:top w:val="single" w:sz="8" w:space="0" w:color="auto"/>
              <w:left w:val="single" w:sz="4" w:space="0" w:color="auto"/>
              <w:bottom w:val="single" w:sz="8" w:space="0" w:color="auto"/>
              <w:right w:val="dotted" w:sz="4" w:space="0" w:color="000000" w:themeColor="text1"/>
            </w:tcBorders>
            <w:shd w:val="clear" w:color="auto" w:fill="4F81BD" w:themeFill="accent1"/>
            <w:vAlign w:val="center"/>
          </w:tcPr>
          <w:p w:rsidR="007067F5" w:rsidRPr="00E417B9" w:rsidRDefault="00AD4511" w:rsidP="00C83EB1">
            <w:pPr>
              <w:rPr>
                <w:rFonts w:asciiTheme="minorHAnsi" w:hAnsiTheme="minorHAnsi" w:cstheme="minorHAnsi"/>
                <w:color w:val="FFFFFF" w:themeColor="background1"/>
              </w:rPr>
            </w:pPr>
            <w:r>
              <w:rPr>
                <w:rFonts w:asciiTheme="minorHAnsi" w:eastAsia="Arial" w:hAnsiTheme="minorHAnsi" w:cstheme="minorHAnsi"/>
                <w:b/>
                <w:bCs/>
                <w:color w:val="FFFFFF" w:themeColor="background1"/>
                <w:szCs w:val="24"/>
              </w:rPr>
              <w:t>2021/22 Commitments</w:t>
            </w:r>
            <w:r w:rsidR="007067F5" w:rsidRPr="00E417B9">
              <w:rPr>
                <w:rFonts w:asciiTheme="minorHAnsi" w:eastAsia="Arial" w:hAnsiTheme="minorHAnsi" w:cstheme="minorHAnsi"/>
                <w:b/>
                <w:bCs/>
                <w:color w:val="FFFFFF" w:themeColor="background1"/>
                <w:szCs w:val="24"/>
              </w:rPr>
              <w:t>:</w:t>
            </w:r>
            <w:r w:rsidR="007067F5" w:rsidRPr="00E417B9">
              <w:rPr>
                <w:rFonts w:asciiTheme="minorHAnsi" w:eastAsia="Arial" w:hAnsiTheme="minorHAnsi" w:cstheme="minorHAnsi"/>
                <w:color w:val="FFFFFF" w:themeColor="background1"/>
                <w:szCs w:val="24"/>
              </w:rPr>
              <w:t xml:space="preserve"> </w:t>
            </w:r>
          </w:p>
        </w:tc>
        <w:tc>
          <w:tcPr>
            <w:tcW w:w="1801" w:type="dxa"/>
            <w:tcBorders>
              <w:top w:val="single" w:sz="8" w:space="0" w:color="000000" w:themeColor="text1"/>
              <w:left w:val="dotted" w:sz="4" w:space="0" w:color="000000" w:themeColor="text1"/>
              <w:bottom w:val="single" w:sz="8" w:space="0" w:color="000000" w:themeColor="text1"/>
              <w:right w:val="single" w:sz="4" w:space="0" w:color="000000" w:themeColor="text1"/>
            </w:tcBorders>
            <w:shd w:val="clear" w:color="auto" w:fill="4F81BD" w:themeFill="accent1"/>
            <w:vAlign w:val="center"/>
          </w:tcPr>
          <w:p w:rsidR="007067F5" w:rsidRPr="00E417B9" w:rsidRDefault="007067F5" w:rsidP="00C83EB1">
            <w:pPr>
              <w:jc w:val="center"/>
              <w:rPr>
                <w:rFonts w:asciiTheme="minorHAnsi" w:hAnsiTheme="minorHAnsi" w:cstheme="minorHAnsi"/>
                <w:color w:val="FFFFFF" w:themeColor="background1"/>
              </w:rPr>
            </w:pPr>
            <w:r w:rsidRPr="00E417B9">
              <w:rPr>
                <w:rFonts w:asciiTheme="minorHAnsi" w:eastAsia="Arial" w:hAnsiTheme="minorHAnsi" w:cstheme="minorHAnsi"/>
                <w:b/>
                <w:bCs/>
                <w:color w:val="FFFFFF" w:themeColor="background1"/>
                <w:szCs w:val="24"/>
              </w:rPr>
              <w:t> </w:t>
            </w:r>
            <w:r w:rsidRPr="00E417B9">
              <w:rPr>
                <w:rFonts w:asciiTheme="minorHAnsi" w:eastAsia="Arial" w:hAnsiTheme="minorHAnsi" w:cstheme="minorHAnsi"/>
                <w:color w:val="FFFFFF" w:themeColor="background1"/>
                <w:szCs w:val="24"/>
              </w:rPr>
              <w:t xml:space="preserve"> </w:t>
            </w:r>
          </w:p>
        </w:tc>
      </w:tr>
      <w:tr w:rsidR="007067F5" w:rsidTr="00E417B9">
        <w:trPr>
          <w:trHeight w:val="315"/>
        </w:trPr>
        <w:tc>
          <w:tcPr>
            <w:tcW w:w="7125" w:type="dxa"/>
            <w:tcBorders>
              <w:top w:val="single" w:sz="8" w:space="0" w:color="auto"/>
              <w:left w:val="single" w:sz="4" w:space="0" w:color="auto"/>
              <w:bottom w:val="nil"/>
              <w:right w:val="dotted" w:sz="4" w:space="0" w:color="000000" w:themeColor="text1"/>
            </w:tcBorders>
            <w:vAlign w:val="center"/>
          </w:tcPr>
          <w:p w:rsidR="007067F5" w:rsidRPr="00E417B9" w:rsidRDefault="007067F5" w:rsidP="00C83EB1">
            <w:pPr>
              <w:rPr>
                <w:rFonts w:asciiTheme="minorHAnsi" w:hAnsiTheme="minorHAnsi" w:cstheme="minorHAnsi"/>
              </w:rPr>
            </w:pPr>
            <w:r w:rsidRPr="00E417B9">
              <w:rPr>
                <w:rFonts w:asciiTheme="minorHAnsi" w:eastAsia="Arial" w:hAnsiTheme="minorHAnsi" w:cstheme="minorHAnsi"/>
                <w:color w:val="000000" w:themeColor="text1"/>
                <w:szCs w:val="24"/>
              </w:rPr>
              <w:t xml:space="preserve">Behavioural Change </w:t>
            </w:r>
          </w:p>
        </w:tc>
        <w:tc>
          <w:tcPr>
            <w:tcW w:w="1801" w:type="dxa"/>
            <w:tcBorders>
              <w:top w:val="single" w:sz="8" w:space="0" w:color="000000" w:themeColor="text1"/>
              <w:left w:val="dotted" w:sz="4" w:space="0" w:color="000000" w:themeColor="text1"/>
              <w:bottom w:val="nil"/>
              <w:right w:val="single" w:sz="4" w:space="0" w:color="000000" w:themeColor="text1"/>
            </w:tcBorders>
            <w:vAlign w:val="center"/>
          </w:tcPr>
          <w:p w:rsidR="007067F5" w:rsidRPr="00E417B9" w:rsidRDefault="007067F5" w:rsidP="00C83EB1">
            <w:pPr>
              <w:jc w:val="right"/>
              <w:rPr>
                <w:rFonts w:asciiTheme="minorHAnsi" w:hAnsiTheme="minorHAnsi" w:cstheme="minorHAnsi"/>
              </w:rPr>
            </w:pPr>
            <w:r w:rsidRPr="00E417B9">
              <w:rPr>
                <w:rFonts w:asciiTheme="minorHAnsi" w:eastAsia="Arial" w:hAnsiTheme="minorHAnsi" w:cstheme="minorHAnsi"/>
                <w:color w:val="000000" w:themeColor="text1"/>
                <w:szCs w:val="24"/>
              </w:rPr>
              <w:t>314</w:t>
            </w:r>
          </w:p>
        </w:tc>
      </w:tr>
      <w:tr w:rsidR="007067F5" w:rsidTr="00E417B9">
        <w:trPr>
          <w:trHeight w:val="315"/>
        </w:trPr>
        <w:tc>
          <w:tcPr>
            <w:tcW w:w="7125" w:type="dxa"/>
            <w:tcBorders>
              <w:top w:val="nil"/>
              <w:left w:val="single" w:sz="4" w:space="0" w:color="auto"/>
              <w:bottom w:val="nil"/>
              <w:right w:val="dotted" w:sz="4" w:space="0" w:color="000000" w:themeColor="text1"/>
            </w:tcBorders>
            <w:vAlign w:val="center"/>
          </w:tcPr>
          <w:p w:rsidR="007067F5" w:rsidRPr="00E417B9" w:rsidRDefault="007067F5" w:rsidP="00C83EB1">
            <w:pPr>
              <w:rPr>
                <w:rFonts w:asciiTheme="minorHAnsi" w:hAnsiTheme="minorHAnsi" w:cstheme="minorHAnsi"/>
              </w:rPr>
            </w:pPr>
            <w:r w:rsidRPr="00E417B9">
              <w:rPr>
                <w:rFonts w:asciiTheme="minorHAnsi" w:eastAsia="Arial" w:hAnsiTheme="minorHAnsi" w:cstheme="minorHAnsi"/>
                <w:color w:val="000000" w:themeColor="text1"/>
                <w:szCs w:val="24"/>
              </w:rPr>
              <w:t xml:space="preserve">Digital Commitments </w:t>
            </w:r>
          </w:p>
        </w:tc>
        <w:tc>
          <w:tcPr>
            <w:tcW w:w="1801" w:type="dxa"/>
            <w:tcBorders>
              <w:top w:val="nil"/>
              <w:left w:val="dotted" w:sz="4" w:space="0" w:color="000000" w:themeColor="text1"/>
              <w:bottom w:val="nil"/>
              <w:right w:val="single" w:sz="4" w:space="0" w:color="000000" w:themeColor="text1"/>
            </w:tcBorders>
            <w:vAlign w:val="center"/>
          </w:tcPr>
          <w:p w:rsidR="007067F5" w:rsidRPr="00E417B9" w:rsidRDefault="007067F5" w:rsidP="00C83EB1">
            <w:pPr>
              <w:jc w:val="right"/>
              <w:rPr>
                <w:rFonts w:asciiTheme="minorHAnsi" w:hAnsiTheme="minorHAnsi" w:cstheme="minorHAnsi"/>
              </w:rPr>
            </w:pPr>
            <w:r w:rsidRPr="00E417B9">
              <w:rPr>
                <w:rFonts w:asciiTheme="minorHAnsi" w:eastAsia="Arial" w:hAnsiTheme="minorHAnsi" w:cstheme="minorHAnsi"/>
                <w:color w:val="000000" w:themeColor="text1"/>
                <w:szCs w:val="24"/>
              </w:rPr>
              <w:t>254</w:t>
            </w:r>
          </w:p>
        </w:tc>
      </w:tr>
      <w:tr w:rsidR="007067F5" w:rsidTr="00E417B9">
        <w:trPr>
          <w:trHeight w:val="315"/>
        </w:trPr>
        <w:tc>
          <w:tcPr>
            <w:tcW w:w="7125" w:type="dxa"/>
            <w:tcBorders>
              <w:top w:val="nil"/>
              <w:left w:val="single" w:sz="4" w:space="0" w:color="auto"/>
              <w:bottom w:val="nil"/>
              <w:right w:val="dotted" w:sz="4" w:space="0" w:color="000000" w:themeColor="text1"/>
            </w:tcBorders>
            <w:vAlign w:val="center"/>
          </w:tcPr>
          <w:p w:rsidR="007067F5" w:rsidRPr="00E417B9" w:rsidRDefault="007067F5" w:rsidP="00C83EB1">
            <w:pPr>
              <w:rPr>
                <w:rFonts w:asciiTheme="minorHAnsi" w:hAnsiTheme="minorHAnsi" w:cstheme="minorHAnsi"/>
              </w:rPr>
            </w:pPr>
            <w:r w:rsidRPr="00E417B9">
              <w:rPr>
                <w:rFonts w:asciiTheme="minorHAnsi" w:eastAsia="Arial" w:hAnsiTheme="minorHAnsi" w:cstheme="minorHAnsi"/>
                <w:color w:val="000000" w:themeColor="text1"/>
                <w:szCs w:val="24"/>
              </w:rPr>
              <w:t xml:space="preserve">Organisational Learning Priority  </w:t>
            </w:r>
          </w:p>
        </w:tc>
        <w:tc>
          <w:tcPr>
            <w:tcW w:w="1801" w:type="dxa"/>
            <w:tcBorders>
              <w:top w:val="nil"/>
              <w:left w:val="dotted" w:sz="4" w:space="0" w:color="000000" w:themeColor="text1"/>
              <w:bottom w:val="nil"/>
              <w:right w:val="single" w:sz="4" w:space="0" w:color="000000" w:themeColor="text1"/>
            </w:tcBorders>
            <w:vAlign w:val="center"/>
          </w:tcPr>
          <w:p w:rsidR="007067F5" w:rsidRPr="00E417B9" w:rsidRDefault="007067F5" w:rsidP="00C83EB1">
            <w:pPr>
              <w:jc w:val="right"/>
              <w:rPr>
                <w:rFonts w:asciiTheme="minorHAnsi" w:hAnsiTheme="minorHAnsi" w:cstheme="minorHAnsi"/>
              </w:rPr>
            </w:pPr>
            <w:r w:rsidRPr="00E417B9">
              <w:rPr>
                <w:rFonts w:asciiTheme="minorHAnsi" w:eastAsia="Arial" w:hAnsiTheme="minorHAnsi" w:cstheme="minorHAnsi"/>
                <w:color w:val="000000" w:themeColor="text1"/>
                <w:szCs w:val="24"/>
              </w:rPr>
              <w:t>85</w:t>
            </w:r>
          </w:p>
        </w:tc>
      </w:tr>
      <w:tr w:rsidR="007067F5" w:rsidTr="00E417B9">
        <w:trPr>
          <w:trHeight w:val="315"/>
        </w:trPr>
        <w:tc>
          <w:tcPr>
            <w:tcW w:w="7125" w:type="dxa"/>
            <w:tcBorders>
              <w:top w:val="nil"/>
              <w:left w:val="single" w:sz="4" w:space="0" w:color="auto"/>
              <w:bottom w:val="nil"/>
              <w:right w:val="dotted" w:sz="4" w:space="0" w:color="000000" w:themeColor="text1"/>
            </w:tcBorders>
            <w:vAlign w:val="center"/>
          </w:tcPr>
          <w:p w:rsidR="007067F5" w:rsidRPr="00E417B9" w:rsidRDefault="007067F5" w:rsidP="00C83EB1">
            <w:pPr>
              <w:rPr>
                <w:rFonts w:asciiTheme="minorHAnsi" w:hAnsiTheme="minorHAnsi" w:cstheme="minorHAnsi"/>
              </w:rPr>
            </w:pPr>
            <w:r w:rsidRPr="00E417B9">
              <w:rPr>
                <w:rFonts w:asciiTheme="minorHAnsi" w:eastAsia="Arial" w:hAnsiTheme="minorHAnsi" w:cstheme="minorHAnsi"/>
                <w:color w:val="000000" w:themeColor="text1"/>
                <w:szCs w:val="24"/>
              </w:rPr>
              <w:t xml:space="preserve">Sustaining NW Microbiology Service (maximum) </w:t>
            </w:r>
          </w:p>
        </w:tc>
        <w:tc>
          <w:tcPr>
            <w:tcW w:w="1801" w:type="dxa"/>
            <w:tcBorders>
              <w:top w:val="nil"/>
              <w:left w:val="dotted" w:sz="4" w:space="0" w:color="000000" w:themeColor="text1"/>
              <w:bottom w:val="nil"/>
              <w:right w:val="single" w:sz="4" w:space="0" w:color="000000" w:themeColor="text1"/>
            </w:tcBorders>
            <w:vAlign w:val="center"/>
          </w:tcPr>
          <w:p w:rsidR="007067F5" w:rsidRPr="00E417B9" w:rsidRDefault="007067F5" w:rsidP="00C83EB1">
            <w:pPr>
              <w:jc w:val="right"/>
              <w:rPr>
                <w:rFonts w:asciiTheme="minorHAnsi" w:hAnsiTheme="minorHAnsi" w:cstheme="minorHAnsi"/>
              </w:rPr>
            </w:pPr>
            <w:r w:rsidRPr="00E417B9">
              <w:rPr>
                <w:rFonts w:asciiTheme="minorHAnsi" w:eastAsia="Arial" w:hAnsiTheme="minorHAnsi" w:cstheme="minorHAnsi"/>
                <w:color w:val="000000" w:themeColor="text1"/>
                <w:szCs w:val="24"/>
              </w:rPr>
              <w:t>776</w:t>
            </w:r>
          </w:p>
        </w:tc>
      </w:tr>
      <w:tr w:rsidR="007067F5" w:rsidTr="00E417B9">
        <w:trPr>
          <w:trHeight w:val="315"/>
        </w:trPr>
        <w:tc>
          <w:tcPr>
            <w:tcW w:w="7125" w:type="dxa"/>
            <w:tcBorders>
              <w:top w:val="single" w:sz="8" w:space="0" w:color="auto"/>
              <w:left w:val="single" w:sz="4" w:space="0" w:color="auto"/>
              <w:bottom w:val="single" w:sz="8" w:space="0" w:color="auto"/>
              <w:right w:val="dotted" w:sz="4" w:space="0" w:color="000000" w:themeColor="text1"/>
            </w:tcBorders>
            <w:shd w:val="clear" w:color="auto" w:fill="4F81BD" w:themeFill="accent1"/>
            <w:vAlign w:val="center"/>
          </w:tcPr>
          <w:p w:rsidR="007067F5" w:rsidRPr="00E417B9" w:rsidRDefault="007067F5" w:rsidP="00AD4511">
            <w:pPr>
              <w:rPr>
                <w:rFonts w:asciiTheme="minorHAnsi" w:hAnsiTheme="minorHAnsi" w:cstheme="minorHAnsi"/>
                <w:color w:val="FFFFFF" w:themeColor="background1"/>
              </w:rPr>
            </w:pPr>
            <w:r w:rsidRPr="00E417B9">
              <w:rPr>
                <w:rFonts w:asciiTheme="minorHAnsi" w:eastAsia="Arial" w:hAnsiTheme="minorHAnsi" w:cstheme="minorHAnsi"/>
                <w:b/>
                <w:bCs/>
                <w:color w:val="FFFFFF" w:themeColor="background1"/>
                <w:szCs w:val="24"/>
              </w:rPr>
              <w:t xml:space="preserve">Total </w:t>
            </w:r>
            <w:r w:rsidR="00AD4511">
              <w:rPr>
                <w:rFonts w:asciiTheme="minorHAnsi" w:eastAsia="Arial" w:hAnsiTheme="minorHAnsi" w:cstheme="minorHAnsi"/>
                <w:b/>
                <w:bCs/>
                <w:color w:val="FFFFFF" w:themeColor="background1"/>
                <w:szCs w:val="24"/>
              </w:rPr>
              <w:t>2021/22 Commitments</w:t>
            </w:r>
            <w:r w:rsidRPr="00E417B9">
              <w:rPr>
                <w:rFonts w:asciiTheme="minorHAnsi" w:eastAsia="Arial" w:hAnsiTheme="minorHAnsi" w:cstheme="minorHAnsi"/>
                <w:color w:val="FFFFFF" w:themeColor="background1"/>
                <w:szCs w:val="24"/>
              </w:rPr>
              <w:t xml:space="preserve"> </w:t>
            </w:r>
          </w:p>
        </w:tc>
        <w:tc>
          <w:tcPr>
            <w:tcW w:w="1801" w:type="dxa"/>
            <w:tcBorders>
              <w:top w:val="single" w:sz="8" w:space="0" w:color="000000" w:themeColor="text1"/>
              <w:left w:val="dotted" w:sz="4" w:space="0" w:color="000000" w:themeColor="text1"/>
              <w:bottom w:val="single" w:sz="8" w:space="0" w:color="000000" w:themeColor="text1"/>
              <w:right w:val="single" w:sz="4" w:space="0" w:color="000000" w:themeColor="text1"/>
            </w:tcBorders>
            <w:shd w:val="clear" w:color="auto" w:fill="4F81BD" w:themeFill="accent1"/>
            <w:vAlign w:val="center"/>
          </w:tcPr>
          <w:p w:rsidR="007067F5" w:rsidRPr="00E417B9" w:rsidRDefault="007067F5" w:rsidP="00C83EB1">
            <w:pPr>
              <w:jc w:val="right"/>
              <w:rPr>
                <w:rFonts w:asciiTheme="minorHAnsi" w:hAnsiTheme="minorHAnsi" w:cstheme="minorHAnsi"/>
                <w:color w:val="FFFFFF" w:themeColor="background1"/>
              </w:rPr>
            </w:pPr>
            <w:r w:rsidRPr="00E417B9">
              <w:rPr>
                <w:rFonts w:asciiTheme="minorHAnsi" w:eastAsia="Arial" w:hAnsiTheme="minorHAnsi" w:cstheme="minorHAnsi"/>
                <w:b/>
                <w:bCs/>
                <w:color w:val="FFFFFF" w:themeColor="background1"/>
                <w:szCs w:val="24"/>
              </w:rPr>
              <w:t>1,429</w:t>
            </w:r>
          </w:p>
        </w:tc>
      </w:tr>
      <w:tr w:rsidR="007067F5" w:rsidTr="00E417B9">
        <w:trPr>
          <w:trHeight w:val="300"/>
        </w:trPr>
        <w:tc>
          <w:tcPr>
            <w:tcW w:w="7125" w:type="dxa"/>
            <w:tcBorders>
              <w:top w:val="single" w:sz="8" w:space="0" w:color="auto"/>
              <w:left w:val="single" w:sz="4" w:space="0" w:color="auto"/>
              <w:bottom w:val="nil"/>
              <w:right w:val="nil"/>
            </w:tcBorders>
            <w:vAlign w:val="center"/>
          </w:tcPr>
          <w:p w:rsidR="007067F5" w:rsidRPr="00E417B9" w:rsidRDefault="007067F5" w:rsidP="00C83EB1">
            <w:pPr>
              <w:rPr>
                <w:rFonts w:asciiTheme="minorHAnsi" w:hAnsiTheme="minorHAnsi" w:cstheme="minorHAnsi"/>
              </w:rPr>
            </w:pPr>
            <w:r w:rsidRPr="00E417B9">
              <w:rPr>
                <w:rFonts w:asciiTheme="minorHAnsi" w:eastAsia="Calibri" w:hAnsiTheme="minorHAnsi" w:cstheme="minorHAnsi"/>
                <w:color w:val="000000" w:themeColor="text1"/>
              </w:rPr>
              <w:t xml:space="preserve">  </w:t>
            </w:r>
          </w:p>
        </w:tc>
        <w:tc>
          <w:tcPr>
            <w:tcW w:w="1801" w:type="dxa"/>
            <w:tcBorders>
              <w:top w:val="single" w:sz="8" w:space="0" w:color="000000" w:themeColor="text1"/>
              <w:left w:val="nil"/>
              <w:bottom w:val="nil"/>
              <w:right w:val="single" w:sz="4" w:space="0" w:color="000000" w:themeColor="text1"/>
            </w:tcBorders>
            <w:vAlign w:val="center"/>
          </w:tcPr>
          <w:p w:rsidR="007067F5" w:rsidRPr="00E417B9" w:rsidRDefault="007067F5" w:rsidP="00C83EB1">
            <w:pPr>
              <w:rPr>
                <w:rFonts w:asciiTheme="minorHAnsi" w:hAnsiTheme="minorHAnsi" w:cstheme="minorHAnsi"/>
              </w:rPr>
            </w:pPr>
            <w:r w:rsidRPr="00E417B9">
              <w:rPr>
                <w:rFonts w:asciiTheme="minorHAnsi" w:eastAsia="Calibri" w:hAnsiTheme="minorHAnsi" w:cstheme="minorHAnsi"/>
                <w:color w:val="000000" w:themeColor="text1"/>
              </w:rPr>
              <w:t xml:space="preserve">  </w:t>
            </w:r>
          </w:p>
        </w:tc>
      </w:tr>
      <w:tr w:rsidR="007067F5" w:rsidTr="00E417B9">
        <w:trPr>
          <w:trHeight w:val="315"/>
        </w:trPr>
        <w:tc>
          <w:tcPr>
            <w:tcW w:w="7125" w:type="dxa"/>
            <w:tcBorders>
              <w:top w:val="single" w:sz="8" w:space="0" w:color="auto"/>
              <w:left w:val="single" w:sz="4" w:space="0" w:color="auto"/>
              <w:bottom w:val="single" w:sz="4" w:space="0" w:color="auto"/>
              <w:right w:val="nil"/>
            </w:tcBorders>
            <w:shd w:val="clear" w:color="auto" w:fill="4F81BD" w:themeFill="accent1"/>
            <w:vAlign w:val="center"/>
          </w:tcPr>
          <w:p w:rsidR="007067F5" w:rsidRPr="00E417B9" w:rsidRDefault="007067F5" w:rsidP="00C83EB1">
            <w:pPr>
              <w:rPr>
                <w:rFonts w:asciiTheme="minorHAnsi" w:hAnsiTheme="minorHAnsi" w:cstheme="minorHAnsi"/>
                <w:color w:val="FFFFFF" w:themeColor="background1"/>
              </w:rPr>
            </w:pPr>
            <w:r w:rsidRPr="00E417B9">
              <w:rPr>
                <w:rFonts w:asciiTheme="minorHAnsi" w:eastAsia="Arial" w:hAnsiTheme="minorHAnsi" w:cstheme="minorHAnsi"/>
                <w:b/>
                <w:bCs/>
                <w:color w:val="FFFFFF" w:themeColor="background1"/>
                <w:szCs w:val="24"/>
              </w:rPr>
              <w:t>Total Investment Fund Available</w:t>
            </w:r>
            <w:r w:rsidR="00AD4511">
              <w:rPr>
                <w:rFonts w:asciiTheme="minorHAnsi" w:eastAsia="Arial" w:hAnsiTheme="minorHAnsi" w:cstheme="minorHAnsi"/>
                <w:b/>
                <w:bCs/>
                <w:color w:val="FFFFFF" w:themeColor="background1"/>
                <w:szCs w:val="24"/>
              </w:rPr>
              <w:t xml:space="preserve"> for 2021/22</w:t>
            </w:r>
            <w:r w:rsidRPr="00E417B9">
              <w:rPr>
                <w:rFonts w:asciiTheme="minorHAnsi" w:eastAsia="Arial" w:hAnsiTheme="minorHAnsi" w:cstheme="minorHAnsi"/>
                <w:color w:val="FFFFFF" w:themeColor="background1"/>
                <w:szCs w:val="24"/>
              </w:rPr>
              <w:t xml:space="preserve"> </w:t>
            </w:r>
          </w:p>
        </w:tc>
        <w:tc>
          <w:tcPr>
            <w:tcW w:w="1801" w:type="dxa"/>
            <w:tcBorders>
              <w:top w:val="single" w:sz="8" w:space="0" w:color="000000" w:themeColor="text1"/>
              <w:left w:val="nil"/>
              <w:bottom w:val="single" w:sz="4" w:space="0" w:color="000000" w:themeColor="text1"/>
              <w:right w:val="single" w:sz="4" w:space="0" w:color="000000" w:themeColor="text1"/>
            </w:tcBorders>
            <w:shd w:val="clear" w:color="auto" w:fill="4F81BD" w:themeFill="accent1"/>
            <w:vAlign w:val="center"/>
          </w:tcPr>
          <w:p w:rsidR="007067F5" w:rsidRPr="00E417B9" w:rsidRDefault="007067F5" w:rsidP="00C83EB1">
            <w:pPr>
              <w:jc w:val="right"/>
              <w:rPr>
                <w:rFonts w:asciiTheme="minorHAnsi" w:hAnsiTheme="minorHAnsi" w:cstheme="minorHAnsi"/>
                <w:color w:val="FFFFFF" w:themeColor="background1"/>
              </w:rPr>
            </w:pPr>
            <w:r w:rsidRPr="00E417B9">
              <w:rPr>
                <w:rFonts w:asciiTheme="minorHAnsi" w:eastAsia="Arial" w:hAnsiTheme="minorHAnsi" w:cstheme="minorHAnsi"/>
                <w:b/>
                <w:bCs/>
                <w:color w:val="FFFFFF" w:themeColor="background1"/>
                <w:szCs w:val="24"/>
              </w:rPr>
              <w:t>-986</w:t>
            </w:r>
          </w:p>
        </w:tc>
      </w:tr>
    </w:tbl>
    <w:p w:rsidR="007067F5" w:rsidRDefault="007067F5" w:rsidP="007067F5">
      <w:pPr>
        <w:rPr>
          <w:rFonts w:cstheme="minorHAnsi"/>
          <w:b/>
          <w:sz w:val="28"/>
          <w:szCs w:val="28"/>
        </w:rPr>
      </w:pPr>
    </w:p>
    <w:p w:rsidR="00AD4511" w:rsidRDefault="00AD4511" w:rsidP="00E417B9">
      <w:pPr>
        <w:jc w:val="both"/>
        <w:rPr>
          <w:rFonts w:cstheme="minorHAnsi"/>
          <w:szCs w:val="24"/>
        </w:rPr>
      </w:pPr>
      <w:r w:rsidRPr="00E417B9">
        <w:rPr>
          <w:rFonts w:eastAsia="Times New Roman" w:cstheme="minorHAnsi"/>
          <w:szCs w:val="24"/>
        </w:rPr>
        <w:t>It was agreed that due to the significant external funding, we would concentrate our future investments into Population Health, Knowledge/Organisational Learning and enabler support</w:t>
      </w:r>
      <w:r w:rsidR="008D68E9">
        <w:rPr>
          <w:rFonts w:eastAsia="Times New Roman" w:cstheme="minorHAnsi"/>
          <w:szCs w:val="24"/>
        </w:rPr>
        <w:t xml:space="preserve"> on an allocation basis directed by the Chief Executive as follows:</w:t>
      </w:r>
    </w:p>
    <w:p w:rsidR="008D68E9" w:rsidRPr="008D68E9" w:rsidRDefault="008D68E9" w:rsidP="008D68E9">
      <w:pPr>
        <w:jc w:val="both"/>
        <w:rPr>
          <w:rFonts w:cs="Calibri Light"/>
          <w:szCs w:val="24"/>
        </w:rPr>
      </w:pPr>
    </w:p>
    <w:p w:rsidR="008D68E9" w:rsidRPr="008D68E9" w:rsidRDefault="008D68E9" w:rsidP="008D68E9">
      <w:pPr>
        <w:numPr>
          <w:ilvl w:val="0"/>
          <w:numId w:val="29"/>
        </w:numPr>
        <w:spacing w:after="160" w:line="252" w:lineRule="auto"/>
        <w:contextualSpacing/>
        <w:jc w:val="both"/>
        <w:rPr>
          <w:rFonts w:cs="Calibri Light"/>
          <w:szCs w:val="24"/>
        </w:rPr>
      </w:pPr>
      <w:r w:rsidRPr="008D68E9">
        <w:rPr>
          <w:rFonts w:cs="Calibri Light"/>
          <w:b/>
          <w:bCs/>
          <w:szCs w:val="24"/>
        </w:rPr>
        <w:t>Population Health £350k</w:t>
      </w:r>
      <w:r w:rsidRPr="008D68E9">
        <w:rPr>
          <w:rFonts w:cs="Calibri Light"/>
          <w:szCs w:val="24"/>
        </w:rPr>
        <w:t xml:space="preserve"> – this will be made on a recurrent basis to </w:t>
      </w:r>
      <w:r w:rsidRPr="008D68E9">
        <w:rPr>
          <w:rFonts w:cs="Calibri Light"/>
          <w:b/>
          <w:bCs/>
          <w:i/>
          <w:iCs/>
          <w:szCs w:val="24"/>
        </w:rPr>
        <w:t>supplement the £300k that was made on a recurrent basis in 2020-21</w:t>
      </w:r>
      <w:r w:rsidRPr="008D68E9">
        <w:rPr>
          <w:rFonts w:cs="Calibri Light"/>
          <w:szCs w:val="24"/>
        </w:rPr>
        <w:t>.</w:t>
      </w:r>
    </w:p>
    <w:p w:rsidR="008D68E9" w:rsidRDefault="008D68E9" w:rsidP="008D68E9">
      <w:pPr>
        <w:numPr>
          <w:ilvl w:val="0"/>
          <w:numId w:val="29"/>
        </w:numPr>
        <w:spacing w:after="160" w:line="252" w:lineRule="auto"/>
        <w:contextualSpacing/>
        <w:jc w:val="both"/>
        <w:rPr>
          <w:rFonts w:cs="Calibri Light"/>
          <w:szCs w:val="24"/>
        </w:rPr>
      </w:pPr>
      <w:r w:rsidRPr="008D68E9">
        <w:rPr>
          <w:rFonts w:cs="Calibri Light"/>
          <w:b/>
          <w:bCs/>
          <w:szCs w:val="24"/>
        </w:rPr>
        <w:t>Knowledge £250k</w:t>
      </w:r>
      <w:r w:rsidRPr="008D68E9">
        <w:rPr>
          <w:rFonts w:cs="Calibri Light"/>
          <w:szCs w:val="24"/>
        </w:rPr>
        <w:t xml:space="preserve"> – this will made on a recurrent basis to support the development of the directorate structure. </w:t>
      </w:r>
    </w:p>
    <w:p w:rsidR="006D3D83" w:rsidRPr="008D68E9" w:rsidRDefault="00541B08" w:rsidP="008D68E9">
      <w:pPr>
        <w:numPr>
          <w:ilvl w:val="0"/>
          <w:numId w:val="29"/>
        </w:numPr>
        <w:spacing w:after="160" w:line="252" w:lineRule="auto"/>
        <w:contextualSpacing/>
        <w:jc w:val="both"/>
        <w:rPr>
          <w:rFonts w:cs="Calibri Light"/>
          <w:szCs w:val="24"/>
        </w:rPr>
      </w:pPr>
      <w:r w:rsidRPr="00541B08">
        <w:rPr>
          <w:rFonts w:cs="Calibri Light"/>
          <w:b/>
          <w:szCs w:val="24"/>
        </w:rPr>
        <w:t>Enabler Support £386k</w:t>
      </w:r>
      <w:r>
        <w:rPr>
          <w:rFonts w:cs="Calibri Light"/>
          <w:szCs w:val="24"/>
        </w:rPr>
        <w:t xml:space="preserve"> – allocated by the Chief Executive based on submissions made by Directors.  The detail of which is set out in </w:t>
      </w:r>
      <w:r w:rsidR="0047681B">
        <w:rPr>
          <w:rFonts w:cs="Calibri Light"/>
          <w:b/>
          <w:szCs w:val="24"/>
        </w:rPr>
        <w:t>Appendix Two</w:t>
      </w:r>
      <w:r>
        <w:rPr>
          <w:rFonts w:cs="Calibri Light"/>
          <w:szCs w:val="24"/>
        </w:rPr>
        <w:t xml:space="preserve"> attached,</w:t>
      </w:r>
    </w:p>
    <w:p w:rsidR="00AA0128" w:rsidRDefault="00AA0128" w:rsidP="009A24C3">
      <w:pPr>
        <w:rPr>
          <w:rFonts w:cstheme="minorHAnsi"/>
          <w:szCs w:val="24"/>
        </w:rPr>
      </w:pPr>
    </w:p>
    <w:p w:rsidR="00AA0128" w:rsidRPr="00AA0128" w:rsidRDefault="00AA0128" w:rsidP="00AA0128">
      <w:pPr>
        <w:jc w:val="both"/>
        <w:rPr>
          <w:rFonts w:cstheme="minorHAnsi"/>
          <w:szCs w:val="24"/>
        </w:rPr>
      </w:pPr>
      <w:r>
        <w:rPr>
          <w:rFonts w:cstheme="minorHAnsi"/>
          <w:szCs w:val="24"/>
        </w:rPr>
        <w:t xml:space="preserve">Funding will be provided when actual costs are incurred. If there is a requirement to change the </w:t>
      </w:r>
      <w:r w:rsidR="00446143">
        <w:rPr>
          <w:rFonts w:cstheme="minorHAnsi"/>
          <w:szCs w:val="24"/>
        </w:rPr>
        <w:t>agreed pla</w:t>
      </w:r>
      <w:r w:rsidRPr="00AA0128">
        <w:rPr>
          <w:rFonts w:cstheme="minorHAnsi"/>
          <w:szCs w:val="24"/>
        </w:rPr>
        <w:t xml:space="preserve">ns </w:t>
      </w:r>
      <w:r>
        <w:rPr>
          <w:rFonts w:cstheme="minorHAnsi"/>
          <w:szCs w:val="24"/>
        </w:rPr>
        <w:t>above</w:t>
      </w:r>
      <w:r w:rsidRPr="00AA0128">
        <w:rPr>
          <w:rFonts w:cstheme="minorHAnsi"/>
          <w:szCs w:val="24"/>
        </w:rPr>
        <w:t xml:space="preserve"> then the Chief Executive will need to agree the change of use of the investment fund prior to any commitments being made.  There will be no carry forward of unused funds, if spending plans do not materialise then the allocation will be removed and added to the 2022-23 investment pot for new bids/allocation process.</w:t>
      </w:r>
    </w:p>
    <w:p w:rsidR="00AA0128" w:rsidRDefault="00AA0128" w:rsidP="009A24C3">
      <w:pPr>
        <w:rPr>
          <w:rFonts w:cstheme="minorHAnsi"/>
          <w:szCs w:val="24"/>
        </w:rPr>
      </w:pPr>
    </w:p>
    <w:p w:rsidR="00AA0128" w:rsidRDefault="00AA0128" w:rsidP="00AA0128">
      <w:pPr>
        <w:pStyle w:val="ListParagraph"/>
        <w:numPr>
          <w:ilvl w:val="0"/>
          <w:numId w:val="23"/>
        </w:numPr>
        <w:rPr>
          <w:rFonts w:cstheme="minorHAnsi"/>
          <w:b/>
          <w:szCs w:val="24"/>
        </w:rPr>
      </w:pPr>
      <w:r w:rsidRPr="00AA0128">
        <w:rPr>
          <w:rFonts w:cstheme="minorHAnsi"/>
          <w:b/>
          <w:szCs w:val="24"/>
        </w:rPr>
        <w:t>2021/22 Revenue Plan by Directorate</w:t>
      </w:r>
    </w:p>
    <w:p w:rsidR="00C83EB1" w:rsidRDefault="00C83EB1" w:rsidP="00C83EB1">
      <w:pPr>
        <w:pStyle w:val="NormalText"/>
        <w:spacing w:before="360"/>
        <w:rPr>
          <w:rFonts w:ascii="Verdana" w:hAnsi="Verdana"/>
        </w:rPr>
      </w:pPr>
      <w:r w:rsidRPr="00C83EB1">
        <w:rPr>
          <w:rFonts w:ascii="Verdana" w:hAnsi="Verdana"/>
        </w:rPr>
        <w:t>We manage our fin</w:t>
      </w:r>
      <w:r w:rsidR="007874FF">
        <w:rPr>
          <w:rFonts w:ascii="Verdana" w:hAnsi="Verdana"/>
        </w:rPr>
        <w:t>ancial risk on a monthly basis, which includes</w:t>
      </w:r>
      <w:r w:rsidRPr="00C83EB1">
        <w:rPr>
          <w:rFonts w:ascii="Verdana" w:hAnsi="Verdana"/>
        </w:rPr>
        <w:t xml:space="preserve"> scrutiny of Directorate budget</w:t>
      </w:r>
      <w:r w:rsidR="007874FF">
        <w:rPr>
          <w:rFonts w:ascii="Verdana" w:hAnsi="Verdana"/>
        </w:rPr>
        <w:t>s and spending</w:t>
      </w:r>
      <w:r w:rsidRPr="00C83EB1">
        <w:rPr>
          <w:rFonts w:ascii="Verdana" w:hAnsi="Verdana"/>
        </w:rPr>
        <w:t xml:space="preserve"> plans.  These</w:t>
      </w:r>
      <w:r w:rsidR="007874FF">
        <w:rPr>
          <w:rFonts w:ascii="Verdana" w:hAnsi="Verdana"/>
        </w:rPr>
        <w:t xml:space="preserve"> are</w:t>
      </w:r>
      <w:r w:rsidRPr="00C83EB1">
        <w:rPr>
          <w:rFonts w:ascii="Verdana" w:hAnsi="Verdana"/>
        </w:rPr>
        <w:t xml:space="preserve"> risk assessed and </w:t>
      </w:r>
      <w:r w:rsidRPr="00C83EB1">
        <w:rPr>
          <w:rFonts w:ascii="Verdana" w:hAnsi="Verdana"/>
        </w:rPr>
        <w:lastRenderedPageBreak/>
        <w:t>regularly reviewed as part of the ongoing governance and assurance framework.</w:t>
      </w:r>
    </w:p>
    <w:p w:rsidR="007874FF" w:rsidRPr="00763837" w:rsidRDefault="00763837" w:rsidP="00763837">
      <w:pPr>
        <w:jc w:val="both"/>
        <w:rPr>
          <w:b/>
          <w:bCs/>
          <w:szCs w:val="24"/>
        </w:rPr>
      </w:pPr>
      <w:r w:rsidRPr="007067F5">
        <w:rPr>
          <w:b/>
          <w:bCs/>
          <w:szCs w:val="24"/>
        </w:rPr>
        <w:t xml:space="preserve">Table </w:t>
      </w:r>
      <w:r>
        <w:rPr>
          <w:b/>
          <w:bCs/>
          <w:szCs w:val="24"/>
        </w:rPr>
        <w:t>7</w:t>
      </w:r>
    </w:p>
    <w:tbl>
      <w:tblPr>
        <w:tblW w:w="9040" w:type="dxa"/>
        <w:tblInd w:w="-5" w:type="dxa"/>
        <w:tblLook w:val="04A0" w:firstRow="1" w:lastRow="0" w:firstColumn="1" w:lastColumn="0" w:noHBand="0" w:noVBand="1"/>
      </w:tblPr>
      <w:tblGrid>
        <w:gridCol w:w="5120"/>
        <w:gridCol w:w="1280"/>
        <w:gridCol w:w="1240"/>
        <w:gridCol w:w="1400"/>
      </w:tblGrid>
      <w:tr w:rsidR="00763837" w:rsidRPr="00763837" w:rsidTr="00763837">
        <w:trPr>
          <w:trHeight w:val="624"/>
        </w:trPr>
        <w:tc>
          <w:tcPr>
            <w:tcW w:w="5120"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763837" w:rsidRPr="00763837" w:rsidRDefault="00763837" w:rsidP="00763837">
            <w:pPr>
              <w:rPr>
                <w:rFonts w:ascii="Calibri" w:eastAsia="Times New Roman" w:hAnsi="Calibri" w:cs="Calibri"/>
                <w:b/>
                <w:bCs/>
                <w:color w:val="FFFFFF"/>
                <w:szCs w:val="24"/>
                <w:lang w:eastAsia="en-GB"/>
              </w:rPr>
            </w:pPr>
            <w:r w:rsidRPr="00763837">
              <w:rPr>
                <w:rFonts w:ascii="Calibri" w:eastAsia="Times New Roman" w:hAnsi="Calibri" w:cs="Calibri"/>
                <w:b/>
                <w:bCs/>
                <w:color w:val="FFFFFF"/>
                <w:szCs w:val="24"/>
                <w:lang w:eastAsia="en-GB"/>
              </w:rPr>
              <w:t>Directorate</w:t>
            </w:r>
          </w:p>
        </w:tc>
        <w:tc>
          <w:tcPr>
            <w:tcW w:w="1280" w:type="dxa"/>
            <w:tcBorders>
              <w:top w:val="single" w:sz="4" w:space="0" w:color="auto"/>
              <w:left w:val="nil"/>
              <w:bottom w:val="single" w:sz="4" w:space="0" w:color="auto"/>
              <w:right w:val="single" w:sz="4" w:space="0" w:color="auto"/>
            </w:tcBorders>
            <w:shd w:val="clear" w:color="000000" w:fill="0070C0"/>
            <w:vAlign w:val="bottom"/>
            <w:hideMark/>
          </w:tcPr>
          <w:p w:rsidR="00763837" w:rsidRPr="00763837" w:rsidRDefault="00763837" w:rsidP="00763837">
            <w:pPr>
              <w:jc w:val="center"/>
              <w:rPr>
                <w:rFonts w:ascii="Calibri" w:eastAsia="Times New Roman" w:hAnsi="Calibri" w:cs="Calibri"/>
                <w:b/>
                <w:bCs/>
                <w:color w:val="FFFFFF"/>
                <w:szCs w:val="24"/>
                <w:lang w:eastAsia="en-GB"/>
              </w:rPr>
            </w:pPr>
            <w:r w:rsidRPr="00763837">
              <w:rPr>
                <w:rFonts w:ascii="Calibri" w:eastAsia="Times New Roman" w:hAnsi="Calibri" w:cs="Calibri"/>
                <w:b/>
                <w:bCs/>
                <w:color w:val="FFFFFF"/>
                <w:szCs w:val="24"/>
                <w:lang w:eastAsia="en-GB"/>
              </w:rPr>
              <w:t>Pay £000s</w:t>
            </w:r>
          </w:p>
        </w:tc>
        <w:tc>
          <w:tcPr>
            <w:tcW w:w="1240" w:type="dxa"/>
            <w:tcBorders>
              <w:top w:val="single" w:sz="4" w:space="0" w:color="auto"/>
              <w:left w:val="nil"/>
              <w:bottom w:val="single" w:sz="4" w:space="0" w:color="auto"/>
              <w:right w:val="single" w:sz="4" w:space="0" w:color="auto"/>
            </w:tcBorders>
            <w:shd w:val="clear" w:color="000000" w:fill="0070C0"/>
            <w:vAlign w:val="bottom"/>
            <w:hideMark/>
          </w:tcPr>
          <w:p w:rsidR="00763837" w:rsidRPr="00763837" w:rsidRDefault="00763837" w:rsidP="00763837">
            <w:pPr>
              <w:jc w:val="center"/>
              <w:rPr>
                <w:rFonts w:ascii="Calibri" w:eastAsia="Times New Roman" w:hAnsi="Calibri" w:cs="Calibri"/>
                <w:b/>
                <w:bCs/>
                <w:color w:val="FFFFFF"/>
                <w:szCs w:val="24"/>
                <w:lang w:eastAsia="en-GB"/>
              </w:rPr>
            </w:pPr>
            <w:r w:rsidRPr="00763837">
              <w:rPr>
                <w:rFonts w:ascii="Calibri" w:eastAsia="Times New Roman" w:hAnsi="Calibri" w:cs="Calibri"/>
                <w:b/>
                <w:bCs/>
                <w:color w:val="FFFFFF"/>
                <w:szCs w:val="24"/>
                <w:lang w:eastAsia="en-GB"/>
              </w:rPr>
              <w:t>Non Pay £000s</w:t>
            </w:r>
          </w:p>
        </w:tc>
        <w:tc>
          <w:tcPr>
            <w:tcW w:w="1400" w:type="dxa"/>
            <w:tcBorders>
              <w:top w:val="single" w:sz="4" w:space="0" w:color="auto"/>
              <w:left w:val="nil"/>
              <w:bottom w:val="single" w:sz="4" w:space="0" w:color="auto"/>
              <w:right w:val="single" w:sz="4" w:space="0" w:color="auto"/>
            </w:tcBorders>
            <w:shd w:val="clear" w:color="000000" w:fill="0070C0"/>
            <w:vAlign w:val="bottom"/>
            <w:hideMark/>
          </w:tcPr>
          <w:p w:rsidR="00763837" w:rsidRPr="00763837" w:rsidRDefault="00763837" w:rsidP="00763837">
            <w:pPr>
              <w:jc w:val="center"/>
              <w:rPr>
                <w:rFonts w:ascii="Calibri" w:eastAsia="Times New Roman" w:hAnsi="Calibri" w:cs="Calibri"/>
                <w:b/>
                <w:bCs/>
                <w:color w:val="FFFFFF"/>
                <w:szCs w:val="24"/>
                <w:lang w:eastAsia="en-GB"/>
              </w:rPr>
            </w:pPr>
            <w:r w:rsidRPr="00763837">
              <w:rPr>
                <w:rFonts w:ascii="Calibri" w:eastAsia="Times New Roman" w:hAnsi="Calibri" w:cs="Calibri"/>
                <w:b/>
                <w:bCs/>
                <w:color w:val="FFFFFF"/>
                <w:szCs w:val="24"/>
                <w:lang w:eastAsia="en-GB"/>
              </w:rPr>
              <w:t>Grand Total £000s</w:t>
            </w:r>
          </w:p>
        </w:tc>
      </w:tr>
      <w:tr w:rsidR="00763837" w:rsidRPr="00763837" w:rsidTr="00763837">
        <w:trPr>
          <w:trHeight w:val="312"/>
        </w:trPr>
        <w:tc>
          <w:tcPr>
            <w:tcW w:w="512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Board and Corporate</w:t>
            </w:r>
          </w:p>
        </w:tc>
        <w:tc>
          <w:tcPr>
            <w:tcW w:w="1280" w:type="dxa"/>
            <w:tcBorders>
              <w:top w:val="nil"/>
              <w:left w:val="nil"/>
              <w:bottom w:val="nil"/>
              <w:right w:val="nil"/>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1,861</w:t>
            </w:r>
          </w:p>
        </w:tc>
        <w:tc>
          <w:tcPr>
            <w:tcW w:w="124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107</w:t>
            </w:r>
          </w:p>
        </w:tc>
        <w:tc>
          <w:tcPr>
            <w:tcW w:w="1400" w:type="dxa"/>
            <w:tcBorders>
              <w:top w:val="nil"/>
              <w:left w:val="nil"/>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b/>
                <w:bCs/>
                <w:color w:val="000000"/>
                <w:szCs w:val="24"/>
                <w:lang w:eastAsia="en-GB"/>
              </w:rPr>
            </w:pPr>
            <w:r w:rsidRPr="00763837">
              <w:rPr>
                <w:rFonts w:ascii="Calibri" w:eastAsia="Times New Roman" w:hAnsi="Calibri" w:cs="Calibri"/>
                <w:b/>
                <w:bCs/>
                <w:color w:val="000000"/>
                <w:szCs w:val="24"/>
                <w:lang w:eastAsia="en-GB"/>
              </w:rPr>
              <w:t>1,968</w:t>
            </w:r>
          </w:p>
        </w:tc>
      </w:tr>
      <w:tr w:rsidR="00763837" w:rsidRPr="00763837" w:rsidTr="00763837">
        <w:trPr>
          <w:trHeight w:val="312"/>
        </w:trPr>
        <w:tc>
          <w:tcPr>
            <w:tcW w:w="512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Central Budgets Directorate</w:t>
            </w:r>
          </w:p>
        </w:tc>
        <w:tc>
          <w:tcPr>
            <w:tcW w:w="1280" w:type="dxa"/>
            <w:tcBorders>
              <w:top w:val="nil"/>
              <w:left w:val="nil"/>
              <w:bottom w:val="nil"/>
              <w:right w:val="nil"/>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1,550</w:t>
            </w:r>
          </w:p>
        </w:tc>
        <w:tc>
          <w:tcPr>
            <w:tcW w:w="124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7,146</w:t>
            </w:r>
          </w:p>
        </w:tc>
        <w:tc>
          <w:tcPr>
            <w:tcW w:w="1400" w:type="dxa"/>
            <w:tcBorders>
              <w:top w:val="nil"/>
              <w:left w:val="nil"/>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b/>
                <w:bCs/>
                <w:color w:val="000000"/>
                <w:szCs w:val="24"/>
                <w:lang w:eastAsia="en-GB"/>
              </w:rPr>
            </w:pPr>
            <w:r w:rsidRPr="00763837">
              <w:rPr>
                <w:rFonts w:ascii="Calibri" w:eastAsia="Times New Roman" w:hAnsi="Calibri" w:cs="Calibri"/>
                <w:b/>
                <w:bCs/>
                <w:color w:val="000000"/>
                <w:szCs w:val="24"/>
                <w:lang w:eastAsia="en-GB"/>
              </w:rPr>
              <w:t>8,696</w:t>
            </w:r>
          </w:p>
        </w:tc>
      </w:tr>
      <w:tr w:rsidR="00763837" w:rsidRPr="00763837" w:rsidTr="00763837">
        <w:trPr>
          <w:trHeight w:val="312"/>
        </w:trPr>
        <w:tc>
          <w:tcPr>
            <w:tcW w:w="512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COVID-</w:t>
            </w:r>
            <w:r w:rsidRPr="00763837">
              <w:rPr>
                <w:rFonts w:ascii="Calibri" w:eastAsia="Times New Roman" w:hAnsi="Calibri" w:cs="Calibri"/>
                <w:color w:val="000000"/>
                <w:szCs w:val="24"/>
                <w:lang w:eastAsia="en-GB"/>
              </w:rPr>
              <w:t>19 Directorate</w:t>
            </w:r>
          </w:p>
        </w:tc>
        <w:tc>
          <w:tcPr>
            <w:tcW w:w="1280" w:type="dxa"/>
            <w:tcBorders>
              <w:top w:val="nil"/>
              <w:left w:val="nil"/>
              <w:bottom w:val="nil"/>
              <w:right w:val="nil"/>
            </w:tcBorders>
            <w:shd w:val="clear" w:color="auto" w:fill="auto"/>
            <w:noWrap/>
            <w:vAlign w:val="bottom"/>
            <w:hideMark/>
          </w:tcPr>
          <w:p w:rsidR="00763837" w:rsidRPr="00763837" w:rsidRDefault="00763837" w:rsidP="00763837">
            <w:pPr>
              <w:rPr>
                <w:rFonts w:ascii="Calibri" w:eastAsia="Times New Roman" w:hAnsi="Calibri" w:cs="Calibri"/>
                <w:color w:val="000000"/>
                <w:szCs w:val="24"/>
                <w:lang w:eastAsia="en-GB"/>
              </w:rPr>
            </w:pPr>
          </w:p>
        </w:tc>
        <w:tc>
          <w:tcPr>
            <w:tcW w:w="124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 </w:t>
            </w:r>
          </w:p>
        </w:tc>
        <w:tc>
          <w:tcPr>
            <w:tcW w:w="1400" w:type="dxa"/>
            <w:tcBorders>
              <w:top w:val="nil"/>
              <w:left w:val="nil"/>
              <w:bottom w:val="nil"/>
              <w:right w:val="single" w:sz="4" w:space="0" w:color="auto"/>
            </w:tcBorders>
            <w:shd w:val="clear" w:color="auto" w:fill="auto"/>
            <w:noWrap/>
            <w:vAlign w:val="bottom"/>
            <w:hideMark/>
          </w:tcPr>
          <w:p w:rsidR="00763837" w:rsidRPr="00763837" w:rsidRDefault="00763837" w:rsidP="00763837">
            <w:pPr>
              <w:rPr>
                <w:rFonts w:ascii="Calibri" w:eastAsia="Times New Roman" w:hAnsi="Calibri" w:cs="Calibri"/>
                <w:b/>
                <w:bCs/>
                <w:color w:val="000000"/>
                <w:szCs w:val="24"/>
                <w:lang w:eastAsia="en-GB"/>
              </w:rPr>
            </w:pPr>
            <w:r w:rsidRPr="00763837">
              <w:rPr>
                <w:rFonts w:ascii="Calibri" w:eastAsia="Times New Roman" w:hAnsi="Calibri" w:cs="Calibri"/>
                <w:b/>
                <w:bCs/>
                <w:color w:val="000000"/>
                <w:szCs w:val="24"/>
                <w:lang w:eastAsia="en-GB"/>
              </w:rPr>
              <w:t> </w:t>
            </w:r>
          </w:p>
        </w:tc>
      </w:tr>
      <w:tr w:rsidR="00763837" w:rsidRPr="00763837" w:rsidTr="00763837">
        <w:trPr>
          <w:trHeight w:val="312"/>
        </w:trPr>
        <w:tc>
          <w:tcPr>
            <w:tcW w:w="512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ind w:firstLineChars="400" w:firstLine="960"/>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 xml:space="preserve">Contact Tracing &amp; Case Management </w:t>
            </w:r>
          </w:p>
        </w:tc>
        <w:tc>
          <w:tcPr>
            <w:tcW w:w="1280" w:type="dxa"/>
            <w:tcBorders>
              <w:top w:val="nil"/>
              <w:left w:val="nil"/>
              <w:bottom w:val="nil"/>
              <w:right w:val="nil"/>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1,858</w:t>
            </w:r>
          </w:p>
        </w:tc>
        <w:tc>
          <w:tcPr>
            <w:tcW w:w="124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600</w:t>
            </w:r>
          </w:p>
        </w:tc>
        <w:tc>
          <w:tcPr>
            <w:tcW w:w="1400" w:type="dxa"/>
            <w:tcBorders>
              <w:top w:val="nil"/>
              <w:left w:val="nil"/>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b/>
                <w:bCs/>
                <w:color w:val="000000"/>
                <w:szCs w:val="24"/>
                <w:lang w:eastAsia="en-GB"/>
              </w:rPr>
            </w:pPr>
            <w:r w:rsidRPr="00763837">
              <w:rPr>
                <w:rFonts w:ascii="Calibri" w:eastAsia="Times New Roman" w:hAnsi="Calibri" w:cs="Calibri"/>
                <w:b/>
                <w:bCs/>
                <w:color w:val="000000"/>
                <w:szCs w:val="24"/>
                <w:lang w:eastAsia="en-GB"/>
              </w:rPr>
              <w:t>2,458</w:t>
            </w:r>
          </w:p>
        </w:tc>
      </w:tr>
      <w:tr w:rsidR="00763837" w:rsidRPr="00763837" w:rsidTr="00763837">
        <w:trPr>
          <w:trHeight w:val="312"/>
        </w:trPr>
        <w:tc>
          <w:tcPr>
            <w:tcW w:w="512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ind w:firstLineChars="400" w:firstLine="960"/>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Sampling &amp; Testing Division</w:t>
            </w:r>
          </w:p>
        </w:tc>
        <w:tc>
          <w:tcPr>
            <w:tcW w:w="1280" w:type="dxa"/>
            <w:tcBorders>
              <w:top w:val="nil"/>
              <w:left w:val="nil"/>
              <w:bottom w:val="nil"/>
              <w:right w:val="nil"/>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688</w:t>
            </w:r>
          </w:p>
        </w:tc>
        <w:tc>
          <w:tcPr>
            <w:tcW w:w="124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65,966</w:t>
            </w:r>
          </w:p>
        </w:tc>
        <w:tc>
          <w:tcPr>
            <w:tcW w:w="1400" w:type="dxa"/>
            <w:tcBorders>
              <w:top w:val="nil"/>
              <w:left w:val="nil"/>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b/>
                <w:bCs/>
                <w:color w:val="000000"/>
                <w:szCs w:val="24"/>
                <w:lang w:eastAsia="en-GB"/>
              </w:rPr>
            </w:pPr>
            <w:r w:rsidRPr="00763837">
              <w:rPr>
                <w:rFonts w:ascii="Calibri" w:eastAsia="Times New Roman" w:hAnsi="Calibri" w:cs="Calibri"/>
                <w:b/>
                <w:bCs/>
                <w:color w:val="000000"/>
                <w:szCs w:val="24"/>
                <w:lang w:eastAsia="en-GB"/>
              </w:rPr>
              <w:t>66,654</w:t>
            </w:r>
          </w:p>
        </w:tc>
      </w:tr>
      <w:tr w:rsidR="00763837" w:rsidRPr="00763837" w:rsidTr="00763837">
        <w:trPr>
          <w:trHeight w:val="312"/>
        </w:trPr>
        <w:tc>
          <w:tcPr>
            <w:tcW w:w="512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Health &amp; Wellbeing Directorate</w:t>
            </w:r>
          </w:p>
        </w:tc>
        <w:tc>
          <w:tcPr>
            <w:tcW w:w="1280" w:type="dxa"/>
            <w:tcBorders>
              <w:top w:val="nil"/>
              <w:left w:val="nil"/>
              <w:bottom w:val="nil"/>
              <w:right w:val="nil"/>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17,196</w:t>
            </w:r>
          </w:p>
        </w:tc>
        <w:tc>
          <w:tcPr>
            <w:tcW w:w="124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8,278</w:t>
            </w:r>
          </w:p>
        </w:tc>
        <w:tc>
          <w:tcPr>
            <w:tcW w:w="1400" w:type="dxa"/>
            <w:tcBorders>
              <w:top w:val="nil"/>
              <w:left w:val="nil"/>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b/>
                <w:bCs/>
                <w:color w:val="000000"/>
                <w:szCs w:val="24"/>
                <w:lang w:eastAsia="en-GB"/>
              </w:rPr>
            </w:pPr>
            <w:r w:rsidRPr="00763837">
              <w:rPr>
                <w:rFonts w:ascii="Calibri" w:eastAsia="Times New Roman" w:hAnsi="Calibri" w:cs="Calibri"/>
                <w:b/>
                <w:bCs/>
                <w:color w:val="000000"/>
                <w:szCs w:val="24"/>
                <w:lang w:eastAsia="en-GB"/>
              </w:rPr>
              <w:t>25,474</w:t>
            </w:r>
          </w:p>
        </w:tc>
      </w:tr>
      <w:tr w:rsidR="00763837" w:rsidRPr="00763837" w:rsidTr="00763837">
        <w:trPr>
          <w:trHeight w:val="312"/>
        </w:trPr>
        <w:tc>
          <w:tcPr>
            <w:tcW w:w="512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 xml:space="preserve">Improvement </w:t>
            </w:r>
            <w:proofErr w:type="spellStart"/>
            <w:r w:rsidRPr="00763837">
              <w:rPr>
                <w:rFonts w:ascii="Calibri" w:eastAsia="Times New Roman" w:hAnsi="Calibri" w:cs="Calibri"/>
                <w:color w:val="000000"/>
                <w:szCs w:val="24"/>
                <w:lang w:eastAsia="en-GB"/>
              </w:rPr>
              <w:t>Cymru</w:t>
            </w:r>
            <w:proofErr w:type="spellEnd"/>
          </w:p>
        </w:tc>
        <w:tc>
          <w:tcPr>
            <w:tcW w:w="1280" w:type="dxa"/>
            <w:tcBorders>
              <w:top w:val="nil"/>
              <w:left w:val="nil"/>
              <w:bottom w:val="nil"/>
              <w:right w:val="nil"/>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5,886</w:t>
            </w:r>
          </w:p>
        </w:tc>
        <w:tc>
          <w:tcPr>
            <w:tcW w:w="124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1,384</w:t>
            </w:r>
          </w:p>
        </w:tc>
        <w:tc>
          <w:tcPr>
            <w:tcW w:w="1400" w:type="dxa"/>
            <w:tcBorders>
              <w:top w:val="nil"/>
              <w:left w:val="nil"/>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b/>
                <w:bCs/>
                <w:color w:val="000000"/>
                <w:szCs w:val="24"/>
                <w:lang w:eastAsia="en-GB"/>
              </w:rPr>
            </w:pPr>
            <w:r w:rsidRPr="00763837">
              <w:rPr>
                <w:rFonts w:ascii="Calibri" w:eastAsia="Times New Roman" w:hAnsi="Calibri" w:cs="Calibri"/>
                <w:b/>
                <w:bCs/>
                <w:color w:val="000000"/>
                <w:szCs w:val="24"/>
                <w:lang w:eastAsia="en-GB"/>
              </w:rPr>
              <w:t>7,270</w:t>
            </w:r>
          </w:p>
        </w:tc>
      </w:tr>
      <w:tr w:rsidR="00763837" w:rsidRPr="00763837" w:rsidTr="00763837">
        <w:trPr>
          <w:trHeight w:val="312"/>
        </w:trPr>
        <w:tc>
          <w:tcPr>
            <w:tcW w:w="512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Knowledge Directorate</w:t>
            </w:r>
          </w:p>
        </w:tc>
        <w:tc>
          <w:tcPr>
            <w:tcW w:w="1280" w:type="dxa"/>
            <w:tcBorders>
              <w:top w:val="nil"/>
              <w:left w:val="nil"/>
              <w:bottom w:val="nil"/>
              <w:right w:val="nil"/>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4,154</w:t>
            </w:r>
          </w:p>
        </w:tc>
        <w:tc>
          <w:tcPr>
            <w:tcW w:w="124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346</w:t>
            </w:r>
          </w:p>
        </w:tc>
        <w:tc>
          <w:tcPr>
            <w:tcW w:w="1400" w:type="dxa"/>
            <w:tcBorders>
              <w:top w:val="nil"/>
              <w:left w:val="nil"/>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b/>
                <w:bCs/>
                <w:color w:val="000000"/>
                <w:szCs w:val="24"/>
                <w:lang w:eastAsia="en-GB"/>
              </w:rPr>
            </w:pPr>
            <w:r w:rsidRPr="00763837">
              <w:rPr>
                <w:rFonts w:ascii="Calibri" w:eastAsia="Times New Roman" w:hAnsi="Calibri" w:cs="Calibri"/>
                <w:b/>
                <w:bCs/>
                <w:color w:val="000000"/>
                <w:szCs w:val="24"/>
                <w:lang w:eastAsia="en-GB"/>
              </w:rPr>
              <w:t>4,499</w:t>
            </w:r>
          </w:p>
        </w:tc>
      </w:tr>
      <w:tr w:rsidR="00763837" w:rsidRPr="00763837" w:rsidTr="00763837">
        <w:trPr>
          <w:trHeight w:val="312"/>
        </w:trPr>
        <w:tc>
          <w:tcPr>
            <w:tcW w:w="512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Operations and Finance Directorate</w:t>
            </w:r>
          </w:p>
        </w:tc>
        <w:tc>
          <w:tcPr>
            <w:tcW w:w="1280" w:type="dxa"/>
            <w:tcBorders>
              <w:top w:val="nil"/>
              <w:left w:val="nil"/>
              <w:bottom w:val="nil"/>
              <w:right w:val="nil"/>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5,312</w:t>
            </w:r>
          </w:p>
        </w:tc>
        <w:tc>
          <w:tcPr>
            <w:tcW w:w="124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3,604</w:t>
            </w:r>
          </w:p>
        </w:tc>
        <w:tc>
          <w:tcPr>
            <w:tcW w:w="1400" w:type="dxa"/>
            <w:tcBorders>
              <w:top w:val="nil"/>
              <w:left w:val="nil"/>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b/>
                <w:bCs/>
                <w:color w:val="000000"/>
                <w:szCs w:val="24"/>
                <w:lang w:eastAsia="en-GB"/>
              </w:rPr>
            </w:pPr>
            <w:r w:rsidRPr="00763837">
              <w:rPr>
                <w:rFonts w:ascii="Calibri" w:eastAsia="Times New Roman" w:hAnsi="Calibri" w:cs="Calibri"/>
                <w:b/>
                <w:bCs/>
                <w:color w:val="000000"/>
                <w:szCs w:val="24"/>
                <w:lang w:eastAsia="en-GB"/>
              </w:rPr>
              <w:t>8,916</w:t>
            </w:r>
          </w:p>
        </w:tc>
      </w:tr>
      <w:tr w:rsidR="00763837" w:rsidRPr="00763837" w:rsidTr="00763837">
        <w:trPr>
          <w:trHeight w:val="312"/>
        </w:trPr>
        <w:tc>
          <w:tcPr>
            <w:tcW w:w="512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Population Health Directorate</w:t>
            </w:r>
          </w:p>
        </w:tc>
        <w:tc>
          <w:tcPr>
            <w:tcW w:w="1280" w:type="dxa"/>
            <w:tcBorders>
              <w:top w:val="nil"/>
              <w:left w:val="nil"/>
              <w:bottom w:val="nil"/>
              <w:right w:val="nil"/>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300</w:t>
            </w:r>
          </w:p>
        </w:tc>
        <w:tc>
          <w:tcPr>
            <w:tcW w:w="124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0</w:t>
            </w:r>
          </w:p>
        </w:tc>
        <w:tc>
          <w:tcPr>
            <w:tcW w:w="1400" w:type="dxa"/>
            <w:tcBorders>
              <w:top w:val="nil"/>
              <w:left w:val="nil"/>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b/>
                <w:bCs/>
                <w:color w:val="000000"/>
                <w:szCs w:val="24"/>
                <w:lang w:eastAsia="en-GB"/>
              </w:rPr>
            </w:pPr>
            <w:r w:rsidRPr="00763837">
              <w:rPr>
                <w:rFonts w:ascii="Calibri" w:eastAsia="Times New Roman" w:hAnsi="Calibri" w:cs="Calibri"/>
                <w:b/>
                <w:bCs/>
                <w:color w:val="000000"/>
                <w:szCs w:val="24"/>
                <w:lang w:eastAsia="en-GB"/>
              </w:rPr>
              <w:t>300</w:t>
            </w:r>
          </w:p>
        </w:tc>
      </w:tr>
      <w:tr w:rsidR="00763837" w:rsidRPr="00763837" w:rsidTr="00763837">
        <w:trPr>
          <w:trHeight w:val="312"/>
        </w:trPr>
        <w:tc>
          <w:tcPr>
            <w:tcW w:w="512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Public Health Services Directorate</w:t>
            </w:r>
          </w:p>
        </w:tc>
        <w:tc>
          <w:tcPr>
            <w:tcW w:w="1280" w:type="dxa"/>
            <w:tcBorders>
              <w:top w:val="nil"/>
              <w:left w:val="nil"/>
              <w:bottom w:val="nil"/>
              <w:right w:val="nil"/>
            </w:tcBorders>
            <w:shd w:val="clear" w:color="auto" w:fill="auto"/>
            <w:noWrap/>
            <w:vAlign w:val="bottom"/>
            <w:hideMark/>
          </w:tcPr>
          <w:p w:rsidR="00763837" w:rsidRPr="00763837" w:rsidRDefault="00763837" w:rsidP="00763837">
            <w:pPr>
              <w:rPr>
                <w:rFonts w:ascii="Calibri" w:eastAsia="Times New Roman" w:hAnsi="Calibri" w:cs="Calibri"/>
                <w:color w:val="000000"/>
                <w:szCs w:val="24"/>
                <w:lang w:eastAsia="en-GB"/>
              </w:rPr>
            </w:pPr>
          </w:p>
        </w:tc>
        <w:tc>
          <w:tcPr>
            <w:tcW w:w="124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 </w:t>
            </w:r>
          </w:p>
        </w:tc>
        <w:tc>
          <w:tcPr>
            <w:tcW w:w="1400" w:type="dxa"/>
            <w:tcBorders>
              <w:top w:val="nil"/>
              <w:left w:val="nil"/>
              <w:bottom w:val="nil"/>
              <w:right w:val="single" w:sz="4" w:space="0" w:color="auto"/>
            </w:tcBorders>
            <w:shd w:val="clear" w:color="auto" w:fill="auto"/>
            <w:noWrap/>
            <w:vAlign w:val="bottom"/>
            <w:hideMark/>
          </w:tcPr>
          <w:p w:rsidR="00763837" w:rsidRPr="00763837" w:rsidRDefault="00763837" w:rsidP="00763837">
            <w:pPr>
              <w:rPr>
                <w:rFonts w:ascii="Calibri" w:eastAsia="Times New Roman" w:hAnsi="Calibri" w:cs="Calibri"/>
                <w:b/>
                <w:bCs/>
                <w:color w:val="000000"/>
                <w:szCs w:val="24"/>
                <w:lang w:eastAsia="en-GB"/>
              </w:rPr>
            </w:pPr>
            <w:r w:rsidRPr="00763837">
              <w:rPr>
                <w:rFonts w:ascii="Calibri" w:eastAsia="Times New Roman" w:hAnsi="Calibri" w:cs="Calibri"/>
                <w:b/>
                <w:bCs/>
                <w:color w:val="000000"/>
                <w:szCs w:val="24"/>
                <w:lang w:eastAsia="en-GB"/>
              </w:rPr>
              <w:t> </w:t>
            </w:r>
          </w:p>
        </w:tc>
      </w:tr>
      <w:tr w:rsidR="00763837" w:rsidRPr="00763837" w:rsidTr="00763837">
        <w:trPr>
          <w:trHeight w:val="312"/>
        </w:trPr>
        <w:tc>
          <w:tcPr>
            <w:tcW w:w="512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ind w:firstLineChars="400" w:firstLine="960"/>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Health Protection Division</w:t>
            </w:r>
          </w:p>
        </w:tc>
        <w:tc>
          <w:tcPr>
            <w:tcW w:w="1280" w:type="dxa"/>
            <w:tcBorders>
              <w:top w:val="nil"/>
              <w:left w:val="nil"/>
              <w:bottom w:val="nil"/>
              <w:right w:val="nil"/>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7,573</w:t>
            </w:r>
          </w:p>
        </w:tc>
        <w:tc>
          <w:tcPr>
            <w:tcW w:w="124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3,752</w:t>
            </w:r>
          </w:p>
        </w:tc>
        <w:tc>
          <w:tcPr>
            <w:tcW w:w="1400" w:type="dxa"/>
            <w:tcBorders>
              <w:top w:val="nil"/>
              <w:left w:val="nil"/>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b/>
                <w:bCs/>
                <w:color w:val="000000"/>
                <w:szCs w:val="24"/>
                <w:lang w:eastAsia="en-GB"/>
              </w:rPr>
            </w:pPr>
            <w:r w:rsidRPr="00763837">
              <w:rPr>
                <w:rFonts w:ascii="Calibri" w:eastAsia="Times New Roman" w:hAnsi="Calibri" w:cs="Calibri"/>
                <w:b/>
                <w:bCs/>
                <w:color w:val="000000"/>
                <w:szCs w:val="24"/>
                <w:lang w:eastAsia="en-GB"/>
              </w:rPr>
              <w:t>11,325</w:t>
            </w:r>
          </w:p>
        </w:tc>
      </w:tr>
      <w:tr w:rsidR="00763837" w:rsidRPr="00763837" w:rsidTr="00763837">
        <w:trPr>
          <w:trHeight w:val="312"/>
        </w:trPr>
        <w:tc>
          <w:tcPr>
            <w:tcW w:w="512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ind w:firstLineChars="400" w:firstLine="960"/>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Microbiology Division</w:t>
            </w:r>
          </w:p>
        </w:tc>
        <w:tc>
          <w:tcPr>
            <w:tcW w:w="1280" w:type="dxa"/>
            <w:tcBorders>
              <w:top w:val="nil"/>
              <w:left w:val="nil"/>
              <w:bottom w:val="nil"/>
              <w:right w:val="nil"/>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20,804</w:t>
            </w:r>
          </w:p>
        </w:tc>
        <w:tc>
          <w:tcPr>
            <w:tcW w:w="124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12,813</w:t>
            </w:r>
          </w:p>
        </w:tc>
        <w:tc>
          <w:tcPr>
            <w:tcW w:w="1400" w:type="dxa"/>
            <w:tcBorders>
              <w:top w:val="nil"/>
              <w:left w:val="nil"/>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b/>
                <w:bCs/>
                <w:color w:val="000000"/>
                <w:szCs w:val="24"/>
                <w:lang w:eastAsia="en-GB"/>
              </w:rPr>
            </w:pPr>
            <w:r w:rsidRPr="00763837">
              <w:rPr>
                <w:rFonts w:ascii="Calibri" w:eastAsia="Times New Roman" w:hAnsi="Calibri" w:cs="Calibri"/>
                <w:b/>
                <w:bCs/>
                <w:color w:val="000000"/>
                <w:szCs w:val="24"/>
                <w:lang w:eastAsia="en-GB"/>
              </w:rPr>
              <w:t>33,617</w:t>
            </w:r>
          </w:p>
        </w:tc>
      </w:tr>
      <w:tr w:rsidR="00763837" w:rsidRPr="00763837" w:rsidTr="00763837">
        <w:trPr>
          <w:trHeight w:val="312"/>
        </w:trPr>
        <w:tc>
          <w:tcPr>
            <w:tcW w:w="512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ind w:firstLineChars="400" w:firstLine="960"/>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 xml:space="preserve">Public Health Services Corporate </w:t>
            </w:r>
          </w:p>
        </w:tc>
        <w:tc>
          <w:tcPr>
            <w:tcW w:w="1280" w:type="dxa"/>
            <w:tcBorders>
              <w:top w:val="nil"/>
              <w:left w:val="nil"/>
              <w:bottom w:val="nil"/>
              <w:right w:val="nil"/>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12,660</w:t>
            </w:r>
          </w:p>
        </w:tc>
        <w:tc>
          <w:tcPr>
            <w:tcW w:w="124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463</w:t>
            </w:r>
          </w:p>
        </w:tc>
        <w:tc>
          <w:tcPr>
            <w:tcW w:w="1400" w:type="dxa"/>
            <w:tcBorders>
              <w:top w:val="nil"/>
              <w:left w:val="nil"/>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b/>
                <w:bCs/>
                <w:color w:val="000000"/>
                <w:szCs w:val="24"/>
                <w:lang w:eastAsia="en-GB"/>
              </w:rPr>
            </w:pPr>
            <w:r w:rsidRPr="00763837">
              <w:rPr>
                <w:rFonts w:ascii="Calibri" w:eastAsia="Times New Roman" w:hAnsi="Calibri" w:cs="Calibri"/>
                <w:b/>
                <w:bCs/>
                <w:color w:val="000000"/>
                <w:szCs w:val="24"/>
                <w:lang w:eastAsia="en-GB"/>
              </w:rPr>
              <w:t>13,123</w:t>
            </w:r>
          </w:p>
        </w:tc>
      </w:tr>
      <w:tr w:rsidR="00763837" w:rsidRPr="00763837" w:rsidTr="00763837">
        <w:trPr>
          <w:trHeight w:val="312"/>
        </w:trPr>
        <w:tc>
          <w:tcPr>
            <w:tcW w:w="512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ind w:firstLineChars="400" w:firstLine="960"/>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Screening Division</w:t>
            </w:r>
          </w:p>
        </w:tc>
        <w:tc>
          <w:tcPr>
            <w:tcW w:w="1280" w:type="dxa"/>
            <w:tcBorders>
              <w:top w:val="nil"/>
              <w:left w:val="nil"/>
              <w:bottom w:val="nil"/>
              <w:right w:val="nil"/>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17,989</w:t>
            </w:r>
          </w:p>
        </w:tc>
        <w:tc>
          <w:tcPr>
            <w:tcW w:w="124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22,338</w:t>
            </w:r>
          </w:p>
        </w:tc>
        <w:tc>
          <w:tcPr>
            <w:tcW w:w="1400" w:type="dxa"/>
            <w:tcBorders>
              <w:top w:val="nil"/>
              <w:left w:val="nil"/>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b/>
                <w:bCs/>
                <w:color w:val="000000"/>
                <w:szCs w:val="24"/>
                <w:lang w:eastAsia="en-GB"/>
              </w:rPr>
            </w:pPr>
            <w:r w:rsidRPr="00763837">
              <w:rPr>
                <w:rFonts w:ascii="Calibri" w:eastAsia="Times New Roman" w:hAnsi="Calibri" w:cs="Calibri"/>
                <w:b/>
                <w:bCs/>
                <w:color w:val="000000"/>
                <w:szCs w:val="24"/>
                <w:lang w:eastAsia="en-GB"/>
              </w:rPr>
              <w:t>40,327</w:t>
            </w:r>
          </w:p>
        </w:tc>
      </w:tr>
      <w:tr w:rsidR="00763837" w:rsidRPr="00763837" w:rsidTr="00763837">
        <w:trPr>
          <w:trHeight w:val="312"/>
        </w:trPr>
        <w:tc>
          <w:tcPr>
            <w:tcW w:w="512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ind w:firstLineChars="400" w:firstLine="960"/>
              <w:rPr>
                <w:rFonts w:ascii="Calibri" w:eastAsia="Times New Roman" w:hAnsi="Calibri" w:cs="Calibri"/>
                <w:color w:val="000000"/>
                <w:szCs w:val="24"/>
                <w:lang w:eastAsia="en-GB"/>
              </w:rPr>
            </w:pPr>
            <w:r>
              <w:rPr>
                <w:rFonts w:ascii="Calibri" w:eastAsia="Times New Roman" w:hAnsi="Calibri" w:cs="Calibri"/>
                <w:color w:val="000000"/>
                <w:szCs w:val="24"/>
                <w:lang w:eastAsia="en-GB"/>
              </w:rPr>
              <w:t>SPR</w:t>
            </w:r>
            <w:r w:rsidRPr="00763837">
              <w:rPr>
                <w:rFonts w:ascii="Calibri" w:eastAsia="Times New Roman" w:hAnsi="Calibri" w:cs="Calibri"/>
                <w:color w:val="000000"/>
                <w:szCs w:val="24"/>
                <w:lang w:eastAsia="en-GB"/>
              </w:rPr>
              <w:t>s Division</w:t>
            </w:r>
          </w:p>
        </w:tc>
        <w:tc>
          <w:tcPr>
            <w:tcW w:w="1280" w:type="dxa"/>
            <w:tcBorders>
              <w:top w:val="nil"/>
              <w:left w:val="nil"/>
              <w:bottom w:val="nil"/>
              <w:right w:val="nil"/>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1,217</w:t>
            </w:r>
          </w:p>
        </w:tc>
        <w:tc>
          <w:tcPr>
            <w:tcW w:w="124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32</w:t>
            </w:r>
          </w:p>
        </w:tc>
        <w:tc>
          <w:tcPr>
            <w:tcW w:w="1400" w:type="dxa"/>
            <w:tcBorders>
              <w:top w:val="nil"/>
              <w:left w:val="nil"/>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b/>
                <w:bCs/>
                <w:color w:val="000000"/>
                <w:szCs w:val="24"/>
                <w:lang w:eastAsia="en-GB"/>
              </w:rPr>
            </w:pPr>
            <w:r w:rsidRPr="00763837">
              <w:rPr>
                <w:rFonts w:ascii="Calibri" w:eastAsia="Times New Roman" w:hAnsi="Calibri" w:cs="Calibri"/>
                <w:b/>
                <w:bCs/>
                <w:color w:val="000000"/>
                <w:szCs w:val="24"/>
                <w:lang w:eastAsia="en-GB"/>
              </w:rPr>
              <w:t>1,249</w:t>
            </w:r>
          </w:p>
        </w:tc>
      </w:tr>
      <w:tr w:rsidR="00763837" w:rsidRPr="00763837" w:rsidTr="00763837">
        <w:trPr>
          <w:trHeight w:val="312"/>
        </w:trPr>
        <w:tc>
          <w:tcPr>
            <w:tcW w:w="512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Quality Nursing &amp; Allied Health Professionals</w:t>
            </w:r>
          </w:p>
        </w:tc>
        <w:tc>
          <w:tcPr>
            <w:tcW w:w="1280" w:type="dxa"/>
            <w:tcBorders>
              <w:top w:val="nil"/>
              <w:left w:val="nil"/>
              <w:bottom w:val="nil"/>
              <w:right w:val="nil"/>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2,360</w:t>
            </w:r>
          </w:p>
        </w:tc>
        <w:tc>
          <w:tcPr>
            <w:tcW w:w="124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86</w:t>
            </w:r>
          </w:p>
        </w:tc>
        <w:tc>
          <w:tcPr>
            <w:tcW w:w="1400" w:type="dxa"/>
            <w:tcBorders>
              <w:top w:val="nil"/>
              <w:left w:val="nil"/>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b/>
                <w:bCs/>
                <w:color w:val="000000"/>
                <w:szCs w:val="24"/>
                <w:lang w:eastAsia="en-GB"/>
              </w:rPr>
            </w:pPr>
            <w:r w:rsidRPr="00763837">
              <w:rPr>
                <w:rFonts w:ascii="Calibri" w:eastAsia="Times New Roman" w:hAnsi="Calibri" w:cs="Calibri"/>
                <w:b/>
                <w:bCs/>
                <w:color w:val="000000"/>
                <w:szCs w:val="24"/>
                <w:lang w:eastAsia="en-GB"/>
              </w:rPr>
              <w:t>2,447</w:t>
            </w:r>
          </w:p>
        </w:tc>
      </w:tr>
      <w:tr w:rsidR="00763837" w:rsidRPr="00763837" w:rsidTr="00763837">
        <w:trPr>
          <w:trHeight w:val="312"/>
        </w:trPr>
        <w:tc>
          <w:tcPr>
            <w:tcW w:w="512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WHO Collaborating Centre</w:t>
            </w:r>
          </w:p>
        </w:tc>
        <w:tc>
          <w:tcPr>
            <w:tcW w:w="1280" w:type="dxa"/>
            <w:tcBorders>
              <w:top w:val="nil"/>
              <w:left w:val="nil"/>
              <w:bottom w:val="nil"/>
              <w:right w:val="nil"/>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1,927</w:t>
            </w:r>
          </w:p>
        </w:tc>
        <w:tc>
          <w:tcPr>
            <w:tcW w:w="124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251</w:t>
            </w:r>
          </w:p>
        </w:tc>
        <w:tc>
          <w:tcPr>
            <w:tcW w:w="1400" w:type="dxa"/>
            <w:tcBorders>
              <w:top w:val="nil"/>
              <w:left w:val="nil"/>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b/>
                <w:bCs/>
                <w:color w:val="000000"/>
                <w:szCs w:val="24"/>
                <w:lang w:eastAsia="en-GB"/>
              </w:rPr>
            </w:pPr>
            <w:r w:rsidRPr="00763837">
              <w:rPr>
                <w:rFonts w:ascii="Calibri" w:eastAsia="Times New Roman" w:hAnsi="Calibri" w:cs="Calibri"/>
                <w:b/>
                <w:bCs/>
                <w:color w:val="000000"/>
                <w:szCs w:val="24"/>
                <w:lang w:eastAsia="en-GB"/>
              </w:rPr>
              <w:t>2,178</w:t>
            </w:r>
          </w:p>
        </w:tc>
      </w:tr>
      <w:tr w:rsidR="00763837" w:rsidRPr="00763837" w:rsidTr="00763837">
        <w:trPr>
          <w:trHeight w:val="312"/>
        </w:trPr>
        <w:tc>
          <w:tcPr>
            <w:tcW w:w="5120" w:type="dxa"/>
            <w:tcBorders>
              <w:top w:val="nil"/>
              <w:left w:val="single" w:sz="4" w:space="0" w:color="auto"/>
              <w:bottom w:val="nil"/>
              <w:right w:val="single" w:sz="4" w:space="0" w:color="auto"/>
            </w:tcBorders>
            <w:shd w:val="clear" w:color="auto" w:fill="auto"/>
            <w:noWrap/>
            <w:vAlign w:val="bottom"/>
            <w:hideMark/>
          </w:tcPr>
          <w:p w:rsidR="00763837" w:rsidRPr="00763837" w:rsidRDefault="00763837" w:rsidP="00763837">
            <w:pPr>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Workforce &amp; Org Develop Directorate</w:t>
            </w:r>
          </w:p>
        </w:tc>
        <w:tc>
          <w:tcPr>
            <w:tcW w:w="1280" w:type="dxa"/>
            <w:tcBorders>
              <w:top w:val="nil"/>
              <w:left w:val="nil"/>
              <w:bottom w:val="nil"/>
              <w:right w:val="nil"/>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1,368</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color w:val="000000"/>
                <w:szCs w:val="24"/>
                <w:lang w:eastAsia="en-GB"/>
              </w:rPr>
            </w:pPr>
            <w:r w:rsidRPr="00763837">
              <w:rPr>
                <w:rFonts w:ascii="Calibri" w:eastAsia="Times New Roman" w:hAnsi="Calibri" w:cs="Calibri"/>
                <w:color w:val="000000"/>
                <w:szCs w:val="24"/>
                <w:lang w:eastAsia="en-GB"/>
              </w:rPr>
              <w:t>297</w:t>
            </w:r>
          </w:p>
        </w:tc>
        <w:tc>
          <w:tcPr>
            <w:tcW w:w="1400" w:type="dxa"/>
            <w:tcBorders>
              <w:top w:val="nil"/>
              <w:left w:val="nil"/>
              <w:bottom w:val="nil"/>
              <w:right w:val="single" w:sz="4" w:space="0" w:color="auto"/>
            </w:tcBorders>
            <w:shd w:val="clear" w:color="auto" w:fill="auto"/>
            <w:noWrap/>
            <w:vAlign w:val="bottom"/>
            <w:hideMark/>
          </w:tcPr>
          <w:p w:rsidR="00763837" w:rsidRPr="00763837" w:rsidRDefault="00763837" w:rsidP="00763837">
            <w:pPr>
              <w:jc w:val="right"/>
              <w:rPr>
                <w:rFonts w:ascii="Calibri" w:eastAsia="Times New Roman" w:hAnsi="Calibri" w:cs="Calibri"/>
                <w:b/>
                <w:bCs/>
                <w:color w:val="000000"/>
                <w:szCs w:val="24"/>
                <w:lang w:eastAsia="en-GB"/>
              </w:rPr>
            </w:pPr>
            <w:r w:rsidRPr="00763837">
              <w:rPr>
                <w:rFonts w:ascii="Calibri" w:eastAsia="Times New Roman" w:hAnsi="Calibri" w:cs="Calibri"/>
                <w:b/>
                <w:bCs/>
                <w:color w:val="000000"/>
                <w:szCs w:val="24"/>
                <w:lang w:eastAsia="en-GB"/>
              </w:rPr>
              <w:t>1,665</w:t>
            </w:r>
          </w:p>
        </w:tc>
      </w:tr>
      <w:tr w:rsidR="00763837" w:rsidRPr="00763837" w:rsidTr="00763837">
        <w:trPr>
          <w:trHeight w:val="312"/>
        </w:trPr>
        <w:tc>
          <w:tcPr>
            <w:tcW w:w="5120" w:type="dxa"/>
            <w:tcBorders>
              <w:top w:val="nil"/>
              <w:left w:val="single" w:sz="4" w:space="0" w:color="auto"/>
              <w:bottom w:val="single" w:sz="4" w:space="0" w:color="auto"/>
              <w:right w:val="single" w:sz="4" w:space="0" w:color="auto"/>
            </w:tcBorders>
            <w:shd w:val="clear" w:color="000000" w:fill="0070C0"/>
            <w:noWrap/>
            <w:vAlign w:val="bottom"/>
            <w:hideMark/>
          </w:tcPr>
          <w:p w:rsidR="00763837" w:rsidRPr="00763837" w:rsidRDefault="00763837" w:rsidP="00763837">
            <w:pPr>
              <w:rPr>
                <w:rFonts w:ascii="Calibri" w:eastAsia="Times New Roman" w:hAnsi="Calibri" w:cs="Calibri"/>
                <w:b/>
                <w:bCs/>
                <w:color w:val="FFFFFF"/>
                <w:szCs w:val="24"/>
                <w:lang w:eastAsia="en-GB"/>
              </w:rPr>
            </w:pPr>
            <w:r w:rsidRPr="00763837">
              <w:rPr>
                <w:rFonts w:ascii="Calibri" w:eastAsia="Times New Roman" w:hAnsi="Calibri" w:cs="Calibri"/>
                <w:b/>
                <w:bCs/>
                <w:color w:val="FFFFFF"/>
                <w:szCs w:val="24"/>
                <w:lang w:eastAsia="en-GB"/>
              </w:rPr>
              <w:t>Grand Total</w:t>
            </w:r>
          </w:p>
        </w:tc>
        <w:tc>
          <w:tcPr>
            <w:tcW w:w="1280" w:type="dxa"/>
            <w:tcBorders>
              <w:top w:val="nil"/>
              <w:left w:val="nil"/>
              <w:bottom w:val="single" w:sz="4" w:space="0" w:color="auto"/>
              <w:right w:val="nil"/>
            </w:tcBorders>
            <w:shd w:val="clear" w:color="000000" w:fill="0070C0"/>
            <w:noWrap/>
            <w:vAlign w:val="bottom"/>
            <w:hideMark/>
          </w:tcPr>
          <w:p w:rsidR="00763837" w:rsidRPr="00763837" w:rsidRDefault="00763837" w:rsidP="00763837">
            <w:pPr>
              <w:jc w:val="right"/>
              <w:rPr>
                <w:rFonts w:ascii="Calibri" w:eastAsia="Times New Roman" w:hAnsi="Calibri" w:cs="Calibri"/>
                <w:b/>
                <w:bCs/>
                <w:color w:val="FFFFFF"/>
                <w:szCs w:val="24"/>
                <w:lang w:eastAsia="en-GB"/>
              </w:rPr>
            </w:pPr>
            <w:r w:rsidRPr="00763837">
              <w:rPr>
                <w:rFonts w:ascii="Calibri" w:eastAsia="Times New Roman" w:hAnsi="Calibri" w:cs="Calibri"/>
                <w:b/>
                <w:bCs/>
                <w:color w:val="FFFFFF"/>
                <w:szCs w:val="24"/>
                <w:lang w:eastAsia="en-GB"/>
              </w:rPr>
              <w:t>104,703</w:t>
            </w:r>
          </w:p>
        </w:tc>
        <w:tc>
          <w:tcPr>
            <w:tcW w:w="1240" w:type="dxa"/>
            <w:tcBorders>
              <w:top w:val="nil"/>
              <w:left w:val="nil"/>
              <w:bottom w:val="single" w:sz="4" w:space="0" w:color="auto"/>
              <w:right w:val="nil"/>
            </w:tcBorders>
            <w:shd w:val="clear" w:color="000000" w:fill="0070C0"/>
            <w:noWrap/>
            <w:vAlign w:val="bottom"/>
            <w:hideMark/>
          </w:tcPr>
          <w:p w:rsidR="00763837" w:rsidRPr="00763837" w:rsidRDefault="00763837" w:rsidP="00763837">
            <w:pPr>
              <w:jc w:val="right"/>
              <w:rPr>
                <w:rFonts w:ascii="Calibri" w:eastAsia="Times New Roman" w:hAnsi="Calibri" w:cs="Calibri"/>
                <w:b/>
                <w:bCs/>
                <w:color w:val="FFFFFF"/>
                <w:szCs w:val="24"/>
                <w:lang w:eastAsia="en-GB"/>
              </w:rPr>
            </w:pPr>
            <w:r w:rsidRPr="00763837">
              <w:rPr>
                <w:rFonts w:ascii="Calibri" w:eastAsia="Times New Roman" w:hAnsi="Calibri" w:cs="Calibri"/>
                <w:b/>
                <w:bCs/>
                <w:color w:val="FFFFFF"/>
                <w:szCs w:val="24"/>
                <w:lang w:eastAsia="en-GB"/>
              </w:rPr>
              <w:t>127,463</w:t>
            </w:r>
          </w:p>
        </w:tc>
        <w:tc>
          <w:tcPr>
            <w:tcW w:w="1400" w:type="dxa"/>
            <w:tcBorders>
              <w:top w:val="nil"/>
              <w:left w:val="nil"/>
              <w:bottom w:val="single" w:sz="4" w:space="0" w:color="auto"/>
              <w:right w:val="single" w:sz="4" w:space="0" w:color="auto"/>
            </w:tcBorders>
            <w:shd w:val="clear" w:color="000000" w:fill="0070C0"/>
            <w:noWrap/>
            <w:vAlign w:val="bottom"/>
            <w:hideMark/>
          </w:tcPr>
          <w:p w:rsidR="00763837" w:rsidRPr="00763837" w:rsidRDefault="00763837" w:rsidP="00763837">
            <w:pPr>
              <w:jc w:val="right"/>
              <w:rPr>
                <w:rFonts w:ascii="Calibri" w:eastAsia="Times New Roman" w:hAnsi="Calibri" w:cs="Calibri"/>
                <w:b/>
                <w:bCs/>
                <w:color w:val="FFFFFF"/>
                <w:szCs w:val="24"/>
                <w:lang w:eastAsia="en-GB"/>
              </w:rPr>
            </w:pPr>
            <w:r w:rsidRPr="00763837">
              <w:rPr>
                <w:rFonts w:ascii="Calibri" w:eastAsia="Times New Roman" w:hAnsi="Calibri" w:cs="Calibri"/>
                <w:b/>
                <w:bCs/>
                <w:color w:val="FFFFFF"/>
                <w:szCs w:val="24"/>
                <w:lang w:eastAsia="en-GB"/>
              </w:rPr>
              <w:t>232,165</w:t>
            </w:r>
          </w:p>
        </w:tc>
      </w:tr>
    </w:tbl>
    <w:p w:rsidR="007874FF" w:rsidRPr="006253D3" w:rsidRDefault="006253D3" w:rsidP="006253D3">
      <w:pPr>
        <w:pStyle w:val="NormalText"/>
        <w:numPr>
          <w:ilvl w:val="0"/>
          <w:numId w:val="34"/>
        </w:numPr>
        <w:spacing w:before="0" w:after="0"/>
        <w:rPr>
          <w:rFonts w:ascii="Verdana" w:hAnsi="Verdana"/>
          <w:sz w:val="16"/>
          <w:szCs w:val="16"/>
        </w:rPr>
      </w:pPr>
      <w:r w:rsidRPr="006253D3">
        <w:rPr>
          <w:rFonts w:ascii="Calibri" w:eastAsia="Calibri" w:hAnsi="Calibri" w:cs="Calibri"/>
          <w:color w:val="000000"/>
          <w:sz w:val="16"/>
          <w:szCs w:val="16"/>
          <w:lang w:eastAsia="en-GB"/>
        </w:rPr>
        <w:t xml:space="preserve">2% Inflationary Uplift for Pay and Prices </w:t>
      </w:r>
      <w:r w:rsidR="00BD1ECB">
        <w:rPr>
          <w:rFonts w:ascii="Calibri" w:eastAsia="Calibri" w:hAnsi="Calibri" w:cs="Calibri"/>
          <w:color w:val="000000"/>
          <w:sz w:val="16"/>
          <w:szCs w:val="16"/>
          <w:lang w:eastAsia="en-GB"/>
        </w:rPr>
        <w:t>£2.182m</w:t>
      </w:r>
      <w:r w:rsidRPr="006253D3">
        <w:rPr>
          <w:rFonts w:ascii="Calibri" w:eastAsia="Calibri" w:hAnsi="Calibri" w:cs="Calibri"/>
          <w:color w:val="000000"/>
          <w:sz w:val="16"/>
          <w:szCs w:val="16"/>
          <w:lang w:eastAsia="en-GB"/>
        </w:rPr>
        <w:t xml:space="preserve"> has been added to Central Budgets </w:t>
      </w:r>
      <w:r w:rsidR="00BD1ECB">
        <w:rPr>
          <w:rFonts w:ascii="Calibri" w:eastAsia="Calibri" w:hAnsi="Calibri" w:cs="Calibri"/>
          <w:color w:val="000000"/>
          <w:sz w:val="16"/>
          <w:szCs w:val="16"/>
          <w:lang w:eastAsia="en-GB"/>
        </w:rPr>
        <w:t xml:space="preserve">along with the Investment Fund £2.415m </w:t>
      </w:r>
      <w:r w:rsidRPr="006253D3">
        <w:rPr>
          <w:rFonts w:ascii="Calibri" w:eastAsia="Calibri" w:hAnsi="Calibri" w:cs="Calibri"/>
          <w:color w:val="000000"/>
          <w:sz w:val="16"/>
          <w:szCs w:val="16"/>
          <w:lang w:eastAsia="en-GB"/>
        </w:rPr>
        <w:t>whilst work is ongoing to allocate across the Directorates</w:t>
      </w:r>
    </w:p>
    <w:p w:rsidR="006253D3" w:rsidRPr="00C83EB1" w:rsidRDefault="006253D3" w:rsidP="006253D3">
      <w:pPr>
        <w:pStyle w:val="NormalText"/>
        <w:spacing w:before="0" w:after="0"/>
        <w:rPr>
          <w:rFonts w:ascii="Verdana" w:hAnsi="Verdana"/>
        </w:rPr>
      </w:pPr>
    </w:p>
    <w:p w:rsidR="00C83EB1" w:rsidRDefault="00C83EB1" w:rsidP="007874FF">
      <w:pPr>
        <w:jc w:val="both"/>
        <w:rPr>
          <w:lang w:val="en-US"/>
        </w:rPr>
      </w:pPr>
      <w:r w:rsidRPr="007874FF">
        <w:rPr>
          <w:b/>
          <w:lang w:val="en-US"/>
        </w:rPr>
        <w:t xml:space="preserve">Table </w:t>
      </w:r>
      <w:r w:rsidR="007874FF" w:rsidRPr="007874FF">
        <w:rPr>
          <w:b/>
          <w:lang w:val="en-US"/>
        </w:rPr>
        <w:t>7</w:t>
      </w:r>
      <w:r w:rsidR="007874FF">
        <w:rPr>
          <w:lang w:val="en-US"/>
        </w:rPr>
        <w:t xml:space="preserve"> above</w:t>
      </w:r>
      <w:r>
        <w:rPr>
          <w:lang w:val="en-US"/>
        </w:rPr>
        <w:t xml:space="preserve"> shows the updated position in respect of the revenue budget plan by Directorate for 20</w:t>
      </w:r>
      <w:r w:rsidR="007874FF">
        <w:rPr>
          <w:lang w:val="en-US"/>
        </w:rPr>
        <w:t>21/22</w:t>
      </w:r>
      <w:r w:rsidR="001E1DAF" w:rsidRPr="00EE104C">
        <w:rPr>
          <w:lang w:val="en-US"/>
        </w:rPr>
        <w:t>.</w:t>
      </w:r>
      <w:r w:rsidRPr="00EE104C">
        <w:rPr>
          <w:lang w:val="en-US"/>
        </w:rPr>
        <w:t xml:space="preserve"> Public Health Services Directorate includes additional funding in relation to </w:t>
      </w:r>
      <w:r w:rsidR="009C590C" w:rsidRPr="00EE104C">
        <w:rPr>
          <w:lang w:val="en-US"/>
        </w:rPr>
        <w:t xml:space="preserve">National Health Protection Service, IP5 Lab 2, FIT </w:t>
      </w:r>
      <w:proofErr w:type="spellStart"/>
      <w:r w:rsidR="009C590C" w:rsidRPr="00EE104C">
        <w:rPr>
          <w:lang w:val="en-US"/>
        </w:rPr>
        <w:t>Optimisation</w:t>
      </w:r>
      <w:proofErr w:type="spellEnd"/>
      <w:r w:rsidR="009C590C" w:rsidRPr="00EE104C">
        <w:rPr>
          <w:lang w:val="en-US"/>
        </w:rPr>
        <w:t>, Online STI Testing</w:t>
      </w:r>
      <w:r w:rsidR="00750622" w:rsidRPr="00EE104C">
        <w:rPr>
          <w:lang w:val="en-US"/>
        </w:rPr>
        <w:t>,</w:t>
      </w:r>
      <w:r w:rsidR="009C590C" w:rsidRPr="00EE104C">
        <w:rPr>
          <w:lang w:val="en-US"/>
        </w:rPr>
        <w:t xml:space="preserve"> Resilience and Turn around Times and the </w:t>
      </w:r>
      <w:r w:rsidR="00C378AA" w:rsidRPr="00EE104C">
        <w:rPr>
          <w:lang w:val="en-US"/>
        </w:rPr>
        <w:t xml:space="preserve">Transformation of </w:t>
      </w:r>
      <w:r w:rsidR="009C590C" w:rsidRPr="00EE104C">
        <w:rPr>
          <w:lang w:val="en-US"/>
        </w:rPr>
        <w:t xml:space="preserve">Health Protection </w:t>
      </w:r>
      <w:r w:rsidR="00C378AA" w:rsidRPr="00EE104C">
        <w:rPr>
          <w:lang w:val="en-US"/>
        </w:rPr>
        <w:t>Services</w:t>
      </w:r>
      <w:r w:rsidR="009C590C" w:rsidRPr="00EE104C">
        <w:rPr>
          <w:lang w:val="en-US"/>
        </w:rPr>
        <w:t xml:space="preserve">.  COVID-19 Directorate includes </w:t>
      </w:r>
      <w:proofErr w:type="spellStart"/>
      <w:r w:rsidR="00C378AA" w:rsidRPr="00EE104C">
        <w:rPr>
          <w:lang w:val="en-US"/>
        </w:rPr>
        <w:t>I</w:t>
      </w:r>
      <w:r w:rsidRPr="00EE104C">
        <w:rPr>
          <w:lang w:val="en-US"/>
        </w:rPr>
        <w:t>mmunisation</w:t>
      </w:r>
      <w:proofErr w:type="spellEnd"/>
      <w:r w:rsidRPr="00EE104C">
        <w:rPr>
          <w:lang w:val="en-US"/>
        </w:rPr>
        <w:t>, Genomics</w:t>
      </w:r>
      <w:r w:rsidR="009C590C" w:rsidRPr="00EE104C">
        <w:rPr>
          <w:lang w:val="en-US"/>
        </w:rPr>
        <w:t xml:space="preserve">, Contract Tracing </w:t>
      </w:r>
      <w:r w:rsidRPr="00EE104C">
        <w:rPr>
          <w:lang w:val="en-US"/>
        </w:rPr>
        <w:t xml:space="preserve">and </w:t>
      </w:r>
      <w:r w:rsidR="009C590C" w:rsidRPr="00EE104C">
        <w:rPr>
          <w:lang w:val="en-US"/>
        </w:rPr>
        <w:t>Testing Non-Pay costs.</w:t>
      </w:r>
      <w:r w:rsidRPr="00EE104C">
        <w:rPr>
          <w:lang w:val="en-US"/>
        </w:rPr>
        <w:t xml:space="preserve"> </w:t>
      </w:r>
    </w:p>
    <w:p w:rsidR="007874FF" w:rsidRDefault="007874FF" w:rsidP="007874FF">
      <w:pPr>
        <w:jc w:val="both"/>
        <w:rPr>
          <w:lang w:val="en-US"/>
        </w:rPr>
      </w:pPr>
    </w:p>
    <w:p w:rsidR="00C83EB1" w:rsidRDefault="00C83EB1" w:rsidP="007874FF">
      <w:pPr>
        <w:jc w:val="both"/>
        <w:rPr>
          <w:lang w:val="en-US"/>
        </w:rPr>
      </w:pPr>
      <w:r w:rsidRPr="00EE104C">
        <w:rPr>
          <w:lang w:val="en-US"/>
        </w:rPr>
        <w:t>The budgets for 20</w:t>
      </w:r>
      <w:r w:rsidR="007874FF" w:rsidRPr="00EE104C">
        <w:rPr>
          <w:lang w:val="en-US"/>
        </w:rPr>
        <w:t>21</w:t>
      </w:r>
      <w:r w:rsidRPr="00EE104C">
        <w:rPr>
          <w:lang w:val="en-US"/>
        </w:rPr>
        <w:t>/2</w:t>
      </w:r>
      <w:r w:rsidR="007874FF" w:rsidRPr="00EE104C">
        <w:rPr>
          <w:lang w:val="en-US"/>
        </w:rPr>
        <w:t>2</w:t>
      </w:r>
      <w:r w:rsidRPr="00EE104C">
        <w:rPr>
          <w:lang w:val="en-US"/>
        </w:rPr>
        <w:t xml:space="preserve"> in the main will be uploaded in equal twelfths. However, work is currently ongoing to identify where expenditure profiles differ to equal twelfths, and Directorates will be able to request a change in profiling as long as a detailed spending profile is provided.  The budgets will then be phased to match the proposed spending plans with the plans monitored throughout the year.  </w:t>
      </w:r>
    </w:p>
    <w:p w:rsidR="002A653D" w:rsidRDefault="002A653D" w:rsidP="007874FF">
      <w:pPr>
        <w:jc w:val="both"/>
        <w:rPr>
          <w:lang w:val="en-US"/>
        </w:rPr>
      </w:pPr>
    </w:p>
    <w:p w:rsidR="002A653D" w:rsidRDefault="002A653D" w:rsidP="007874FF">
      <w:pPr>
        <w:jc w:val="both"/>
        <w:rPr>
          <w:lang w:val="en-US"/>
        </w:rPr>
      </w:pPr>
    </w:p>
    <w:p w:rsidR="002A653D" w:rsidRPr="00EE104C" w:rsidRDefault="002A653D" w:rsidP="007874FF">
      <w:pPr>
        <w:jc w:val="both"/>
        <w:rPr>
          <w:lang w:val="en-US"/>
        </w:rPr>
      </w:pPr>
    </w:p>
    <w:p w:rsidR="00C83EB1" w:rsidRPr="00EE104C" w:rsidRDefault="00C83EB1" w:rsidP="00C83EB1">
      <w:pPr>
        <w:rPr>
          <w:lang w:val="en-US"/>
        </w:rPr>
      </w:pPr>
    </w:p>
    <w:p w:rsidR="00776541" w:rsidRDefault="00776541" w:rsidP="00776541">
      <w:pPr>
        <w:pStyle w:val="ListParagraph"/>
        <w:numPr>
          <w:ilvl w:val="0"/>
          <w:numId w:val="23"/>
        </w:numPr>
        <w:ind w:left="426" w:hanging="426"/>
        <w:rPr>
          <w:rFonts w:cstheme="minorHAnsi"/>
          <w:b/>
          <w:szCs w:val="24"/>
        </w:rPr>
      </w:pPr>
      <w:r>
        <w:rPr>
          <w:rFonts w:cstheme="minorHAnsi"/>
          <w:b/>
          <w:szCs w:val="24"/>
        </w:rPr>
        <w:lastRenderedPageBreak/>
        <w:t>Financial Risk</w:t>
      </w:r>
    </w:p>
    <w:p w:rsidR="00F037CD" w:rsidRDefault="00F037CD" w:rsidP="00F037CD">
      <w:pPr>
        <w:pStyle w:val="ListParagraph"/>
        <w:ind w:left="426"/>
        <w:rPr>
          <w:rFonts w:cstheme="minorHAnsi"/>
          <w:b/>
          <w:szCs w:val="24"/>
        </w:rPr>
      </w:pPr>
    </w:p>
    <w:p w:rsidR="00776541" w:rsidRDefault="00776541" w:rsidP="00F037CD">
      <w:pPr>
        <w:jc w:val="both"/>
        <w:rPr>
          <w:rFonts w:eastAsia="Times New Roman" w:cs="Times New Roman"/>
          <w:color w:val="404040"/>
          <w:szCs w:val="24"/>
        </w:rPr>
      </w:pPr>
      <w:r w:rsidRPr="00776541">
        <w:rPr>
          <w:rFonts w:eastAsia="Times New Roman" w:cs="Times New Roman"/>
          <w:color w:val="404040"/>
          <w:szCs w:val="24"/>
        </w:rPr>
        <w:t>We are currently anticipating a breakeven position, in line with the 20</w:t>
      </w:r>
      <w:r w:rsidR="00F037CD">
        <w:rPr>
          <w:rFonts w:eastAsia="Times New Roman" w:cs="Times New Roman"/>
          <w:color w:val="404040"/>
          <w:szCs w:val="24"/>
        </w:rPr>
        <w:t>21</w:t>
      </w:r>
      <w:r w:rsidRPr="00776541">
        <w:rPr>
          <w:rFonts w:eastAsia="Times New Roman" w:cs="Times New Roman"/>
          <w:color w:val="404040"/>
          <w:szCs w:val="24"/>
        </w:rPr>
        <w:t>/2</w:t>
      </w:r>
      <w:r w:rsidR="00F037CD">
        <w:rPr>
          <w:rFonts w:eastAsia="Times New Roman" w:cs="Times New Roman"/>
          <w:color w:val="404040"/>
          <w:szCs w:val="24"/>
        </w:rPr>
        <w:t>2</w:t>
      </w:r>
      <w:r w:rsidRPr="00776541">
        <w:rPr>
          <w:rFonts w:eastAsia="Times New Roman" w:cs="Times New Roman"/>
          <w:color w:val="404040"/>
          <w:szCs w:val="24"/>
        </w:rPr>
        <w:t xml:space="preserve"> budget setting process and detailed work of the </w:t>
      </w:r>
      <w:r w:rsidR="00F037CD">
        <w:rPr>
          <w:rFonts w:eastAsia="Times New Roman" w:cs="Times New Roman"/>
          <w:color w:val="404040"/>
          <w:szCs w:val="24"/>
        </w:rPr>
        <w:t>Annual Plan</w:t>
      </w:r>
      <w:r w:rsidRPr="00776541">
        <w:rPr>
          <w:rFonts w:eastAsia="Times New Roman" w:cs="Times New Roman"/>
          <w:color w:val="404040"/>
          <w:szCs w:val="24"/>
        </w:rPr>
        <w:t>.</w:t>
      </w:r>
      <w:r w:rsidR="00F037CD">
        <w:rPr>
          <w:rFonts w:eastAsia="Times New Roman" w:cs="Times New Roman"/>
          <w:color w:val="404040"/>
          <w:szCs w:val="24"/>
        </w:rPr>
        <w:t xml:space="preserve">  However, it is worth noting the Welsh Government assumed income, some of which relates to previous cases and agreements, and some which relates to the forecast expenditure in relation to COVID-19 costs continuing into 2021/22.</w:t>
      </w:r>
    </w:p>
    <w:p w:rsidR="00F037CD" w:rsidRPr="00776541" w:rsidRDefault="00F037CD" w:rsidP="00F037CD">
      <w:pPr>
        <w:jc w:val="both"/>
        <w:rPr>
          <w:rFonts w:eastAsia="Times New Roman" w:cs="Times New Roman"/>
          <w:color w:val="404040"/>
          <w:szCs w:val="24"/>
        </w:rPr>
      </w:pPr>
    </w:p>
    <w:p w:rsidR="00776541" w:rsidRPr="00776541" w:rsidRDefault="00F037CD" w:rsidP="00F037CD">
      <w:pPr>
        <w:jc w:val="both"/>
        <w:rPr>
          <w:rFonts w:eastAsia="Times New Roman" w:cs="Times New Roman"/>
          <w:color w:val="404040"/>
          <w:szCs w:val="24"/>
        </w:rPr>
      </w:pPr>
      <w:r>
        <w:rPr>
          <w:rFonts w:eastAsia="Times New Roman" w:cs="Times New Roman"/>
          <w:color w:val="404040"/>
          <w:szCs w:val="24"/>
        </w:rPr>
        <w:t>We manage</w:t>
      </w:r>
      <w:r w:rsidR="00776541" w:rsidRPr="00776541">
        <w:rPr>
          <w:rFonts w:eastAsia="Times New Roman" w:cs="Times New Roman"/>
          <w:color w:val="404040"/>
          <w:szCs w:val="24"/>
        </w:rPr>
        <w:t xml:space="preserve"> our financial risk through monthly scrutiny of the financial position and forecast expenditure plans. Finance Business Partners will work with Directorate and Divisional senior management</w:t>
      </w:r>
      <w:r w:rsidR="00446143">
        <w:rPr>
          <w:rFonts w:eastAsia="Times New Roman" w:cs="Times New Roman"/>
          <w:color w:val="404040"/>
          <w:szCs w:val="24"/>
        </w:rPr>
        <w:t xml:space="preserve"> teams</w:t>
      </w:r>
      <w:r w:rsidR="00776541" w:rsidRPr="00776541">
        <w:rPr>
          <w:rFonts w:eastAsia="Times New Roman" w:cs="Times New Roman"/>
          <w:color w:val="404040"/>
          <w:szCs w:val="24"/>
        </w:rPr>
        <w:t xml:space="preserve"> to ensure that any changes to forecast plans are included in the detailed projections and that assumptions and risks associated with the figures are captured.  This ensures that monthly changes to plans can be monitored closely, and reported to each senior management team as part of routine financial performance reporting.  </w:t>
      </w:r>
    </w:p>
    <w:p w:rsidR="00776541" w:rsidRDefault="00776541" w:rsidP="00776541">
      <w:pPr>
        <w:rPr>
          <w:rFonts w:cstheme="minorHAnsi"/>
          <w:b/>
          <w:szCs w:val="24"/>
        </w:rPr>
      </w:pPr>
    </w:p>
    <w:p w:rsidR="00776541" w:rsidRDefault="00776541" w:rsidP="00776541">
      <w:pPr>
        <w:pStyle w:val="ListParagraph"/>
        <w:numPr>
          <w:ilvl w:val="0"/>
          <w:numId w:val="23"/>
        </w:numPr>
        <w:ind w:left="284" w:hanging="284"/>
        <w:rPr>
          <w:rFonts w:cstheme="minorHAnsi"/>
          <w:b/>
          <w:szCs w:val="24"/>
        </w:rPr>
      </w:pPr>
      <w:r>
        <w:rPr>
          <w:rFonts w:cstheme="minorHAnsi"/>
          <w:b/>
          <w:szCs w:val="24"/>
        </w:rPr>
        <w:t>Capital Plan</w:t>
      </w:r>
    </w:p>
    <w:p w:rsidR="00776541" w:rsidRDefault="00776541" w:rsidP="00776541">
      <w:pPr>
        <w:rPr>
          <w:rFonts w:cstheme="minorHAnsi"/>
          <w:b/>
          <w:szCs w:val="24"/>
        </w:rPr>
      </w:pPr>
    </w:p>
    <w:p w:rsidR="00923337" w:rsidRPr="00DE6BAE" w:rsidRDefault="00923337" w:rsidP="00923337">
      <w:pPr>
        <w:pStyle w:val="Quote"/>
        <w:tabs>
          <w:tab w:val="clear" w:pos="1361"/>
        </w:tabs>
        <w:spacing w:before="120" w:after="120"/>
        <w:ind w:left="0" w:firstLine="0"/>
        <w:rPr>
          <w:rFonts w:ascii="Calibri Light" w:hAnsi="Calibri Light"/>
          <w:b w:val="0"/>
          <w:color w:val="325083"/>
          <w:spacing w:val="0"/>
          <w:sz w:val="32"/>
        </w:rPr>
      </w:pPr>
      <w:r>
        <w:rPr>
          <w:rFonts w:ascii="Calibri Light" w:hAnsi="Calibri Light"/>
          <w:b w:val="0"/>
          <w:color w:val="325083"/>
          <w:spacing w:val="0"/>
          <w:sz w:val="32"/>
        </w:rPr>
        <w:t>Strategic</w:t>
      </w:r>
      <w:r w:rsidRPr="00DE6BAE">
        <w:rPr>
          <w:rFonts w:ascii="Calibri Light" w:hAnsi="Calibri Light"/>
          <w:b w:val="0"/>
          <w:color w:val="325083"/>
          <w:spacing w:val="0"/>
          <w:sz w:val="32"/>
        </w:rPr>
        <w:t xml:space="preserve"> Capital</w:t>
      </w:r>
    </w:p>
    <w:p w:rsidR="00776541" w:rsidRDefault="00776541" w:rsidP="00776541">
      <w:pPr>
        <w:pStyle w:val="NormalText"/>
        <w:rPr>
          <w:rFonts w:ascii="Verdana" w:hAnsi="Verdana"/>
        </w:rPr>
      </w:pPr>
      <w:r w:rsidRPr="00C378AA">
        <w:rPr>
          <w:rFonts w:ascii="Verdana" w:hAnsi="Verdana"/>
        </w:rPr>
        <w:t xml:space="preserve">Our recurrent discretionary capital funding is </w:t>
      </w:r>
      <w:r w:rsidR="00C378AA" w:rsidRPr="00C378AA">
        <w:rPr>
          <w:rFonts w:ascii="Verdana" w:hAnsi="Verdana"/>
        </w:rPr>
        <w:t>£1.58</w:t>
      </w:r>
      <w:r w:rsidR="00E27EE7">
        <w:rPr>
          <w:rFonts w:ascii="Verdana" w:hAnsi="Verdana"/>
        </w:rPr>
        <w:t>0</w:t>
      </w:r>
      <w:r w:rsidRPr="00C378AA">
        <w:rPr>
          <w:rFonts w:ascii="Verdana" w:hAnsi="Verdana"/>
        </w:rPr>
        <w:t>m.</w:t>
      </w:r>
      <w:r w:rsidRPr="00776541">
        <w:rPr>
          <w:rFonts w:ascii="Verdana" w:hAnsi="Verdana"/>
        </w:rPr>
        <w:t xml:space="preserve"> </w:t>
      </w:r>
      <w:r>
        <w:rPr>
          <w:rFonts w:ascii="Verdana" w:hAnsi="Verdana"/>
        </w:rPr>
        <w:t xml:space="preserve"> </w:t>
      </w:r>
      <w:r w:rsidR="007874FF">
        <w:rPr>
          <w:rFonts w:ascii="Verdana" w:hAnsi="Verdana"/>
        </w:rPr>
        <w:t xml:space="preserve">To date only </w:t>
      </w:r>
      <w:r w:rsidR="00C378AA">
        <w:rPr>
          <w:rFonts w:ascii="Verdana" w:hAnsi="Verdana"/>
        </w:rPr>
        <w:t>one strategic</w:t>
      </w:r>
      <w:r w:rsidR="007874FF">
        <w:rPr>
          <w:rFonts w:ascii="Verdana" w:hAnsi="Verdana"/>
        </w:rPr>
        <w:t xml:space="preserve"> capital bid for the Transformation of Health Protection Services for Wales has</w:t>
      </w:r>
      <w:r>
        <w:rPr>
          <w:rFonts w:ascii="Verdana" w:hAnsi="Verdana"/>
        </w:rPr>
        <w:t xml:space="preserve"> been approved for 2021-22. </w:t>
      </w:r>
      <w:r w:rsidRPr="00776541">
        <w:rPr>
          <w:rFonts w:ascii="Verdana" w:hAnsi="Verdana"/>
        </w:rPr>
        <w:t xml:space="preserve"> Meetings with Welsh Government are ongoing with regards to currently unapproved </w:t>
      </w:r>
      <w:r>
        <w:rPr>
          <w:rFonts w:ascii="Verdana" w:hAnsi="Verdana"/>
        </w:rPr>
        <w:t xml:space="preserve">strategic capital </w:t>
      </w:r>
      <w:r w:rsidRPr="00776541">
        <w:rPr>
          <w:rFonts w:ascii="Verdana" w:hAnsi="Verdana"/>
        </w:rPr>
        <w:t>bids.</w:t>
      </w:r>
      <w:r w:rsidR="0032735F">
        <w:rPr>
          <w:rFonts w:ascii="Verdana" w:hAnsi="Verdana"/>
        </w:rPr>
        <w:t xml:space="preserve"> </w:t>
      </w:r>
      <w:r w:rsidRPr="00776541">
        <w:rPr>
          <w:rFonts w:ascii="Verdana" w:hAnsi="Verdana"/>
          <w:b/>
        </w:rPr>
        <w:t xml:space="preserve">Table </w:t>
      </w:r>
      <w:r w:rsidR="007874FF">
        <w:rPr>
          <w:rFonts w:ascii="Verdana" w:hAnsi="Verdana"/>
          <w:b/>
        </w:rPr>
        <w:t>8</w:t>
      </w:r>
      <w:r w:rsidRPr="00776541">
        <w:rPr>
          <w:rFonts w:ascii="Verdana" w:hAnsi="Verdana"/>
        </w:rPr>
        <w:t xml:space="preserve"> summarises the strategic capital requirements over the next three years</w:t>
      </w:r>
      <w:r w:rsidR="00446143">
        <w:rPr>
          <w:rFonts w:ascii="Verdana" w:hAnsi="Verdana"/>
        </w:rPr>
        <w:t xml:space="preserve"> and </w:t>
      </w:r>
      <w:r w:rsidR="00446143" w:rsidRPr="00446143">
        <w:rPr>
          <w:rFonts w:ascii="Verdana" w:hAnsi="Verdana"/>
          <w:b/>
        </w:rPr>
        <w:t>Appendix T</w:t>
      </w:r>
      <w:r w:rsidR="0047681B">
        <w:rPr>
          <w:rFonts w:ascii="Verdana" w:hAnsi="Verdana"/>
          <w:b/>
        </w:rPr>
        <w:t>hree</w:t>
      </w:r>
      <w:r w:rsidR="00446143">
        <w:rPr>
          <w:rFonts w:ascii="Verdana" w:hAnsi="Verdana"/>
        </w:rPr>
        <w:t xml:space="preserve"> provides further detail on the schemes</w:t>
      </w:r>
      <w:r w:rsidRPr="00776541">
        <w:rPr>
          <w:rFonts w:ascii="Verdana" w:hAnsi="Verdana"/>
        </w:rPr>
        <w:t xml:space="preserve">. </w:t>
      </w:r>
    </w:p>
    <w:p w:rsidR="0069535A" w:rsidRDefault="0069535A" w:rsidP="00776541">
      <w:pPr>
        <w:pStyle w:val="NormalText"/>
        <w:rPr>
          <w:rFonts w:ascii="Verdana" w:hAnsi="Verdana"/>
          <w:b/>
        </w:rPr>
      </w:pPr>
      <w:bookmarkStart w:id="3" w:name="_Toc445201291"/>
      <w:bookmarkStart w:id="4" w:name="_Toc445374222"/>
      <w:bookmarkStart w:id="5" w:name="_Toc447176592"/>
      <w:bookmarkStart w:id="6" w:name="_Toc445201290"/>
      <w:bookmarkStart w:id="7" w:name="_Toc445374221"/>
      <w:bookmarkStart w:id="8" w:name="_Toc447176591"/>
    </w:p>
    <w:p w:rsidR="00776541" w:rsidRPr="00776541" w:rsidRDefault="007874FF" w:rsidP="00776541">
      <w:pPr>
        <w:pStyle w:val="NormalText"/>
        <w:rPr>
          <w:rFonts w:ascii="Calibri Light" w:hAnsi="Calibri Light"/>
          <w:b/>
          <w:color w:val="324F82"/>
          <w:sz w:val="20"/>
          <w:szCs w:val="28"/>
        </w:rPr>
      </w:pPr>
      <w:r>
        <w:rPr>
          <w:rFonts w:ascii="Verdana" w:hAnsi="Verdana"/>
          <w:b/>
        </w:rPr>
        <w:t>Table 8</w:t>
      </w:r>
    </w:p>
    <w:tbl>
      <w:tblPr>
        <w:tblW w:w="9417" w:type="dxa"/>
        <w:tblBorders>
          <w:top w:val="single" w:sz="4" w:space="0" w:color="D2DDEE"/>
          <w:left w:val="single" w:sz="4" w:space="0" w:color="D2DDEE"/>
          <w:bottom w:val="single" w:sz="4" w:space="0" w:color="D2DDEE"/>
          <w:right w:val="single" w:sz="4" w:space="0" w:color="D2DDEE"/>
          <w:insideH w:val="single" w:sz="4" w:space="0" w:color="D2DDEE"/>
          <w:insideV w:val="single" w:sz="4" w:space="0" w:color="D2DDEE"/>
        </w:tblBorders>
        <w:tblLook w:val="04A0" w:firstRow="1" w:lastRow="0" w:firstColumn="1" w:lastColumn="0" w:noHBand="0" w:noVBand="1"/>
      </w:tblPr>
      <w:tblGrid>
        <w:gridCol w:w="6070"/>
        <w:gridCol w:w="1117"/>
        <w:gridCol w:w="1115"/>
        <w:gridCol w:w="1115"/>
      </w:tblGrid>
      <w:tr w:rsidR="00776541" w:rsidRPr="00344016" w:rsidTr="0069535A">
        <w:trPr>
          <w:trHeight w:val="627"/>
        </w:trPr>
        <w:tc>
          <w:tcPr>
            <w:tcW w:w="6070" w:type="dxa"/>
            <w:shd w:val="clear" w:color="auto" w:fill="548DD4" w:themeFill="text2" w:themeFillTint="99"/>
            <w:noWrap/>
            <w:vAlign w:val="center"/>
            <w:hideMark/>
          </w:tcPr>
          <w:p w:rsidR="00776541" w:rsidRPr="0069535A" w:rsidRDefault="00776541" w:rsidP="00745C62">
            <w:pPr>
              <w:rPr>
                <w:rFonts w:ascii="Calibri Light" w:eastAsia="Times New Roman" w:hAnsi="Calibri Light" w:cs="Times New Roman"/>
                <w:color w:val="FFFFFF" w:themeColor="background1"/>
                <w:szCs w:val="24"/>
                <w:lang w:eastAsia="en-GB"/>
              </w:rPr>
            </w:pPr>
            <w:r w:rsidRPr="0069535A">
              <w:rPr>
                <w:rFonts w:ascii="Calibri Light" w:eastAsia="Times New Roman" w:hAnsi="Calibri Light" w:cs="Times New Roman"/>
                <w:color w:val="FFFFFF" w:themeColor="background1"/>
                <w:szCs w:val="24"/>
                <w:lang w:eastAsia="en-GB"/>
              </w:rPr>
              <w:t> </w:t>
            </w:r>
          </w:p>
        </w:tc>
        <w:tc>
          <w:tcPr>
            <w:tcW w:w="1117" w:type="dxa"/>
            <w:shd w:val="clear" w:color="auto" w:fill="548DD4" w:themeFill="text2" w:themeFillTint="99"/>
            <w:vAlign w:val="center"/>
            <w:hideMark/>
          </w:tcPr>
          <w:p w:rsidR="00776541" w:rsidRPr="0069535A" w:rsidRDefault="00776541" w:rsidP="00745C62">
            <w:pPr>
              <w:jc w:val="center"/>
              <w:rPr>
                <w:rFonts w:ascii="Calibri Light" w:eastAsia="Times New Roman" w:hAnsi="Calibri Light" w:cs="Times New Roman"/>
                <w:b/>
                <w:bCs/>
                <w:color w:val="FFFFFF" w:themeColor="background1"/>
                <w:szCs w:val="24"/>
                <w:lang w:eastAsia="en-GB"/>
              </w:rPr>
            </w:pPr>
            <w:r w:rsidRPr="0069535A">
              <w:rPr>
                <w:rFonts w:ascii="Calibri Light" w:eastAsia="Times New Roman" w:hAnsi="Calibri Light" w:cs="Times New Roman"/>
                <w:b/>
                <w:bCs/>
                <w:color w:val="FFFFFF" w:themeColor="background1"/>
                <w:szCs w:val="24"/>
                <w:lang w:eastAsia="en-GB"/>
              </w:rPr>
              <w:t>FY21-22 £000s</w:t>
            </w:r>
          </w:p>
        </w:tc>
        <w:tc>
          <w:tcPr>
            <w:tcW w:w="1115" w:type="dxa"/>
            <w:shd w:val="clear" w:color="auto" w:fill="548DD4" w:themeFill="text2" w:themeFillTint="99"/>
            <w:vAlign w:val="center"/>
            <w:hideMark/>
          </w:tcPr>
          <w:p w:rsidR="00776541" w:rsidRPr="0069535A" w:rsidRDefault="00776541" w:rsidP="00776541">
            <w:pPr>
              <w:jc w:val="center"/>
              <w:rPr>
                <w:rFonts w:ascii="Calibri Light" w:eastAsia="Times New Roman" w:hAnsi="Calibri Light" w:cs="Times New Roman"/>
                <w:b/>
                <w:bCs/>
                <w:color w:val="FFFFFF" w:themeColor="background1"/>
                <w:szCs w:val="24"/>
                <w:lang w:eastAsia="en-GB"/>
              </w:rPr>
            </w:pPr>
            <w:r w:rsidRPr="0069535A">
              <w:rPr>
                <w:rFonts w:ascii="Calibri Light" w:eastAsia="Times New Roman" w:hAnsi="Calibri Light" w:cs="Times New Roman"/>
                <w:b/>
                <w:bCs/>
                <w:color w:val="FFFFFF" w:themeColor="background1"/>
                <w:szCs w:val="24"/>
                <w:lang w:eastAsia="en-GB"/>
              </w:rPr>
              <w:t>FY22-23 £000s</w:t>
            </w:r>
          </w:p>
        </w:tc>
        <w:tc>
          <w:tcPr>
            <w:tcW w:w="1115" w:type="dxa"/>
            <w:shd w:val="clear" w:color="auto" w:fill="548DD4" w:themeFill="text2" w:themeFillTint="99"/>
            <w:vAlign w:val="center"/>
            <w:hideMark/>
          </w:tcPr>
          <w:p w:rsidR="00776541" w:rsidRPr="0069535A" w:rsidRDefault="00776541" w:rsidP="00776541">
            <w:pPr>
              <w:jc w:val="center"/>
              <w:rPr>
                <w:rFonts w:ascii="Calibri Light" w:eastAsia="Times New Roman" w:hAnsi="Calibri Light" w:cs="Times New Roman"/>
                <w:b/>
                <w:bCs/>
                <w:color w:val="FFFFFF" w:themeColor="background1"/>
                <w:szCs w:val="24"/>
                <w:lang w:eastAsia="en-GB"/>
              </w:rPr>
            </w:pPr>
            <w:r w:rsidRPr="0069535A">
              <w:rPr>
                <w:rFonts w:ascii="Calibri Light" w:eastAsia="Times New Roman" w:hAnsi="Calibri Light" w:cs="Times New Roman"/>
                <w:b/>
                <w:bCs/>
                <w:color w:val="FFFFFF" w:themeColor="background1"/>
                <w:szCs w:val="24"/>
                <w:lang w:eastAsia="en-GB"/>
              </w:rPr>
              <w:t>FY23-24 £000s</w:t>
            </w:r>
          </w:p>
        </w:tc>
      </w:tr>
      <w:tr w:rsidR="00776541" w:rsidRPr="00344016" w:rsidTr="00745C62">
        <w:trPr>
          <w:trHeight w:val="298"/>
        </w:trPr>
        <w:tc>
          <w:tcPr>
            <w:tcW w:w="6070" w:type="dxa"/>
            <w:shd w:val="clear" w:color="auto" w:fill="auto"/>
          </w:tcPr>
          <w:p w:rsidR="00776541" w:rsidRPr="0069535A" w:rsidRDefault="00637A18" w:rsidP="00637A18">
            <w:pPr>
              <w:rPr>
                <w:rFonts w:asciiTheme="minorHAnsi" w:eastAsia="Times New Roman" w:hAnsiTheme="minorHAnsi" w:cstheme="minorHAnsi"/>
                <w:color w:val="404040"/>
                <w:szCs w:val="24"/>
                <w:lang w:eastAsia="en-GB"/>
              </w:rPr>
            </w:pPr>
            <w:r w:rsidRPr="0069535A">
              <w:rPr>
                <w:rFonts w:asciiTheme="minorHAnsi" w:eastAsia="Times New Roman" w:hAnsiTheme="minorHAnsi" w:cstheme="minorHAnsi"/>
                <w:color w:val="404040"/>
                <w:szCs w:val="24"/>
                <w:lang w:eastAsia="en-GB"/>
              </w:rPr>
              <w:t>Screening Informatics Systems (unapproved)</w:t>
            </w:r>
          </w:p>
        </w:tc>
        <w:tc>
          <w:tcPr>
            <w:tcW w:w="1117" w:type="dxa"/>
            <w:shd w:val="clear" w:color="auto" w:fill="auto"/>
            <w:noWrap/>
          </w:tcPr>
          <w:p w:rsidR="00776541" w:rsidRPr="0069535A" w:rsidRDefault="00776541" w:rsidP="00745C62">
            <w:pPr>
              <w:jc w:val="right"/>
              <w:rPr>
                <w:rFonts w:asciiTheme="minorHAnsi" w:eastAsia="Times New Roman" w:hAnsiTheme="minorHAnsi" w:cstheme="minorHAnsi"/>
                <w:color w:val="404040"/>
                <w:szCs w:val="24"/>
                <w:lang w:eastAsia="en-GB"/>
              </w:rPr>
            </w:pPr>
          </w:p>
        </w:tc>
        <w:tc>
          <w:tcPr>
            <w:tcW w:w="1115" w:type="dxa"/>
            <w:shd w:val="clear" w:color="auto" w:fill="auto"/>
            <w:noWrap/>
          </w:tcPr>
          <w:p w:rsidR="00776541" w:rsidRPr="0069535A" w:rsidRDefault="00637A18" w:rsidP="00745C62">
            <w:pPr>
              <w:jc w:val="right"/>
              <w:rPr>
                <w:rFonts w:asciiTheme="minorHAnsi" w:eastAsia="Times New Roman" w:hAnsiTheme="minorHAnsi" w:cstheme="minorHAnsi"/>
                <w:color w:val="404040"/>
                <w:szCs w:val="24"/>
                <w:lang w:eastAsia="en-GB"/>
              </w:rPr>
            </w:pPr>
            <w:r w:rsidRPr="0069535A">
              <w:rPr>
                <w:rFonts w:asciiTheme="minorHAnsi" w:eastAsia="Times New Roman" w:hAnsiTheme="minorHAnsi" w:cstheme="minorHAnsi"/>
                <w:color w:val="404040"/>
                <w:szCs w:val="24"/>
                <w:lang w:eastAsia="en-GB"/>
              </w:rPr>
              <w:t>700</w:t>
            </w:r>
          </w:p>
        </w:tc>
        <w:tc>
          <w:tcPr>
            <w:tcW w:w="1115" w:type="dxa"/>
            <w:shd w:val="clear" w:color="auto" w:fill="auto"/>
            <w:noWrap/>
          </w:tcPr>
          <w:p w:rsidR="00776541" w:rsidRPr="0069535A" w:rsidRDefault="00637A18" w:rsidP="00745C62">
            <w:pPr>
              <w:jc w:val="right"/>
              <w:rPr>
                <w:rFonts w:asciiTheme="minorHAnsi" w:eastAsia="Times New Roman" w:hAnsiTheme="minorHAnsi" w:cstheme="minorHAnsi"/>
                <w:color w:val="404040"/>
                <w:szCs w:val="24"/>
                <w:lang w:eastAsia="en-GB"/>
              </w:rPr>
            </w:pPr>
            <w:r w:rsidRPr="0069535A">
              <w:rPr>
                <w:rFonts w:asciiTheme="minorHAnsi" w:eastAsia="Times New Roman" w:hAnsiTheme="minorHAnsi" w:cstheme="minorHAnsi"/>
                <w:color w:val="404040"/>
                <w:szCs w:val="24"/>
                <w:lang w:eastAsia="en-GB"/>
              </w:rPr>
              <w:t>1,000</w:t>
            </w:r>
          </w:p>
        </w:tc>
      </w:tr>
      <w:tr w:rsidR="00F037CD" w:rsidRPr="00344016" w:rsidTr="00776541">
        <w:trPr>
          <w:trHeight w:val="325"/>
        </w:trPr>
        <w:tc>
          <w:tcPr>
            <w:tcW w:w="6070" w:type="dxa"/>
            <w:shd w:val="clear" w:color="auto" w:fill="auto"/>
            <w:noWrap/>
          </w:tcPr>
          <w:p w:rsidR="00F037CD" w:rsidRPr="0069535A" w:rsidRDefault="00F037CD" w:rsidP="00745C62">
            <w:pPr>
              <w:rPr>
                <w:rFonts w:asciiTheme="minorHAnsi" w:eastAsia="Times New Roman" w:hAnsiTheme="minorHAnsi" w:cstheme="minorHAnsi"/>
                <w:color w:val="404040"/>
                <w:szCs w:val="24"/>
                <w:lang w:eastAsia="en-GB"/>
              </w:rPr>
            </w:pPr>
            <w:r w:rsidRPr="0069535A">
              <w:rPr>
                <w:rFonts w:asciiTheme="minorHAnsi" w:eastAsia="Times New Roman" w:hAnsiTheme="minorHAnsi" w:cstheme="minorHAnsi"/>
                <w:color w:val="404040"/>
                <w:szCs w:val="24"/>
                <w:lang w:eastAsia="en-GB"/>
              </w:rPr>
              <w:t>Transformation of Health Protection Services for Wales (approved)</w:t>
            </w:r>
          </w:p>
        </w:tc>
        <w:tc>
          <w:tcPr>
            <w:tcW w:w="1117" w:type="dxa"/>
            <w:shd w:val="clear" w:color="auto" w:fill="auto"/>
            <w:noWrap/>
          </w:tcPr>
          <w:p w:rsidR="00F037CD" w:rsidRPr="0069535A" w:rsidRDefault="00C378AA" w:rsidP="00745C62">
            <w:pPr>
              <w:jc w:val="right"/>
              <w:rPr>
                <w:rFonts w:asciiTheme="minorHAnsi" w:eastAsia="Times New Roman" w:hAnsiTheme="minorHAnsi" w:cstheme="minorHAnsi"/>
                <w:color w:val="404040"/>
                <w:szCs w:val="24"/>
                <w:lang w:eastAsia="en-GB"/>
              </w:rPr>
            </w:pPr>
            <w:r w:rsidRPr="0069535A">
              <w:rPr>
                <w:rFonts w:asciiTheme="minorHAnsi" w:eastAsia="Times New Roman" w:hAnsiTheme="minorHAnsi" w:cstheme="minorHAnsi"/>
                <w:color w:val="404040"/>
                <w:szCs w:val="24"/>
                <w:lang w:eastAsia="en-GB"/>
              </w:rPr>
              <w:t>221</w:t>
            </w:r>
          </w:p>
        </w:tc>
        <w:tc>
          <w:tcPr>
            <w:tcW w:w="1115" w:type="dxa"/>
            <w:shd w:val="clear" w:color="auto" w:fill="auto"/>
            <w:noWrap/>
          </w:tcPr>
          <w:p w:rsidR="00F037CD" w:rsidRPr="0069535A" w:rsidRDefault="00F037CD" w:rsidP="00745C62">
            <w:pPr>
              <w:jc w:val="right"/>
              <w:rPr>
                <w:rFonts w:asciiTheme="minorHAnsi" w:eastAsia="Times New Roman" w:hAnsiTheme="minorHAnsi" w:cstheme="minorHAnsi"/>
                <w:color w:val="404040"/>
                <w:szCs w:val="24"/>
                <w:lang w:eastAsia="en-GB"/>
              </w:rPr>
            </w:pPr>
          </w:p>
        </w:tc>
        <w:tc>
          <w:tcPr>
            <w:tcW w:w="1115" w:type="dxa"/>
            <w:shd w:val="clear" w:color="auto" w:fill="auto"/>
            <w:noWrap/>
          </w:tcPr>
          <w:p w:rsidR="00F037CD" w:rsidRPr="0069535A" w:rsidRDefault="00F037CD" w:rsidP="00745C62">
            <w:pPr>
              <w:jc w:val="right"/>
              <w:rPr>
                <w:rFonts w:asciiTheme="minorHAnsi" w:eastAsia="Times New Roman" w:hAnsiTheme="minorHAnsi" w:cstheme="minorHAnsi"/>
                <w:color w:val="404040"/>
                <w:szCs w:val="24"/>
                <w:lang w:eastAsia="en-GB"/>
              </w:rPr>
            </w:pPr>
          </w:p>
        </w:tc>
      </w:tr>
      <w:tr w:rsidR="00776541" w:rsidRPr="00344016" w:rsidTr="00776541">
        <w:trPr>
          <w:trHeight w:val="325"/>
        </w:trPr>
        <w:tc>
          <w:tcPr>
            <w:tcW w:w="6070" w:type="dxa"/>
            <w:shd w:val="clear" w:color="auto" w:fill="auto"/>
            <w:noWrap/>
            <w:hideMark/>
          </w:tcPr>
          <w:p w:rsidR="00776541" w:rsidRPr="0069535A" w:rsidRDefault="00F037CD" w:rsidP="007874FF">
            <w:pPr>
              <w:rPr>
                <w:rFonts w:asciiTheme="minorHAnsi" w:eastAsia="Times New Roman" w:hAnsiTheme="minorHAnsi" w:cstheme="minorHAnsi"/>
                <w:color w:val="404040"/>
                <w:szCs w:val="24"/>
                <w:lang w:eastAsia="en-GB"/>
              </w:rPr>
            </w:pPr>
            <w:r w:rsidRPr="0069535A">
              <w:rPr>
                <w:rFonts w:asciiTheme="minorHAnsi" w:eastAsia="Times New Roman" w:hAnsiTheme="minorHAnsi" w:cstheme="minorHAnsi"/>
                <w:color w:val="404040"/>
                <w:szCs w:val="24"/>
                <w:lang w:eastAsia="en-GB"/>
              </w:rPr>
              <w:t>Genomics sequencing capacity (</w:t>
            </w:r>
            <w:r w:rsidR="007874FF" w:rsidRPr="0069535A">
              <w:rPr>
                <w:rFonts w:asciiTheme="minorHAnsi" w:eastAsia="Times New Roman" w:hAnsiTheme="minorHAnsi" w:cstheme="minorHAnsi"/>
                <w:color w:val="404040"/>
                <w:szCs w:val="24"/>
                <w:lang w:eastAsia="en-GB"/>
              </w:rPr>
              <w:t xml:space="preserve">awaiting formal </w:t>
            </w:r>
            <w:r w:rsidRPr="0069535A">
              <w:rPr>
                <w:rFonts w:asciiTheme="minorHAnsi" w:eastAsia="Times New Roman" w:hAnsiTheme="minorHAnsi" w:cstheme="minorHAnsi"/>
                <w:color w:val="404040"/>
                <w:szCs w:val="24"/>
                <w:lang w:eastAsia="en-GB"/>
              </w:rPr>
              <w:t>approv</w:t>
            </w:r>
            <w:r w:rsidR="007874FF" w:rsidRPr="0069535A">
              <w:rPr>
                <w:rFonts w:asciiTheme="minorHAnsi" w:eastAsia="Times New Roman" w:hAnsiTheme="minorHAnsi" w:cstheme="minorHAnsi"/>
                <w:color w:val="404040"/>
                <w:szCs w:val="24"/>
                <w:lang w:eastAsia="en-GB"/>
              </w:rPr>
              <w:t>al</w:t>
            </w:r>
            <w:r w:rsidRPr="0069535A">
              <w:rPr>
                <w:rFonts w:asciiTheme="minorHAnsi" w:eastAsia="Times New Roman" w:hAnsiTheme="minorHAnsi" w:cstheme="minorHAnsi"/>
                <w:color w:val="404040"/>
                <w:szCs w:val="24"/>
                <w:lang w:eastAsia="en-GB"/>
              </w:rPr>
              <w:t>)</w:t>
            </w:r>
          </w:p>
        </w:tc>
        <w:tc>
          <w:tcPr>
            <w:tcW w:w="1117" w:type="dxa"/>
            <w:shd w:val="clear" w:color="auto" w:fill="auto"/>
            <w:noWrap/>
          </w:tcPr>
          <w:p w:rsidR="00776541" w:rsidRPr="0069535A" w:rsidRDefault="00C378AA" w:rsidP="00745C62">
            <w:pPr>
              <w:jc w:val="right"/>
              <w:rPr>
                <w:rFonts w:asciiTheme="minorHAnsi" w:eastAsia="Times New Roman" w:hAnsiTheme="minorHAnsi" w:cstheme="minorHAnsi"/>
                <w:color w:val="404040"/>
                <w:szCs w:val="24"/>
                <w:lang w:eastAsia="en-GB"/>
              </w:rPr>
            </w:pPr>
            <w:r w:rsidRPr="0069535A">
              <w:rPr>
                <w:rFonts w:asciiTheme="minorHAnsi" w:eastAsia="Times New Roman" w:hAnsiTheme="minorHAnsi" w:cstheme="minorHAnsi"/>
                <w:color w:val="404040"/>
                <w:szCs w:val="24"/>
                <w:lang w:eastAsia="en-GB"/>
              </w:rPr>
              <w:t>352</w:t>
            </w:r>
          </w:p>
        </w:tc>
        <w:tc>
          <w:tcPr>
            <w:tcW w:w="1115" w:type="dxa"/>
            <w:shd w:val="clear" w:color="auto" w:fill="auto"/>
            <w:noWrap/>
          </w:tcPr>
          <w:p w:rsidR="00776541" w:rsidRPr="0069535A" w:rsidRDefault="00776541" w:rsidP="00745C62">
            <w:pPr>
              <w:jc w:val="right"/>
              <w:rPr>
                <w:rFonts w:asciiTheme="minorHAnsi" w:eastAsia="Times New Roman" w:hAnsiTheme="minorHAnsi" w:cstheme="minorHAnsi"/>
                <w:color w:val="404040"/>
                <w:szCs w:val="24"/>
                <w:lang w:eastAsia="en-GB"/>
              </w:rPr>
            </w:pPr>
          </w:p>
        </w:tc>
        <w:tc>
          <w:tcPr>
            <w:tcW w:w="1115" w:type="dxa"/>
            <w:shd w:val="clear" w:color="auto" w:fill="auto"/>
            <w:noWrap/>
          </w:tcPr>
          <w:p w:rsidR="00776541" w:rsidRPr="0069535A" w:rsidRDefault="00776541" w:rsidP="00745C62">
            <w:pPr>
              <w:jc w:val="right"/>
              <w:rPr>
                <w:rFonts w:asciiTheme="minorHAnsi" w:eastAsia="Times New Roman" w:hAnsiTheme="minorHAnsi" w:cstheme="minorHAnsi"/>
                <w:color w:val="404040"/>
                <w:szCs w:val="24"/>
                <w:lang w:eastAsia="en-GB"/>
              </w:rPr>
            </w:pPr>
          </w:p>
        </w:tc>
      </w:tr>
      <w:tr w:rsidR="00F037CD" w:rsidRPr="00344016" w:rsidTr="00776541">
        <w:trPr>
          <w:trHeight w:val="325"/>
        </w:trPr>
        <w:tc>
          <w:tcPr>
            <w:tcW w:w="6070" w:type="dxa"/>
            <w:shd w:val="clear" w:color="auto" w:fill="auto"/>
            <w:noWrap/>
          </w:tcPr>
          <w:p w:rsidR="00F037CD" w:rsidRPr="0069535A" w:rsidRDefault="00F037CD" w:rsidP="007874FF">
            <w:pPr>
              <w:rPr>
                <w:rFonts w:asciiTheme="minorHAnsi" w:eastAsia="Times New Roman" w:hAnsiTheme="minorHAnsi" w:cstheme="minorHAnsi"/>
                <w:color w:val="404040"/>
                <w:szCs w:val="24"/>
                <w:lang w:eastAsia="en-GB"/>
              </w:rPr>
            </w:pPr>
            <w:r w:rsidRPr="0069535A">
              <w:rPr>
                <w:rFonts w:asciiTheme="minorHAnsi" w:eastAsia="Times New Roman" w:hAnsiTheme="minorHAnsi" w:cstheme="minorHAnsi"/>
                <w:color w:val="404040"/>
                <w:szCs w:val="24"/>
                <w:lang w:eastAsia="en-GB"/>
              </w:rPr>
              <w:t>Digital mammography replacement (</w:t>
            </w:r>
            <w:r w:rsidR="007874FF" w:rsidRPr="0069535A">
              <w:rPr>
                <w:rFonts w:asciiTheme="minorHAnsi" w:eastAsia="Times New Roman" w:hAnsiTheme="minorHAnsi" w:cstheme="minorHAnsi"/>
                <w:color w:val="404040"/>
                <w:szCs w:val="24"/>
                <w:lang w:eastAsia="en-GB"/>
              </w:rPr>
              <w:t>awaiting formal approval</w:t>
            </w:r>
            <w:r w:rsidRPr="0069535A">
              <w:rPr>
                <w:rFonts w:asciiTheme="minorHAnsi" w:eastAsia="Times New Roman" w:hAnsiTheme="minorHAnsi" w:cstheme="minorHAnsi"/>
                <w:color w:val="404040"/>
                <w:szCs w:val="24"/>
                <w:lang w:eastAsia="en-GB"/>
              </w:rPr>
              <w:t>)</w:t>
            </w:r>
          </w:p>
        </w:tc>
        <w:tc>
          <w:tcPr>
            <w:tcW w:w="1117" w:type="dxa"/>
            <w:shd w:val="clear" w:color="auto" w:fill="auto"/>
            <w:noWrap/>
          </w:tcPr>
          <w:p w:rsidR="00F037CD" w:rsidRPr="0069535A" w:rsidRDefault="00C378AA" w:rsidP="00F037CD">
            <w:pPr>
              <w:jc w:val="right"/>
              <w:rPr>
                <w:rFonts w:asciiTheme="minorHAnsi" w:eastAsia="Times New Roman" w:hAnsiTheme="minorHAnsi" w:cstheme="minorHAnsi"/>
                <w:color w:val="404040"/>
                <w:szCs w:val="24"/>
                <w:lang w:eastAsia="en-GB"/>
              </w:rPr>
            </w:pPr>
            <w:r w:rsidRPr="0069535A">
              <w:rPr>
                <w:rFonts w:asciiTheme="minorHAnsi" w:eastAsia="Times New Roman" w:hAnsiTheme="minorHAnsi" w:cstheme="minorHAnsi"/>
                <w:color w:val="404040"/>
                <w:szCs w:val="24"/>
                <w:lang w:eastAsia="en-GB"/>
              </w:rPr>
              <w:t>3,842</w:t>
            </w:r>
          </w:p>
        </w:tc>
        <w:tc>
          <w:tcPr>
            <w:tcW w:w="1115" w:type="dxa"/>
            <w:shd w:val="clear" w:color="auto" w:fill="auto"/>
            <w:noWrap/>
          </w:tcPr>
          <w:p w:rsidR="00F037CD" w:rsidRPr="0069535A" w:rsidRDefault="00C378AA" w:rsidP="00F037CD">
            <w:pPr>
              <w:jc w:val="right"/>
              <w:rPr>
                <w:rFonts w:asciiTheme="minorHAnsi" w:eastAsia="Times New Roman" w:hAnsiTheme="minorHAnsi" w:cstheme="minorHAnsi"/>
                <w:color w:val="404040"/>
                <w:szCs w:val="24"/>
                <w:lang w:eastAsia="en-GB"/>
              </w:rPr>
            </w:pPr>
            <w:r w:rsidRPr="0069535A">
              <w:rPr>
                <w:rFonts w:asciiTheme="minorHAnsi" w:eastAsia="Times New Roman" w:hAnsiTheme="minorHAnsi" w:cstheme="minorHAnsi"/>
                <w:color w:val="404040"/>
                <w:szCs w:val="24"/>
                <w:lang w:eastAsia="en-GB"/>
              </w:rPr>
              <w:t>4,003</w:t>
            </w:r>
          </w:p>
        </w:tc>
        <w:tc>
          <w:tcPr>
            <w:tcW w:w="1115" w:type="dxa"/>
            <w:shd w:val="clear" w:color="auto" w:fill="auto"/>
            <w:noWrap/>
          </w:tcPr>
          <w:p w:rsidR="00F037CD" w:rsidRPr="0069535A" w:rsidRDefault="00F037CD" w:rsidP="00F037CD">
            <w:pPr>
              <w:jc w:val="right"/>
              <w:rPr>
                <w:rFonts w:asciiTheme="minorHAnsi" w:eastAsia="Times New Roman" w:hAnsiTheme="minorHAnsi" w:cstheme="minorHAnsi"/>
                <w:color w:val="404040"/>
                <w:szCs w:val="24"/>
                <w:lang w:eastAsia="en-GB"/>
              </w:rPr>
            </w:pPr>
          </w:p>
        </w:tc>
      </w:tr>
      <w:tr w:rsidR="00F037CD" w:rsidRPr="00344016" w:rsidTr="00776541">
        <w:trPr>
          <w:trHeight w:val="325"/>
        </w:trPr>
        <w:tc>
          <w:tcPr>
            <w:tcW w:w="6070" w:type="dxa"/>
            <w:shd w:val="clear" w:color="auto" w:fill="auto"/>
            <w:noWrap/>
            <w:hideMark/>
          </w:tcPr>
          <w:p w:rsidR="00F037CD" w:rsidRPr="0069535A" w:rsidRDefault="00F037CD" w:rsidP="00F037CD">
            <w:pPr>
              <w:rPr>
                <w:rFonts w:asciiTheme="minorHAnsi" w:eastAsia="Times New Roman" w:hAnsiTheme="minorHAnsi" w:cstheme="minorHAnsi"/>
                <w:color w:val="404040"/>
                <w:szCs w:val="24"/>
                <w:highlight w:val="magenta"/>
                <w:lang w:eastAsia="en-GB"/>
              </w:rPr>
            </w:pPr>
            <w:r w:rsidRPr="0069535A">
              <w:rPr>
                <w:rFonts w:asciiTheme="minorHAnsi" w:eastAsia="Times New Roman" w:hAnsiTheme="minorHAnsi" w:cstheme="minorHAnsi"/>
                <w:color w:val="404040"/>
                <w:szCs w:val="24"/>
                <w:lang w:eastAsia="en-GB"/>
              </w:rPr>
              <w:t>Colposcopy &amp; Colonoscopy Imaging (unapproved)</w:t>
            </w:r>
          </w:p>
        </w:tc>
        <w:tc>
          <w:tcPr>
            <w:tcW w:w="1117" w:type="dxa"/>
            <w:shd w:val="clear" w:color="auto" w:fill="auto"/>
            <w:noWrap/>
          </w:tcPr>
          <w:p w:rsidR="00F037CD" w:rsidRPr="0069535A" w:rsidRDefault="00F037CD" w:rsidP="00F037CD">
            <w:pPr>
              <w:jc w:val="right"/>
              <w:rPr>
                <w:rFonts w:asciiTheme="minorHAnsi" w:eastAsia="Times New Roman" w:hAnsiTheme="minorHAnsi" w:cstheme="minorHAnsi"/>
                <w:color w:val="404040"/>
                <w:szCs w:val="24"/>
                <w:highlight w:val="magenta"/>
                <w:lang w:eastAsia="en-GB"/>
              </w:rPr>
            </w:pPr>
          </w:p>
        </w:tc>
        <w:tc>
          <w:tcPr>
            <w:tcW w:w="1115" w:type="dxa"/>
            <w:shd w:val="clear" w:color="auto" w:fill="auto"/>
            <w:noWrap/>
          </w:tcPr>
          <w:p w:rsidR="00F037CD" w:rsidRPr="0069535A" w:rsidRDefault="00C378AA" w:rsidP="00F037CD">
            <w:pPr>
              <w:jc w:val="right"/>
              <w:rPr>
                <w:rFonts w:asciiTheme="minorHAnsi" w:eastAsia="Times New Roman" w:hAnsiTheme="minorHAnsi" w:cstheme="minorHAnsi"/>
                <w:color w:val="404040"/>
                <w:szCs w:val="24"/>
                <w:highlight w:val="magenta"/>
                <w:lang w:eastAsia="en-GB"/>
              </w:rPr>
            </w:pPr>
            <w:r w:rsidRPr="0069535A">
              <w:rPr>
                <w:rFonts w:asciiTheme="minorHAnsi" w:eastAsia="Times New Roman" w:hAnsiTheme="minorHAnsi" w:cstheme="minorHAnsi"/>
                <w:color w:val="404040"/>
                <w:szCs w:val="24"/>
                <w:lang w:eastAsia="en-GB"/>
              </w:rPr>
              <w:t>1,205</w:t>
            </w:r>
          </w:p>
        </w:tc>
        <w:tc>
          <w:tcPr>
            <w:tcW w:w="1115" w:type="dxa"/>
            <w:shd w:val="clear" w:color="auto" w:fill="auto"/>
            <w:noWrap/>
          </w:tcPr>
          <w:p w:rsidR="00F037CD" w:rsidRPr="0069535A" w:rsidRDefault="00F037CD" w:rsidP="00F037CD">
            <w:pPr>
              <w:jc w:val="right"/>
              <w:rPr>
                <w:rFonts w:asciiTheme="minorHAnsi" w:eastAsia="Times New Roman" w:hAnsiTheme="minorHAnsi" w:cstheme="minorHAnsi"/>
                <w:color w:val="404040"/>
                <w:szCs w:val="24"/>
                <w:lang w:eastAsia="en-GB"/>
              </w:rPr>
            </w:pPr>
          </w:p>
        </w:tc>
      </w:tr>
      <w:tr w:rsidR="00F037CD" w:rsidRPr="00344016" w:rsidTr="00745C62">
        <w:trPr>
          <w:trHeight w:val="325"/>
        </w:trPr>
        <w:tc>
          <w:tcPr>
            <w:tcW w:w="6070" w:type="dxa"/>
            <w:shd w:val="clear" w:color="auto" w:fill="auto"/>
            <w:noWrap/>
          </w:tcPr>
          <w:p w:rsidR="00F037CD" w:rsidRPr="0069535A" w:rsidRDefault="00F037CD" w:rsidP="00F037CD">
            <w:pPr>
              <w:rPr>
                <w:rFonts w:asciiTheme="minorHAnsi" w:eastAsia="Times New Roman" w:hAnsiTheme="minorHAnsi" w:cstheme="minorHAnsi"/>
                <w:color w:val="404040"/>
                <w:szCs w:val="24"/>
                <w:lang w:eastAsia="en-GB"/>
              </w:rPr>
            </w:pPr>
            <w:proofErr w:type="spellStart"/>
            <w:r w:rsidRPr="0069535A">
              <w:rPr>
                <w:rFonts w:asciiTheme="minorHAnsi" w:eastAsia="Times New Roman" w:hAnsiTheme="minorHAnsi" w:cstheme="minorHAnsi"/>
                <w:color w:val="404040"/>
                <w:lang w:eastAsia="en-GB"/>
              </w:rPr>
              <w:t>Maldi-Tof</w:t>
            </w:r>
            <w:proofErr w:type="spellEnd"/>
            <w:r w:rsidRPr="0069535A">
              <w:rPr>
                <w:rFonts w:asciiTheme="minorHAnsi" w:eastAsia="Times New Roman" w:hAnsiTheme="minorHAnsi" w:cstheme="minorHAnsi"/>
                <w:color w:val="404040"/>
                <w:lang w:eastAsia="en-GB"/>
              </w:rPr>
              <w:t xml:space="preserve"> Replacement (Unapproved)</w:t>
            </w:r>
          </w:p>
        </w:tc>
        <w:tc>
          <w:tcPr>
            <w:tcW w:w="1117" w:type="dxa"/>
            <w:shd w:val="clear" w:color="auto" w:fill="auto"/>
            <w:noWrap/>
          </w:tcPr>
          <w:p w:rsidR="00F037CD" w:rsidRPr="0069535A" w:rsidRDefault="00C378AA" w:rsidP="00F037CD">
            <w:pPr>
              <w:jc w:val="right"/>
              <w:rPr>
                <w:rFonts w:asciiTheme="minorHAnsi" w:eastAsia="Times New Roman" w:hAnsiTheme="minorHAnsi" w:cstheme="minorHAnsi"/>
                <w:color w:val="404040"/>
                <w:szCs w:val="24"/>
                <w:lang w:eastAsia="en-GB"/>
              </w:rPr>
            </w:pPr>
            <w:r w:rsidRPr="0069535A">
              <w:rPr>
                <w:rFonts w:asciiTheme="minorHAnsi" w:eastAsia="Times New Roman" w:hAnsiTheme="minorHAnsi" w:cstheme="minorHAnsi"/>
                <w:color w:val="404040"/>
                <w:szCs w:val="24"/>
                <w:lang w:eastAsia="en-GB"/>
              </w:rPr>
              <w:t>840</w:t>
            </w:r>
          </w:p>
        </w:tc>
        <w:tc>
          <w:tcPr>
            <w:tcW w:w="1115" w:type="dxa"/>
            <w:shd w:val="clear" w:color="auto" w:fill="auto"/>
            <w:noWrap/>
          </w:tcPr>
          <w:p w:rsidR="00F037CD" w:rsidRPr="0069535A" w:rsidRDefault="00F037CD" w:rsidP="00F037CD">
            <w:pPr>
              <w:jc w:val="right"/>
              <w:rPr>
                <w:rFonts w:asciiTheme="minorHAnsi" w:eastAsia="Times New Roman" w:hAnsiTheme="minorHAnsi" w:cstheme="minorHAnsi"/>
                <w:color w:val="404040"/>
                <w:szCs w:val="24"/>
                <w:lang w:eastAsia="en-GB"/>
              </w:rPr>
            </w:pPr>
          </w:p>
        </w:tc>
        <w:tc>
          <w:tcPr>
            <w:tcW w:w="1115" w:type="dxa"/>
            <w:shd w:val="clear" w:color="auto" w:fill="auto"/>
            <w:noWrap/>
          </w:tcPr>
          <w:p w:rsidR="00F037CD" w:rsidRPr="0069535A" w:rsidRDefault="00F037CD" w:rsidP="00F037CD">
            <w:pPr>
              <w:jc w:val="right"/>
              <w:rPr>
                <w:rFonts w:asciiTheme="minorHAnsi" w:eastAsia="Times New Roman" w:hAnsiTheme="minorHAnsi" w:cstheme="minorHAnsi"/>
                <w:color w:val="404040"/>
                <w:szCs w:val="24"/>
                <w:lang w:eastAsia="en-GB"/>
              </w:rPr>
            </w:pPr>
          </w:p>
        </w:tc>
      </w:tr>
      <w:tr w:rsidR="00F037CD" w:rsidRPr="00344016" w:rsidTr="00FE56B8">
        <w:trPr>
          <w:trHeight w:val="313"/>
        </w:trPr>
        <w:tc>
          <w:tcPr>
            <w:tcW w:w="6070" w:type="dxa"/>
            <w:shd w:val="clear" w:color="auto" w:fill="548DD4" w:themeFill="text2" w:themeFillTint="99"/>
            <w:vAlign w:val="center"/>
            <w:hideMark/>
          </w:tcPr>
          <w:p w:rsidR="00F037CD" w:rsidRPr="0069535A" w:rsidRDefault="00F037CD" w:rsidP="00F037CD">
            <w:pPr>
              <w:rPr>
                <w:rFonts w:asciiTheme="minorHAnsi" w:eastAsia="Times New Roman" w:hAnsiTheme="minorHAnsi" w:cstheme="minorHAnsi"/>
                <w:b/>
                <w:bCs/>
                <w:color w:val="FFFFFF"/>
                <w:szCs w:val="24"/>
                <w:lang w:eastAsia="en-GB"/>
              </w:rPr>
            </w:pPr>
            <w:r w:rsidRPr="0069535A">
              <w:rPr>
                <w:rFonts w:asciiTheme="minorHAnsi" w:eastAsia="Times New Roman" w:hAnsiTheme="minorHAnsi" w:cstheme="minorHAnsi"/>
                <w:b/>
                <w:bCs/>
                <w:color w:val="FFFFFF"/>
                <w:szCs w:val="24"/>
                <w:lang w:eastAsia="en-GB"/>
              </w:rPr>
              <w:t>Total Strategic Capital</w:t>
            </w:r>
          </w:p>
        </w:tc>
        <w:tc>
          <w:tcPr>
            <w:tcW w:w="1117" w:type="dxa"/>
            <w:shd w:val="clear" w:color="auto" w:fill="548DD4" w:themeFill="text2" w:themeFillTint="99"/>
            <w:noWrap/>
            <w:vAlign w:val="center"/>
          </w:tcPr>
          <w:p w:rsidR="00F037CD" w:rsidRPr="0069535A" w:rsidRDefault="00C378AA" w:rsidP="00C378AA">
            <w:pPr>
              <w:jc w:val="right"/>
              <w:rPr>
                <w:rFonts w:asciiTheme="minorHAnsi" w:eastAsia="Times New Roman" w:hAnsiTheme="minorHAnsi" w:cstheme="minorHAnsi"/>
                <w:b/>
                <w:bCs/>
                <w:color w:val="FFFFFF"/>
                <w:szCs w:val="24"/>
                <w:lang w:eastAsia="en-GB"/>
              </w:rPr>
            </w:pPr>
            <w:r w:rsidRPr="0069535A">
              <w:rPr>
                <w:rFonts w:asciiTheme="minorHAnsi" w:eastAsia="Times New Roman" w:hAnsiTheme="minorHAnsi" w:cstheme="minorHAnsi"/>
                <w:b/>
                <w:bCs/>
                <w:color w:val="FFFFFF"/>
                <w:szCs w:val="24"/>
                <w:lang w:eastAsia="en-GB"/>
              </w:rPr>
              <w:t>5,255</w:t>
            </w:r>
          </w:p>
        </w:tc>
        <w:tc>
          <w:tcPr>
            <w:tcW w:w="1115" w:type="dxa"/>
            <w:shd w:val="clear" w:color="auto" w:fill="548DD4" w:themeFill="text2" w:themeFillTint="99"/>
            <w:noWrap/>
            <w:vAlign w:val="center"/>
          </w:tcPr>
          <w:p w:rsidR="00F037CD" w:rsidRPr="0069535A" w:rsidRDefault="00637A18" w:rsidP="00637A18">
            <w:pPr>
              <w:jc w:val="right"/>
              <w:rPr>
                <w:rFonts w:asciiTheme="minorHAnsi" w:eastAsia="Times New Roman" w:hAnsiTheme="minorHAnsi" w:cstheme="minorHAnsi"/>
                <w:b/>
                <w:bCs/>
                <w:color w:val="FFFFFF"/>
                <w:szCs w:val="24"/>
                <w:lang w:eastAsia="en-GB"/>
              </w:rPr>
            </w:pPr>
            <w:r w:rsidRPr="0069535A">
              <w:rPr>
                <w:rFonts w:asciiTheme="minorHAnsi" w:eastAsia="Times New Roman" w:hAnsiTheme="minorHAnsi" w:cstheme="minorHAnsi"/>
                <w:b/>
                <w:bCs/>
                <w:color w:val="FFFFFF"/>
                <w:szCs w:val="24"/>
                <w:lang w:eastAsia="en-GB"/>
              </w:rPr>
              <w:t>5,908</w:t>
            </w:r>
          </w:p>
        </w:tc>
        <w:tc>
          <w:tcPr>
            <w:tcW w:w="1115" w:type="dxa"/>
            <w:shd w:val="clear" w:color="auto" w:fill="548DD4" w:themeFill="text2" w:themeFillTint="99"/>
            <w:noWrap/>
            <w:vAlign w:val="center"/>
          </w:tcPr>
          <w:p w:rsidR="00F037CD" w:rsidRPr="0069535A" w:rsidRDefault="00637A18" w:rsidP="00637A18">
            <w:pPr>
              <w:jc w:val="right"/>
              <w:rPr>
                <w:rFonts w:asciiTheme="minorHAnsi" w:eastAsia="Times New Roman" w:hAnsiTheme="minorHAnsi" w:cstheme="minorHAnsi"/>
                <w:b/>
                <w:bCs/>
                <w:color w:val="FFFFFF"/>
                <w:szCs w:val="24"/>
                <w:lang w:eastAsia="en-GB"/>
              </w:rPr>
            </w:pPr>
            <w:r w:rsidRPr="0069535A">
              <w:rPr>
                <w:rFonts w:asciiTheme="minorHAnsi" w:eastAsia="Times New Roman" w:hAnsiTheme="minorHAnsi" w:cstheme="minorHAnsi"/>
                <w:b/>
                <w:bCs/>
                <w:color w:val="FFFFFF"/>
                <w:szCs w:val="24"/>
                <w:lang w:eastAsia="en-GB"/>
              </w:rPr>
              <w:t>1,000</w:t>
            </w:r>
          </w:p>
        </w:tc>
      </w:tr>
      <w:bookmarkEnd w:id="3"/>
      <w:bookmarkEnd w:id="4"/>
      <w:bookmarkEnd w:id="5"/>
      <w:bookmarkEnd w:id="6"/>
      <w:bookmarkEnd w:id="7"/>
      <w:bookmarkEnd w:id="8"/>
    </w:tbl>
    <w:p w:rsidR="0069535A" w:rsidRDefault="0069535A" w:rsidP="0032735F">
      <w:pPr>
        <w:pStyle w:val="NormalText"/>
        <w:rPr>
          <w:rFonts w:ascii="Verdana" w:hAnsi="Verdana"/>
        </w:rPr>
      </w:pPr>
    </w:p>
    <w:p w:rsidR="0032735F" w:rsidRDefault="0032735F" w:rsidP="0032735F">
      <w:pPr>
        <w:pStyle w:val="NormalText"/>
        <w:rPr>
          <w:rFonts w:ascii="Verdana" w:hAnsi="Verdana"/>
        </w:rPr>
      </w:pPr>
      <w:r>
        <w:rPr>
          <w:rFonts w:ascii="Verdana" w:hAnsi="Verdana"/>
        </w:rPr>
        <w:t>Our plan at this stage excludes:-</w:t>
      </w:r>
    </w:p>
    <w:p w:rsidR="0032735F" w:rsidRDefault="0032735F" w:rsidP="0032735F">
      <w:pPr>
        <w:pStyle w:val="NormalText"/>
        <w:numPr>
          <w:ilvl w:val="0"/>
          <w:numId w:val="35"/>
        </w:numPr>
        <w:rPr>
          <w:rFonts w:ascii="Verdana" w:hAnsi="Verdana"/>
        </w:rPr>
      </w:pPr>
      <w:r>
        <w:rPr>
          <w:rFonts w:ascii="Verdana" w:hAnsi="Verdana"/>
        </w:rPr>
        <w:lastRenderedPageBreak/>
        <w:t xml:space="preserve">IP5 (Lab 1) – the assumption is that this will return to Public Health Wales when the Department of Health and Social Care cease to operate a Lighthouse Laboratory from IP5.  The expectation is that this will be sometime during 2021/22 so we have not included anything in our strategic capital programme at this stage. </w:t>
      </w:r>
    </w:p>
    <w:p w:rsidR="0032735F" w:rsidRDefault="0032735F" w:rsidP="0032735F">
      <w:pPr>
        <w:pStyle w:val="NormalText"/>
        <w:numPr>
          <w:ilvl w:val="0"/>
          <w:numId w:val="35"/>
        </w:numPr>
        <w:rPr>
          <w:rFonts w:ascii="Verdana" w:hAnsi="Verdana"/>
        </w:rPr>
      </w:pPr>
      <w:r>
        <w:rPr>
          <w:rFonts w:ascii="Verdana" w:hAnsi="Verdana"/>
        </w:rPr>
        <w:t xml:space="preserve">Targeted improvement in NHS estate – we have submitted a number of bids totalling </w:t>
      </w:r>
      <w:r w:rsidR="0069535A">
        <w:rPr>
          <w:rFonts w:ascii="Verdana" w:hAnsi="Verdana"/>
        </w:rPr>
        <w:t>£723k</w:t>
      </w:r>
      <w:r w:rsidRPr="0069535A">
        <w:rPr>
          <w:rFonts w:ascii="Verdana" w:hAnsi="Verdana"/>
        </w:rPr>
        <w:t>,</w:t>
      </w:r>
      <w:r>
        <w:rPr>
          <w:rFonts w:ascii="Verdana" w:hAnsi="Verdana"/>
        </w:rPr>
        <w:t xml:space="preserve"> against this funding stream, which are now going through the new process that has been established by Welsh Government.  </w:t>
      </w:r>
    </w:p>
    <w:p w:rsidR="00776541" w:rsidRPr="00DE6BAE" w:rsidRDefault="00776541" w:rsidP="00776541">
      <w:pPr>
        <w:pStyle w:val="Quote"/>
        <w:tabs>
          <w:tab w:val="clear" w:pos="1361"/>
        </w:tabs>
        <w:spacing w:before="120" w:after="120"/>
        <w:ind w:left="0" w:firstLine="0"/>
        <w:rPr>
          <w:rFonts w:ascii="Calibri Light" w:hAnsi="Calibri Light"/>
          <w:b w:val="0"/>
          <w:color w:val="325083"/>
          <w:spacing w:val="0"/>
          <w:sz w:val="32"/>
        </w:rPr>
      </w:pPr>
      <w:r w:rsidRPr="00DE6BAE">
        <w:rPr>
          <w:rFonts w:ascii="Calibri Light" w:hAnsi="Calibri Light"/>
          <w:b w:val="0"/>
          <w:color w:val="325083"/>
          <w:spacing w:val="0"/>
          <w:sz w:val="32"/>
        </w:rPr>
        <w:t>Discretionary Capital</w:t>
      </w:r>
    </w:p>
    <w:p w:rsidR="00776541" w:rsidRPr="00F037CD" w:rsidRDefault="00923337" w:rsidP="00776541">
      <w:pPr>
        <w:pStyle w:val="NormalText"/>
        <w:rPr>
          <w:rFonts w:ascii="Verdana" w:hAnsi="Verdana"/>
        </w:rPr>
      </w:pPr>
      <w:r w:rsidRPr="00C378AA">
        <w:rPr>
          <w:rFonts w:ascii="Verdana" w:hAnsi="Verdana"/>
        </w:rPr>
        <w:t>Our recurrent discretionary capital funding is £1.58</w:t>
      </w:r>
      <w:r>
        <w:rPr>
          <w:rFonts w:ascii="Verdana" w:hAnsi="Verdana"/>
        </w:rPr>
        <w:t>0</w:t>
      </w:r>
      <w:r w:rsidRPr="00C378AA">
        <w:rPr>
          <w:rFonts w:ascii="Verdana" w:hAnsi="Verdana"/>
        </w:rPr>
        <w:t>m.</w:t>
      </w:r>
      <w:r>
        <w:rPr>
          <w:rFonts w:ascii="Verdana" w:hAnsi="Verdana"/>
        </w:rPr>
        <w:t xml:space="preserve"> </w:t>
      </w:r>
      <w:r w:rsidR="00776541" w:rsidRPr="00F037CD">
        <w:rPr>
          <w:rFonts w:ascii="Verdana" w:hAnsi="Verdana"/>
        </w:rPr>
        <w:t xml:space="preserve">The draft plans for the discretionary capital are set out in </w:t>
      </w:r>
      <w:r w:rsidR="0069535A">
        <w:rPr>
          <w:rFonts w:ascii="Verdana" w:hAnsi="Verdana"/>
          <w:b/>
        </w:rPr>
        <w:t>T</w:t>
      </w:r>
      <w:r w:rsidR="00776541" w:rsidRPr="00F037CD">
        <w:rPr>
          <w:rFonts w:ascii="Verdana" w:hAnsi="Verdana"/>
          <w:b/>
        </w:rPr>
        <w:t xml:space="preserve">able </w:t>
      </w:r>
      <w:r w:rsidR="007874FF">
        <w:rPr>
          <w:rFonts w:ascii="Verdana" w:hAnsi="Verdana"/>
          <w:b/>
        </w:rPr>
        <w:t>9</w:t>
      </w:r>
      <w:r w:rsidR="00776541" w:rsidRPr="00F037CD">
        <w:rPr>
          <w:rFonts w:ascii="Verdana" w:hAnsi="Verdana"/>
        </w:rPr>
        <w:t xml:space="preserve"> below. There are assumptions made for a rolling IT replacement programme whilst replacement of equipment elsewhere is based upon the aged asset register. </w:t>
      </w:r>
    </w:p>
    <w:p w:rsidR="00F037CD" w:rsidRPr="00F037CD" w:rsidRDefault="007874FF" w:rsidP="00776541">
      <w:pPr>
        <w:pStyle w:val="NormalText"/>
        <w:rPr>
          <w:rFonts w:ascii="Verdana" w:hAnsi="Verdana"/>
          <w:b/>
        </w:rPr>
      </w:pPr>
      <w:r>
        <w:rPr>
          <w:rFonts w:ascii="Verdana" w:hAnsi="Verdana"/>
          <w:b/>
        </w:rPr>
        <w:t>Table 9</w:t>
      </w:r>
    </w:p>
    <w:p w:rsidR="00776541" w:rsidRPr="006D5B47" w:rsidRDefault="00776541" w:rsidP="00776541">
      <w:pPr>
        <w:rPr>
          <w:rFonts w:ascii="Calibri Light" w:hAnsi="Calibri Light"/>
          <w:b/>
          <w:color w:val="324F82"/>
          <w:sz w:val="20"/>
          <w:szCs w:val="28"/>
        </w:rPr>
      </w:pPr>
    </w:p>
    <w:tbl>
      <w:tblPr>
        <w:tblW w:w="9116" w:type="dxa"/>
        <w:tblInd w:w="-10" w:type="dxa"/>
        <w:tblBorders>
          <w:top w:val="single" w:sz="4" w:space="0" w:color="D2DDEE"/>
          <w:left w:val="single" w:sz="4" w:space="0" w:color="D2DDEE"/>
          <w:bottom w:val="single" w:sz="4" w:space="0" w:color="D2DDEE"/>
          <w:right w:val="single" w:sz="4" w:space="0" w:color="D2DDEE"/>
          <w:insideH w:val="single" w:sz="4" w:space="0" w:color="D2DDEE"/>
          <w:insideV w:val="single" w:sz="4" w:space="0" w:color="D2DDEE"/>
        </w:tblBorders>
        <w:tblLook w:val="04A0" w:firstRow="1" w:lastRow="0" w:firstColumn="1" w:lastColumn="0" w:noHBand="0" w:noVBand="1"/>
      </w:tblPr>
      <w:tblGrid>
        <w:gridCol w:w="6068"/>
        <w:gridCol w:w="1016"/>
        <w:gridCol w:w="1016"/>
        <w:gridCol w:w="1016"/>
      </w:tblGrid>
      <w:tr w:rsidR="00776541" w:rsidRPr="00F86BD2" w:rsidTr="00FE56B8">
        <w:trPr>
          <w:trHeight w:val="601"/>
          <w:tblHeader/>
        </w:trPr>
        <w:tc>
          <w:tcPr>
            <w:tcW w:w="6068" w:type="dxa"/>
            <w:shd w:val="clear" w:color="auto" w:fill="548DD4" w:themeFill="text2" w:themeFillTint="99"/>
            <w:noWrap/>
            <w:vAlign w:val="center"/>
            <w:hideMark/>
          </w:tcPr>
          <w:p w:rsidR="00776541" w:rsidRPr="008615CE" w:rsidRDefault="00776541" w:rsidP="00745C62">
            <w:pPr>
              <w:rPr>
                <w:rFonts w:ascii="Calibri Light" w:eastAsia="Times New Roman" w:hAnsi="Calibri Light" w:cs="Times New Roman"/>
                <w:color w:val="000000"/>
                <w:lang w:eastAsia="en-GB"/>
              </w:rPr>
            </w:pPr>
            <w:r w:rsidRPr="008615CE">
              <w:rPr>
                <w:rFonts w:ascii="Calibri Light" w:eastAsia="Times New Roman" w:hAnsi="Calibri Light" w:cs="Times New Roman"/>
                <w:color w:val="000000"/>
                <w:lang w:eastAsia="en-GB"/>
              </w:rPr>
              <w:t> </w:t>
            </w:r>
          </w:p>
        </w:tc>
        <w:tc>
          <w:tcPr>
            <w:tcW w:w="1016" w:type="dxa"/>
            <w:shd w:val="clear" w:color="auto" w:fill="548DD4" w:themeFill="text2" w:themeFillTint="99"/>
            <w:vAlign w:val="center"/>
            <w:hideMark/>
          </w:tcPr>
          <w:p w:rsidR="00776541" w:rsidRPr="008615CE" w:rsidRDefault="00776541" w:rsidP="00F037CD">
            <w:pPr>
              <w:jc w:val="center"/>
              <w:rPr>
                <w:rFonts w:ascii="Calibri Light" w:eastAsia="Times New Roman" w:hAnsi="Calibri Light" w:cs="Times New Roman"/>
                <w:b/>
                <w:bCs/>
                <w:color w:val="FFFFFF"/>
                <w:lang w:eastAsia="en-GB"/>
              </w:rPr>
            </w:pPr>
            <w:r>
              <w:rPr>
                <w:rFonts w:ascii="Calibri Light" w:eastAsia="Times New Roman" w:hAnsi="Calibri Light" w:cs="Times New Roman"/>
                <w:b/>
                <w:bCs/>
                <w:color w:val="FFFFFF"/>
                <w:lang w:eastAsia="en-GB"/>
              </w:rPr>
              <w:t>FY2</w:t>
            </w:r>
            <w:r w:rsidR="00F037CD">
              <w:rPr>
                <w:rFonts w:ascii="Calibri Light" w:eastAsia="Times New Roman" w:hAnsi="Calibri Light" w:cs="Times New Roman"/>
                <w:b/>
                <w:bCs/>
                <w:color w:val="FFFFFF"/>
                <w:lang w:eastAsia="en-GB"/>
              </w:rPr>
              <w:t>1</w:t>
            </w:r>
            <w:r w:rsidRPr="008615CE">
              <w:rPr>
                <w:rFonts w:ascii="Calibri Light" w:eastAsia="Times New Roman" w:hAnsi="Calibri Light" w:cs="Times New Roman"/>
                <w:b/>
                <w:bCs/>
                <w:color w:val="FFFFFF"/>
                <w:lang w:eastAsia="en-GB"/>
              </w:rPr>
              <w:t>-2</w:t>
            </w:r>
            <w:r w:rsidR="00F037CD">
              <w:rPr>
                <w:rFonts w:ascii="Calibri Light" w:eastAsia="Times New Roman" w:hAnsi="Calibri Light" w:cs="Times New Roman"/>
                <w:b/>
                <w:bCs/>
                <w:color w:val="FFFFFF"/>
                <w:lang w:eastAsia="en-GB"/>
              </w:rPr>
              <w:t>2</w:t>
            </w:r>
            <w:r w:rsidRPr="008615CE">
              <w:rPr>
                <w:rFonts w:ascii="Calibri Light" w:eastAsia="Times New Roman" w:hAnsi="Calibri Light" w:cs="Times New Roman"/>
                <w:b/>
                <w:bCs/>
                <w:color w:val="FFFFFF"/>
                <w:lang w:eastAsia="en-GB"/>
              </w:rPr>
              <w:t xml:space="preserve"> £000s</w:t>
            </w:r>
          </w:p>
        </w:tc>
        <w:tc>
          <w:tcPr>
            <w:tcW w:w="1016" w:type="dxa"/>
            <w:shd w:val="clear" w:color="auto" w:fill="548DD4" w:themeFill="text2" w:themeFillTint="99"/>
            <w:vAlign w:val="center"/>
            <w:hideMark/>
          </w:tcPr>
          <w:p w:rsidR="00776541" w:rsidRPr="008615CE" w:rsidRDefault="00776541" w:rsidP="00F037CD">
            <w:pPr>
              <w:jc w:val="center"/>
              <w:rPr>
                <w:rFonts w:ascii="Calibri Light" w:eastAsia="Times New Roman" w:hAnsi="Calibri Light" w:cs="Times New Roman"/>
                <w:b/>
                <w:bCs/>
                <w:color w:val="FFFFFF"/>
                <w:lang w:eastAsia="en-GB"/>
              </w:rPr>
            </w:pPr>
            <w:r w:rsidRPr="008615CE">
              <w:rPr>
                <w:rFonts w:ascii="Calibri Light" w:eastAsia="Times New Roman" w:hAnsi="Calibri Light" w:cs="Times New Roman"/>
                <w:b/>
                <w:bCs/>
                <w:color w:val="FFFFFF"/>
                <w:lang w:eastAsia="en-GB"/>
              </w:rPr>
              <w:t>FY2</w:t>
            </w:r>
            <w:r w:rsidR="00F037CD">
              <w:rPr>
                <w:rFonts w:ascii="Calibri Light" w:eastAsia="Times New Roman" w:hAnsi="Calibri Light" w:cs="Times New Roman"/>
                <w:b/>
                <w:bCs/>
                <w:color w:val="FFFFFF"/>
                <w:lang w:eastAsia="en-GB"/>
              </w:rPr>
              <w:t>2</w:t>
            </w:r>
            <w:r w:rsidRPr="008615CE">
              <w:rPr>
                <w:rFonts w:ascii="Calibri Light" w:eastAsia="Times New Roman" w:hAnsi="Calibri Light" w:cs="Times New Roman"/>
                <w:b/>
                <w:bCs/>
                <w:color w:val="FFFFFF"/>
                <w:lang w:eastAsia="en-GB"/>
              </w:rPr>
              <w:t>-2</w:t>
            </w:r>
            <w:r w:rsidR="00F037CD">
              <w:rPr>
                <w:rFonts w:ascii="Calibri Light" w:eastAsia="Times New Roman" w:hAnsi="Calibri Light" w:cs="Times New Roman"/>
                <w:b/>
                <w:bCs/>
                <w:color w:val="FFFFFF"/>
                <w:lang w:eastAsia="en-GB"/>
              </w:rPr>
              <w:t>3</w:t>
            </w:r>
            <w:r w:rsidRPr="008615CE">
              <w:rPr>
                <w:rFonts w:ascii="Calibri Light" w:eastAsia="Times New Roman" w:hAnsi="Calibri Light" w:cs="Times New Roman"/>
                <w:b/>
                <w:bCs/>
                <w:color w:val="FFFFFF"/>
                <w:lang w:eastAsia="en-GB"/>
              </w:rPr>
              <w:t xml:space="preserve">              £000s</w:t>
            </w:r>
          </w:p>
        </w:tc>
        <w:tc>
          <w:tcPr>
            <w:tcW w:w="1016" w:type="dxa"/>
            <w:shd w:val="clear" w:color="auto" w:fill="548DD4" w:themeFill="text2" w:themeFillTint="99"/>
            <w:vAlign w:val="center"/>
            <w:hideMark/>
          </w:tcPr>
          <w:p w:rsidR="00776541" w:rsidRPr="008615CE" w:rsidRDefault="00776541" w:rsidP="00F037CD">
            <w:pPr>
              <w:jc w:val="center"/>
              <w:rPr>
                <w:rFonts w:ascii="Calibri Light" w:eastAsia="Times New Roman" w:hAnsi="Calibri Light" w:cs="Times New Roman"/>
                <w:b/>
                <w:bCs/>
                <w:color w:val="FFFFFF"/>
                <w:lang w:eastAsia="en-GB"/>
              </w:rPr>
            </w:pPr>
            <w:r w:rsidRPr="008615CE">
              <w:rPr>
                <w:rFonts w:ascii="Calibri Light" w:eastAsia="Times New Roman" w:hAnsi="Calibri Light" w:cs="Times New Roman"/>
                <w:b/>
                <w:bCs/>
                <w:color w:val="FFFFFF"/>
                <w:lang w:eastAsia="en-GB"/>
              </w:rPr>
              <w:t>F</w:t>
            </w:r>
            <w:r>
              <w:rPr>
                <w:rFonts w:ascii="Calibri Light" w:eastAsia="Times New Roman" w:hAnsi="Calibri Light" w:cs="Times New Roman"/>
                <w:b/>
                <w:bCs/>
                <w:color w:val="FFFFFF"/>
                <w:lang w:eastAsia="en-GB"/>
              </w:rPr>
              <w:t>Y2</w:t>
            </w:r>
            <w:r w:rsidR="00F037CD">
              <w:rPr>
                <w:rFonts w:ascii="Calibri Light" w:eastAsia="Times New Roman" w:hAnsi="Calibri Light" w:cs="Times New Roman"/>
                <w:b/>
                <w:bCs/>
                <w:color w:val="FFFFFF"/>
                <w:lang w:eastAsia="en-GB"/>
              </w:rPr>
              <w:t>3</w:t>
            </w:r>
            <w:r>
              <w:rPr>
                <w:rFonts w:ascii="Calibri Light" w:eastAsia="Times New Roman" w:hAnsi="Calibri Light" w:cs="Times New Roman"/>
                <w:b/>
                <w:bCs/>
                <w:color w:val="FFFFFF"/>
                <w:lang w:eastAsia="en-GB"/>
              </w:rPr>
              <w:t>-2</w:t>
            </w:r>
            <w:r w:rsidR="00F037CD">
              <w:rPr>
                <w:rFonts w:ascii="Calibri Light" w:eastAsia="Times New Roman" w:hAnsi="Calibri Light" w:cs="Times New Roman"/>
                <w:b/>
                <w:bCs/>
                <w:color w:val="FFFFFF"/>
                <w:lang w:eastAsia="en-GB"/>
              </w:rPr>
              <w:t>4</w:t>
            </w:r>
            <w:r w:rsidRPr="008615CE">
              <w:rPr>
                <w:rFonts w:ascii="Calibri Light" w:eastAsia="Times New Roman" w:hAnsi="Calibri Light" w:cs="Times New Roman"/>
                <w:b/>
                <w:bCs/>
                <w:color w:val="FFFFFF"/>
                <w:lang w:eastAsia="en-GB"/>
              </w:rPr>
              <w:t xml:space="preserve"> £000s</w:t>
            </w:r>
          </w:p>
        </w:tc>
      </w:tr>
      <w:tr w:rsidR="00776541" w:rsidRPr="00F86BD2" w:rsidTr="00F037CD">
        <w:trPr>
          <w:trHeight w:hRule="exact" w:val="305"/>
        </w:trPr>
        <w:tc>
          <w:tcPr>
            <w:tcW w:w="6068" w:type="dxa"/>
            <w:shd w:val="clear" w:color="auto" w:fill="FFFFFF" w:themeFill="background1"/>
            <w:noWrap/>
            <w:vAlign w:val="center"/>
            <w:hideMark/>
          </w:tcPr>
          <w:p w:rsidR="00776541" w:rsidRPr="008615CE" w:rsidRDefault="00776541" w:rsidP="00745C62">
            <w:pPr>
              <w:rPr>
                <w:rFonts w:ascii="Calibri Light" w:eastAsia="Times New Roman" w:hAnsi="Calibri Light" w:cs="Times New Roman"/>
                <w:color w:val="404040"/>
                <w:lang w:eastAsia="en-GB"/>
              </w:rPr>
            </w:pPr>
            <w:r w:rsidRPr="008615CE">
              <w:rPr>
                <w:rFonts w:ascii="Calibri Light" w:eastAsia="Times New Roman" w:hAnsi="Calibri Light" w:cs="Times New Roman"/>
                <w:color w:val="404040"/>
                <w:lang w:eastAsia="en-GB"/>
              </w:rPr>
              <w:t>IT Replacement Programme</w:t>
            </w:r>
          </w:p>
        </w:tc>
        <w:tc>
          <w:tcPr>
            <w:tcW w:w="1016" w:type="dxa"/>
            <w:shd w:val="clear" w:color="auto" w:fill="FFFFFF" w:themeFill="background1"/>
            <w:vAlign w:val="center"/>
          </w:tcPr>
          <w:p w:rsidR="00776541" w:rsidRPr="00632211" w:rsidRDefault="00637A18" w:rsidP="00745C62">
            <w:pPr>
              <w:jc w:val="center"/>
              <w:rPr>
                <w:rFonts w:ascii="Calibri Light" w:eastAsia="Times New Roman" w:hAnsi="Calibri Light" w:cs="Times New Roman"/>
                <w:color w:val="333333"/>
                <w:lang w:eastAsia="en-GB"/>
              </w:rPr>
            </w:pPr>
            <w:r>
              <w:rPr>
                <w:rFonts w:ascii="Calibri Light" w:eastAsia="Times New Roman" w:hAnsi="Calibri Light" w:cs="Times New Roman"/>
                <w:color w:val="333333"/>
                <w:lang w:eastAsia="en-GB"/>
              </w:rPr>
              <w:t>350</w:t>
            </w:r>
          </w:p>
        </w:tc>
        <w:tc>
          <w:tcPr>
            <w:tcW w:w="1016" w:type="dxa"/>
            <w:shd w:val="clear" w:color="auto" w:fill="FFFFFF" w:themeFill="background1"/>
            <w:noWrap/>
            <w:vAlign w:val="center"/>
          </w:tcPr>
          <w:p w:rsidR="00776541" w:rsidRPr="00632211" w:rsidRDefault="00637A18" w:rsidP="00745C62">
            <w:pPr>
              <w:jc w:val="center"/>
              <w:rPr>
                <w:rFonts w:ascii="Calibri Light" w:eastAsia="Times New Roman" w:hAnsi="Calibri Light" w:cs="Times New Roman"/>
                <w:color w:val="333333"/>
                <w:lang w:eastAsia="en-GB"/>
              </w:rPr>
            </w:pPr>
            <w:r>
              <w:rPr>
                <w:rFonts w:ascii="Calibri Light" w:eastAsia="Times New Roman" w:hAnsi="Calibri Light" w:cs="Times New Roman"/>
                <w:color w:val="333333"/>
                <w:lang w:eastAsia="en-GB"/>
              </w:rPr>
              <w:t>350</w:t>
            </w:r>
          </w:p>
        </w:tc>
        <w:tc>
          <w:tcPr>
            <w:tcW w:w="1016" w:type="dxa"/>
            <w:shd w:val="clear" w:color="auto" w:fill="FFFFFF" w:themeFill="background1"/>
            <w:noWrap/>
            <w:vAlign w:val="center"/>
          </w:tcPr>
          <w:p w:rsidR="00776541" w:rsidRPr="00632211" w:rsidRDefault="00637A18" w:rsidP="00745C62">
            <w:pPr>
              <w:jc w:val="center"/>
              <w:rPr>
                <w:rFonts w:ascii="Calibri Light" w:eastAsia="Times New Roman" w:hAnsi="Calibri Light" w:cs="Times New Roman"/>
                <w:color w:val="333333"/>
                <w:lang w:eastAsia="en-GB"/>
              </w:rPr>
            </w:pPr>
            <w:r>
              <w:rPr>
                <w:rFonts w:ascii="Calibri Light" w:eastAsia="Times New Roman" w:hAnsi="Calibri Light" w:cs="Times New Roman"/>
                <w:color w:val="333333"/>
                <w:lang w:eastAsia="en-GB"/>
              </w:rPr>
              <w:t>350</w:t>
            </w:r>
          </w:p>
        </w:tc>
      </w:tr>
      <w:tr w:rsidR="00776541" w:rsidRPr="00F86BD2" w:rsidTr="00F037CD">
        <w:trPr>
          <w:trHeight w:hRule="exact" w:val="305"/>
        </w:trPr>
        <w:tc>
          <w:tcPr>
            <w:tcW w:w="6068" w:type="dxa"/>
            <w:shd w:val="clear" w:color="auto" w:fill="EFF5FB"/>
            <w:noWrap/>
            <w:vAlign w:val="center"/>
            <w:hideMark/>
          </w:tcPr>
          <w:p w:rsidR="00776541" w:rsidRPr="008615CE" w:rsidRDefault="00776541" w:rsidP="00745C62">
            <w:pPr>
              <w:rPr>
                <w:rFonts w:ascii="Calibri Light" w:eastAsia="Times New Roman" w:hAnsi="Calibri Light" w:cs="Times New Roman"/>
                <w:color w:val="404040"/>
                <w:lang w:eastAsia="en-GB"/>
              </w:rPr>
            </w:pPr>
            <w:r w:rsidRPr="008615CE">
              <w:rPr>
                <w:rFonts w:ascii="Calibri Light" w:eastAsia="Times New Roman" w:hAnsi="Calibri Light" w:cs="Times New Roman"/>
                <w:color w:val="404040"/>
                <w:lang w:eastAsia="en-GB"/>
              </w:rPr>
              <w:t>Estates &amp; Statutory Compliance</w:t>
            </w:r>
          </w:p>
        </w:tc>
        <w:tc>
          <w:tcPr>
            <w:tcW w:w="1016" w:type="dxa"/>
            <w:shd w:val="clear" w:color="auto" w:fill="EFF5FB"/>
            <w:vAlign w:val="center"/>
          </w:tcPr>
          <w:p w:rsidR="00776541" w:rsidRPr="00632211" w:rsidRDefault="00637A18" w:rsidP="00745C62">
            <w:pPr>
              <w:jc w:val="center"/>
              <w:rPr>
                <w:rFonts w:ascii="Calibri Light" w:eastAsia="Times New Roman" w:hAnsi="Calibri Light" w:cs="Times New Roman"/>
                <w:color w:val="333333"/>
                <w:lang w:eastAsia="en-GB"/>
              </w:rPr>
            </w:pPr>
            <w:r>
              <w:rPr>
                <w:rFonts w:ascii="Calibri Light" w:eastAsia="Times New Roman" w:hAnsi="Calibri Light" w:cs="Times New Roman"/>
                <w:color w:val="333333"/>
                <w:lang w:eastAsia="en-GB"/>
              </w:rPr>
              <w:t>350</w:t>
            </w:r>
          </w:p>
        </w:tc>
        <w:tc>
          <w:tcPr>
            <w:tcW w:w="1016" w:type="dxa"/>
            <w:shd w:val="clear" w:color="auto" w:fill="EFF5FB"/>
            <w:noWrap/>
            <w:vAlign w:val="center"/>
          </w:tcPr>
          <w:p w:rsidR="00776541" w:rsidRPr="00632211" w:rsidRDefault="00637A18" w:rsidP="00745C62">
            <w:pPr>
              <w:jc w:val="center"/>
              <w:rPr>
                <w:rFonts w:ascii="Calibri Light" w:eastAsia="Times New Roman" w:hAnsi="Calibri Light" w:cs="Times New Roman"/>
                <w:color w:val="333333"/>
                <w:lang w:eastAsia="en-GB"/>
              </w:rPr>
            </w:pPr>
            <w:r>
              <w:rPr>
                <w:rFonts w:ascii="Calibri Light" w:eastAsia="Times New Roman" w:hAnsi="Calibri Light" w:cs="Times New Roman"/>
                <w:color w:val="333333"/>
                <w:lang w:eastAsia="en-GB"/>
              </w:rPr>
              <w:t>380</w:t>
            </w:r>
          </w:p>
        </w:tc>
        <w:tc>
          <w:tcPr>
            <w:tcW w:w="1016" w:type="dxa"/>
            <w:shd w:val="clear" w:color="auto" w:fill="EFF5FB"/>
            <w:noWrap/>
            <w:vAlign w:val="center"/>
          </w:tcPr>
          <w:p w:rsidR="00776541" w:rsidRPr="00632211" w:rsidRDefault="00637A18" w:rsidP="00745C62">
            <w:pPr>
              <w:jc w:val="center"/>
              <w:rPr>
                <w:rFonts w:ascii="Calibri Light" w:eastAsia="Times New Roman" w:hAnsi="Calibri Light" w:cs="Times New Roman"/>
                <w:color w:val="333333"/>
                <w:lang w:eastAsia="en-GB"/>
              </w:rPr>
            </w:pPr>
            <w:r>
              <w:rPr>
                <w:rFonts w:ascii="Calibri Light" w:eastAsia="Times New Roman" w:hAnsi="Calibri Light" w:cs="Times New Roman"/>
                <w:color w:val="333333"/>
                <w:lang w:eastAsia="en-GB"/>
              </w:rPr>
              <w:t>380</w:t>
            </w:r>
          </w:p>
        </w:tc>
      </w:tr>
      <w:tr w:rsidR="00776541" w:rsidRPr="00F86BD2" w:rsidTr="00F037CD">
        <w:trPr>
          <w:trHeight w:hRule="exact" w:val="305"/>
        </w:trPr>
        <w:tc>
          <w:tcPr>
            <w:tcW w:w="6068" w:type="dxa"/>
            <w:shd w:val="clear" w:color="auto" w:fill="FFFFFF" w:themeFill="background1"/>
            <w:noWrap/>
            <w:vAlign w:val="center"/>
            <w:hideMark/>
          </w:tcPr>
          <w:p w:rsidR="00776541" w:rsidRPr="008615CE" w:rsidRDefault="00776541" w:rsidP="00745C62">
            <w:pPr>
              <w:rPr>
                <w:rFonts w:ascii="Calibri Light" w:eastAsia="Times New Roman" w:hAnsi="Calibri Light" w:cs="Times New Roman"/>
                <w:color w:val="404040"/>
                <w:lang w:eastAsia="en-GB"/>
              </w:rPr>
            </w:pPr>
            <w:r w:rsidRPr="008615CE">
              <w:rPr>
                <w:rFonts w:ascii="Calibri Light" w:eastAsia="Times New Roman" w:hAnsi="Calibri Light" w:cs="Times New Roman"/>
                <w:color w:val="404040"/>
                <w:lang w:eastAsia="en-GB"/>
              </w:rPr>
              <w:t>Equipment Replacement</w:t>
            </w:r>
          </w:p>
        </w:tc>
        <w:tc>
          <w:tcPr>
            <w:tcW w:w="1016" w:type="dxa"/>
            <w:shd w:val="clear" w:color="auto" w:fill="FFFFFF" w:themeFill="background1"/>
            <w:vAlign w:val="center"/>
          </w:tcPr>
          <w:p w:rsidR="00776541" w:rsidRPr="00632211" w:rsidRDefault="00637A18" w:rsidP="00745C62">
            <w:pPr>
              <w:jc w:val="center"/>
              <w:rPr>
                <w:rFonts w:ascii="Calibri Light" w:eastAsia="Times New Roman" w:hAnsi="Calibri Light" w:cs="Times New Roman"/>
                <w:color w:val="333333"/>
                <w:lang w:eastAsia="en-GB"/>
              </w:rPr>
            </w:pPr>
            <w:r>
              <w:rPr>
                <w:rFonts w:ascii="Calibri Light" w:eastAsia="Times New Roman" w:hAnsi="Calibri Light" w:cs="Times New Roman"/>
                <w:color w:val="333333"/>
                <w:lang w:eastAsia="en-GB"/>
              </w:rPr>
              <w:t>630</w:t>
            </w:r>
          </w:p>
        </w:tc>
        <w:tc>
          <w:tcPr>
            <w:tcW w:w="1016" w:type="dxa"/>
            <w:shd w:val="clear" w:color="auto" w:fill="FFFFFF" w:themeFill="background1"/>
            <w:noWrap/>
            <w:vAlign w:val="center"/>
          </w:tcPr>
          <w:p w:rsidR="00776541" w:rsidRPr="00632211" w:rsidRDefault="00637A18" w:rsidP="00745C62">
            <w:pPr>
              <w:jc w:val="center"/>
              <w:rPr>
                <w:rFonts w:ascii="Calibri Light" w:eastAsia="Times New Roman" w:hAnsi="Calibri Light" w:cs="Times New Roman"/>
                <w:color w:val="333333"/>
                <w:lang w:eastAsia="en-GB"/>
              </w:rPr>
            </w:pPr>
            <w:r>
              <w:rPr>
                <w:rFonts w:ascii="Calibri Light" w:eastAsia="Times New Roman" w:hAnsi="Calibri Light" w:cs="Times New Roman"/>
                <w:color w:val="333333"/>
                <w:lang w:eastAsia="en-GB"/>
              </w:rPr>
              <w:t>600</w:t>
            </w:r>
          </w:p>
        </w:tc>
        <w:tc>
          <w:tcPr>
            <w:tcW w:w="1016" w:type="dxa"/>
            <w:shd w:val="clear" w:color="auto" w:fill="FFFFFF" w:themeFill="background1"/>
            <w:noWrap/>
            <w:vAlign w:val="center"/>
          </w:tcPr>
          <w:p w:rsidR="00776541" w:rsidRPr="00632211" w:rsidRDefault="00637A18" w:rsidP="00745C62">
            <w:pPr>
              <w:jc w:val="center"/>
              <w:rPr>
                <w:rFonts w:ascii="Calibri Light" w:eastAsia="Times New Roman" w:hAnsi="Calibri Light" w:cs="Times New Roman"/>
                <w:color w:val="333333"/>
                <w:lang w:eastAsia="en-GB"/>
              </w:rPr>
            </w:pPr>
            <w:r>
              <w:rPr>
                <w:rFonts w:ascii="Calibri Light" w:eastAsia="Times New Roman" w:hAnsi="Calibri Light" w:cs="Times New Roman"/>
                <w:color w:val="333333"/>
                <w:lang w:eastAsia="en-GB"/>
              </w:rPr>
              <w:t>600</w:t>
            </w:r>
          </w:p>
        </w:tc>
      </w:tr>
      <w:tr w:rsidR="00776541" w:rsidRPr="00F86BD2" w:rsidTr="00745C62">
        <w:trPr>
          <w:trHeight w:hRule="exact" w:val="305"/>
        </w:trPr>
        <w:tc>
          <w:tcPr>
            <w:tcW w:w="6068" w:type="dxa"/>
            <w:shd w:val="clear" w:color="auto" w:fill="FFFFFF" w:themeFill="background1"/>
            <w:noWrap/>
            <w:vAlign w:val="center"/>
          </w:tcPr>
          <w:p w:rsidR="00776541" w:rsidRPr="008615CE" w:rsidRDefault="00776541" w:rsidP="00745C62">
            <w:pPr>
              <w:rPr>
                <w:rFonts w:ascii="Calibri Light" w:eastAsia="Times New Roman" w:hAnsi="Calibri Light" w:cs="Times New Roman"/>
                <w:color w:val="404040"/>
                <w:lang w:eastAsia="en-GB"/>
              </w:rPr>
            </w:pPr>
            <w:r>
              <w:rPr>
                <w:rFonts w:ascii="Calibri Light" w:eastAsia="Times New Roman" w:hAnsi="Calibri Light" w:cs="Times New Roman"/>
                <w:color w:val="404040"/>
                <w:lang w:eastAsia="en-GB"/>
              </w:rPr>
              <w:t>Contingency</w:t>
            </w:r>
          </w:p>
        </w:tc>
        <w:tc>
          <w:tcPr>
            <w:tcW w:w="1016" w:type="dxa"/>
            <w:shd w:val="clear" w:color="auto" w:fill="FFFFFF" w:themeFill="background1"/>
            <w:vAlign w:val="center"/>
          </w:tcPr>
          <w:p w:rsidR="00776541" w:rsidRPr="00632211" w:rsidRDefault="00637A18" w:rsidP="00637A18">
            <w:pPr>
              <w:jc w:val="center"/>
              <w:rPr>
                <w:rFonts w:ascii="Calibri Light" w:hAnsi="Calibri Light"/>
                <w:color w:val="333333"/>
              </w:rPr>
            </w:pPr>
            <w:r>
              <w:rPr>
                <w:rFonts w:ascii="Calibri Light" w:hAnsi="Calibri Light"/>
                <w:color w:val="333333"/>
              </w:rPr>
              <w:t>250</w:t>
            </w:r>
          </w:p>
        </w:tc>
        <w:tc>
          <w:tcPr>
            <w:tcW w:w="1016" w:type="dxa"/>
            <w:shd w:val="clear" w:color="auto" w:fill="FFFFFF" w:themeFill="background1"/>
            <w:noWrap/>
            <w:vAlign w:val="center"/>
          </w:tcPr>
          <w:p w:rsidR="00776541" w:rsidRPr="00632211" w:rsidRDefault="00637A18" w:rsidP="00745C62">
            <w:pPr>
              <w:jc w:val="center"/>
              <w:rPr>
                <w:rFonts w:ascii="Calibri Light" w:hAnsi="Calibri Light"/>
                <w:color w:val="333333"/>
              </w:rPr>
            </w:pPr>
            <w:r>
              <w:rPr>
                <w:rFonts w:ascii="Calibri Light" w:hAnsi="Calibri Light"/>
                <w:color w:val="333333"/>
              </w:rPr>
              <w:t>250</w:t>
            </w:r>
          </w:p>
        </w:tc>
        <w:tc>
          <w:tcPr>
            <w:tcW w:w="1016" w:type="dxa"/>
            <w:shd w:val="clear" w:color="auto" w:fill="FFFFFF" w:themeFill="background1"/>
            <w:noWrap/>
            <w:vAlign w:val="center"/>
          </w:tcPr>
          <w:p w:rsidR="00776541" w:rsidRPr="00632211" w:rsidRDefault="00637A18" w:rsidP="00745C62">
            <w:pPr>
              <w:jc w:val="center"/>
              <w:rPr>
                <w:rFonts w:ascii="Calibri Light" w:hAnsi="Calibri Light"/>
                <w:color w:val="333333"/>
              </w:rPr>
            </w:pPr>
            <w:r>
              <w:rPr>
                <w:rFonts w:ascii="Calibri Light" w:hAnsi="Calibri Light"/>
                <w:color w:val="333333"/>
              </w:rPr>
              <w:t>250</w:t>
            </w:r>
          </w:p>
        </w:tc>
      </w:tr>
      <w:tr w:rsidR="00776541" w:rsidRPr="00F86BD2" w:rsidTr="00FE56B8">
        <w:trPr>
          <w:trHeight w:hRule="exact" w:val="305"/>
        </w:trPr>
        <w:tc>
          <w:tcPr>
            <w:tcW w:w="6068" w:type="dxa"/>
            <w:shd w:val="clear" w:color="auto" w:fill="548DD4" w:themeFill="text2" w:themeFillTint="99"/>
            <w:noWrap/>
            <w:vAlign w:val="center"/>
            <w:hideMark/>
          </w:tcPr>
          <w:p w:rsidR="00776541" w:rsidRPr="00632211" w:rsidRDefault="00776541" w:rsidP="00745C62">
            <w:pPr>
              <w:rPr>
                <w:rFonts w:ascii="Calibri Light" w:eastAsia="Times New Roman" w:hAnsi="Calibri Light" w:cs="Times New Roman"/>
                <w:b/>
                <w:bCs/>
                <w:color w:val="FFFFFF"/>
                <w:lang w:eastAsia="en-GB"/>
              </w:rPr>
            </w:pPr>
            <w:r w:rsidRPr="00632211">
              <w:rPr>
                <w:rFonts w:ascii="Calibri Light" w:eastAsia="Times New Roman" w:hAnsi="Calibri Light" w:cs="Times New Roman"/>
                <w:b/>
                <w:bCs/>
                <w:color w:val="FFFFFF"/>
                <w:lang w:eastAsia="en-GB"/>
              </w:rPr>
              <w:t>Grand Total</w:t>
            </w:r>
          </w:p>
        </w:tc>
        <w:tc>
          <w:tcPr>
            <w:tcW w:w="1016" w:type="dxa"/>
            <w:shd w:val="clear" w:color="auto" w:fill="548DD4" w:themeFill="text2" w:themeFillTint="99"/>
            <w:noWrap/>
            <w:vAlign w:val="center"/>
          </w:tcPr>
          <w:p w:rsidR="00776541" w:rsidRPr="00632211" w:rsidRDefault="00637A18" w:rsidP="00745C62">
            <w:pPr>
              <w:jc w:val="center"/>
              <w:rPr>
                <w:rFonts w:ascii="Calibri Light" w:eastAsia="Times New Roman" w:hAnsi="Calibri Light" w:cs="Times New Roman"/>
                <w:b/>
                <w:bCs/>
                <w:color w:val="FFFFFF" w:themeColor="background1"/>
                <w:lang w:eastAsia="en-GB"/>
              </w:rPr>
            </w:pPr>
            <w:r>
              <w:rPr>
                <w:rFonts w:ascii="Calibri Light" w:eastAsia="Times New Roman" w:hAnsi="Calibri Light" w:cs="Times New Roman"/>
                <w:b/>
                <w:bCs/>
                <w:color w:val="FFFFFF" w:themeColor="background1"/>
                <w:lang w:eastAsia="en-GB"/>
              </w:rPr>
              <w:t>1,580</w:t>
            </w:r>
          </w:p>
        </w:tc>
        <w:tc>
          <w:tcPr>
            <w:tcW w:w="1016" w:type="dxa"/>
            <w:shd w:val="clear" w:color="auto" w:fill="548DD4" w:themeFill="text2" w:themeFillTint="99"/>
            <w:noWrap/>
            <w:vAlign w:val="center"/>
          </w:tcPr>
          <w:p w:rsidR="00776541" w:rsidRPr="009D0AD9" w:rsidRDefault="00637A18" w:rsidP="00745C62">
            <w:pPr>
              <w:jc w:val="center"/>
              <w:rPr>
                <w:rFonts w:ascii="Calibri Light" w:eastAsia="Times New Roman" w:hAnsi="Calibri Light" w:cs="Times New Roman"/>
                <w:b/>
                <w:bCs/>
                <w:color w:val="FFFFFF" w:themeColor="background1"/>
                <w:lang w:eastAsia="en-GB"/>
              </w:rPr>
            </w:pPr>
            <w:r w:rsidRPr="009D0AD9">
              <w:rPr>
                <w:rFonts w:ascii="Calibri Light" w:eastAsia="Times New Roman" w:hAnsi="Calibri Light" w:cs="Times New Roman"/>
                <w:b/>
                <w:bCs/>
                <w:color w:val="FFFFFF" w:themeColor="background1"/>
                <w:lang w:eastAsia="en-GB"/>
              </w:rPr>
              <w:t>1,580</w:t>
            </w:r>
          </w:p>
        </w:tc>
        <w:tc>
          <w:tcPr>
            <w:tcW w:w="1016" w:type="dxa"/>
            <w:shd w:val="clear" w:color="auto" w:fill="548DD4" w:themeFill="text2" w:themeFillTint="99"/>
            <w:noWrap/>
            <w:vAlign w:val="center"/>
          </w:tcPr>
          <w:p w:rsidR="00776541" w:rsidRPr="009D0AD9" w:rsidRDefault="00637A18" w:rsidP="00745C62">
            <w:pPr>
              <w:jc w:val="center"/>
              <w:rPr>
                <w:rFonts w:ascii="Calibri Light" w:eastAsia="Times New Roman" w:hAnsi="Calibri Light" w:cs="Times New Roman"/>
                <w:b/>
                <w:bCs/>
                <w:color w:val="FFFFFF" w:themeColor="background1"/>
                <w:lang w:eastAsia="en-GB"/>
              </w:rPr>
            </w:pPr>
            <w:r w:rsidRPr="009D0AD9">
              <w:rPr>
                <w:rFonts w:ascii="Calibri Light" w:eastAsia="Times New Roman" w:hAnsi="Calibri Light" w:cs="Times New Roman"/>
                <w:b/>
                <w:bCs/>
                <w:color w:val="FFFFFF" w:themeColor="background1"/>
                <w:lang w:eastAsia="en-GB"/>
              </w:rPr>
              <w:t>1,580</w:t>
            </w:r>
          </w:p>
        </w:tc>
      </w:tr>
      <w:tr w:rsidR="00776541" w:rsidRPr="00F86BD2" w:rsidTr="00F037CD">
        <w:trPr>
          <w:trHeight w:hRule="exact" w:val="305"/>
        </w:trPr>
        <w:tc>
          <w:tcPr>
            <w:tcW w:w="6068" w:type="dxa"/>
            <w:shd w:val="clear" w:color="auto" w:fill="FFFFFF" w:themeFill="background1"/>
            <w:noWrap/>
            <w:vAlign w:val="center"/>
            <w:hideMark/>
          </w:tcPr>
          <w:p w:rsidR="00776541" w:rsidRPr="00F47639" w:rsidRDefault="00776541" w:rsidP="00745C62">
            <w:pPr>
              <w:rPr>
                <w:rFonts w:ascii="Calibri Light" w:eastAsia="Times New Roman" w:hAnsi="Calibri Light" w:cs="Times New Roman"/>
                <w:b/>
                <w:bCs/>
                <w:color w:val="404040"/>
                <w:lang w:eastAsia="en-GB"/>
              </w:rPr>
            </w:pPr>
            <w:r w:rsidRPr="00F47639">
              <w:rPr>
                <w:rFonts w:ascii="Calibri Light" w:eastAsia="Times New Roman" w:hAnsi="Calibri Light" w:cs="Times New Roman"/>
                <w:b/>
                <w:bCs/>
                <w:color w:val="404040"/>
                <w:lang w:eastAsia="en-GB"/>
              </w:rPr>
              <w:t>Discretionary Funding</w:t>
            </w:r>
          </w:p>
        </w:tc>
        <w:tc>
          <w:tcPr>
            <w:tcW w:w="1016" w:type="dxa"/>
            <w:shd w:val="clear" w:color="auto" w:fill="FFFFFF" w:themeFill="background1"/>
            <w:noWrap/>
            <w:vAlign w:val="center"/>
          </w:tcPr>
          <w:p w:rsidR="00776541" w:rsidRPr="00F47639" w:rsidRDefault="00637A18" w:rsidP="00745C62">
            <w:pPr>
              <w:jc w:val="center"/>
              <w:rPr>
                <w:rFonts w:ascii="Calibri Light" w:eastAsia="Times New Roman" w:hAnsi="Calibri Light" w:cs="Times New Roman"/>
                <w:color w:val="404040"/>
                <w:lang w:eastAsia="en-GB"/>
              </w:rPr>
            </w:pPr>
            <w:r>
              <w:rPr>
                <w:rFonts w:ascii="Calibri Light" w:eastAsia="Times New Roman" w:hAnsi="Calibri Light" w:cs="Times New Roman"/>
                <w:color w:val="404040"/>
                <w:lang w:eastAsia="en-GB"/>
              </w:rPr>
              <w:t>1,580</w:t>
            </w:r>
          </w:p>
        </w:tc>
        <w:tc>
          <w:tcPr>
            <w:tcW w:w="1016" w:type="dxa"/>
            <w:shd w:val="clear" w:color="auto" w:fill="FFFFFF" w:themeFill="background1"/>
            <w:noWrap/>
            <w:vAlign w:val="center"/>
          </w:tcPr>
          <w:p w:rsidR="00776541" w:rsidRPr="00F47639" w:rsidRDefault="009D0AD9" w:rsidP="00745C62">
            <w:pPr>
              <w:jc w:val="center"/>
              <w:rPr>
                <w:rFonts w:ascii="Calibri Light" w:eastAsia="Times New Roman" w:hAnsi="Calibri Light" w:cs="Times New Roman"/>
                <w:color w:val="404040"/>
                <w:lang w:eastAsia="en-GB"/>
              </w:rPr>
            </w:pPr>
            <w:r>
              <w:rPr>
                <w:rFonts w:ascii="Calibri Light" w:eastAsia="Times New Roman" w:hAnsi="Calibri Light" w:cs="Times New Roman"/>
                <w:color w:val="404040"/>
                <w:lang w:eastAsia="en-GB"/>
              </w:rPr>
              <w:t>1,580</w:t>
            </w:r>
          </w:p>
        </w:tc>
        <w:tc>
          <w:tcPr>
            <w:tcW w:w="1016" w:type="dxa"/>
            <w:shd w:val="clear" w:color="auto" w:fill="FFFFFF" w:themeFill="background1"/>
            <w:noWrap/>
            <w:vAlign w:val="center"/>
          </w:tcPr>
          <w:p w:rsidR="00776541" w:rsidRPr="00F47639" w:rsidRDefault="009D0AD9" w:rsidP="00745C62">
            <w:pPr>
              <w:jc w:val="center"/>
              <w:rPr>
                <w:rFonts w:ascii="Calibri Light" w:eastAsia="Times New Roman" w:hAnsi="Calibri Light" w:cs="Times New Roman"/>
                <w:color w:val="404040"/>
                <w:lang w:eastAsia="en-GB"/>
              </w:rPr>
            </w:pPr>
            <w:r>
              <w:rPr>
                <w:rFonts w:ascii="Calibri Light" w:eastAsia="Times New Roman" w:hAnsi="Calibri Light" w:cs="Times New Roman"/>
                <w:color w:val="404040"/>
                <w:lang w:eastAsia="en-GB"/>
              </w:rPr>
              <w:t>1,580</w:t>
            </w:r>
          </w:p>
        </w:tc>
      </w:tr>
      <w:tr w:rsidR="00776541" w:rsidRPr="00F86BD2" w:rsidTr="00FE56B8">
        <w:trPr>
          <w:trHeight w:val="305"/>
        </w:trPr>
        <w:tc>
          <w:tcPr>
            <w:tcW w:w="6068" w:type="dxa"/>
            <w:shd w:val="clear" w:color="auto" w:fill="548DD4" w:themeFill="text2" w:themeFillTint="99"/>
            <w:noWrap/>
            <w:vAlign w:val="center"/>
            <w:hideMark/>
          </w:tcPr>
          <w:p w:rsidR="00776541" w:rsidRPr="008615CE" w:rsidRDefault="00776541" w:rsidP="00745C62">
            <w:pPr>
              <w:rPr>
                <w:rFonts w:ascii="Calibri Light" w:eastAsia="Times New Roman" w:hAnsi="Calibri Light" w:cs="Times New Roman"/>
                <w:b/>
                <w:bCs/>
                <w:color w:val="FFFFFF"/>
                <w:lang w:eastAsia="en-GB"/>
              </w:rPr>
            </w:pPr>
            <w:r w:rsidRPr="008615CE">
              <w:rPr>
                <w:rFonts w:ascii="Calibri Light" w:eastAsia="Times New Roman" w:hAnsi="Calibri Light" w:cs="Times New Roman"/>
                <w:b/>
                <w:bCs/>
                <w:color w:val="FFFFFF"/>
                <w:lang w:eastAsia="en-GB"/>
              </w:rPr>
              <w:t>Shortfall / (Surplus)</w:t>
            </w:r>
          </w:p>
        </w:tc>
        <w:tc>
          <w:tcPr>
            <w:tcW w:w="1016" w:type="dxa"/>
            <w:shd w:val="clear" w:color="auto" w:fill="548DD4" w:themeFill="text2" w:themeFillTint="99"/>
            <w:noWrap/>
            <w:vAlign w:val="center"/>
            <w:hideMark/>
          </w:tcPr>
          <w:p w:rsidR="00776541" w:rsidRPr="008615CE" w:rsidRDefault="00776541" w:rsidP="00745C62">
            <w:pPr>
              <w:jc w:val="center"/>
              <w:rPr>
                <w:rFonts w:ascii="Calibri Light" w:eastAsia="Times New Roman" w:hAnsi="Calibri Light" w:cs="Times New Roman"/>
                <w:b/>
                <w:bCs/>
                <w:color w:val="FFFFFF"/>
                <w:lang w:eastAsia="en-GB"/>
              </w:rPr>
            </w:pPr>
            <w:r>
              <w:rPr>
                <w:rFonts w:ascii="Calibri Light" w:hAnsi="Calibri Light"/>
                <w:b/>
                <w:bCs/>
                <w:color w:val="FFFFFF"/>
              </w:rPr>
              <w:t>0</w:t>
            </w:r>
          </w:p>
        </w:tc>
        <w:tc>
          <w:tcPr>
            <w:tcW w:w="1016" w:type="dxa"/>
            <w:shd w:val="clear" w:color="auto" w:fill="548DD4" w:themeFill="text2" w:themeFillTint="99"/>
            <w:noWrap/>
            <w:vAlign w:val="center"/>
            <w:hideMark/>
          </w:tcPr>
          <w:p w:rsidR="00776541" w:rsidRPr="008615CE" w:rsidRDefault="00776541" w:rsidP="00745C62">
            <w:pPr>
              <w:jc w:val="center"/>
              <w:rPr>
                <w:rFonts w:ascii="Calibri Light" w:eastAsia="Times New Roman" w:hAnsi="Calibri Light" w:cs="Times New Roman"/>
                <w:b/>
                <w:bCs/>
                <w:color w:val="FFFFFF"/>
                <w:lang w:eastAsia="en-GB"/>
              </w:rPr>
            </w:pPr>
            <w:r>
              <w:rPr>
                <w:rFonts w:ascii="Calibri Light" w:hAnsi="Calibri Light"/>
                <w:b/>
                <w:bCs/>
                <w:color w:val="FFFFFF"/>
              </w:rPr>
              <w:t>0</w:t>
            </w:r>
          </w:p>
        </w:tc>
        <w:tc>
          <w:tcPr>
            <w:tcW w:w="1016" w:type="dxa"/>
            <w:shd w:val="clear" w:color="000000" w:fill="325083"/>
            <w:noWrap/>
            <w:vAlign w:val="center"/>
            <w:hideMark/>
          </w:tcPr>
          <w:p w:rsidR="00776541" w:rsidRPr="008615CE" w:rsidRDefault="00776541" w:rsidP="00745C62">
            <w:pPr>
              <w:jc w:val="center"/>
              <w:rPr>
                <w:rFonts w:ascii="Calibri Light" w:eastAsia="Times New Roman" w:hAnsi="Calibri Light" w:cs="Times New Roman"/>
                <w:b/>
                <w:bCs/>
                <w:color w:val="FFFFFF"/>
                <w:lang w:eastAsia="en-GB"/>
              </w:rPr>
            </w:pPr>
            <w:r>
              <w:rPr>
                <w:rFonts w:ascii="Calibri Light" w:hAnsi="Calibri Light"/>
                <w:b/>
                <w:bCs/>
                <w:color w:val="FFFFFF"/>
              </w:rPr>
              <w:t>0</w:t>
            </w:r>
          </w:p>
        </w:tc>
      </w:tr>
    </w:tbl>
    <w:p w:rsidR="00776541" w:rsidRDefault="00776541" w:rsidP="00776541"/>
    <w:p w:rsidR="00776541" w:rsidRPr="00446143" w:rsidRDefault="004A3722" w:rsidP="00446143">
      <w:pPr>
        <w:pStyle w:val="ListParagraph"/>
        <w:numPr>
          <w:ilvl w:val="0"/>
          <w:numId w:val="23"/>
        </w:numPr>
        <w:ind w:left="567" w:hanging="567"/>
        <w:rPr>
          <w:rFonts w:cstheme="minorHAnsi"/>
          <w:b/>
          <w:szCs w:val="24"/>
        </w:rPr>
      </w:pPr>
      <w:r w:rsidRPr="004A3722">
        <w:rPr>
          <w:b/>
        </w:rPr>
        <w:t>Recommendation</w:t>
      </w:r>
    </w:p>
    <w:p w:rsidR="00446143" w:rsidRDefault="00446143" w:rsidP="00446143">
      <w:pPr>
        <w:rPr>
          <w:rFonts w:cstheme="minorHAnsi"/>
          <w:b/>
          <w:szCs w:val="24"/>
        </w:rPr>
      </w:pPr>
    </w:p>
    <w:p w:rsidR="000C1EAD" w:rsidRDefault="00C07301" w:rsidP="00C07301">
      <w:pPr>
        <w:jc w:val="both"/>
        <w:rPr>
          <w:rFonts w:cstheme="minorHAnsi"/>
          <w:szCs w:val="24"/>
        </w:rPr>
      </w:pPr>
      <w:r>
        <w:rPr>
          <w:rFonts w:cstheme="minorHAnsi"/>
          <w:szCs w:val="24"/>
        </w:rPr>
        <w:t xml:space="preserve">The </w:t>
      </w:r>
      <w:r w:rsidR="002A653D">
        <w:rPr>
          <w:rFonts w:cstheme="minorHAnsi"/>
          <w:szCs w:val="24"/>
        </w:rPr>
        <w:t>Board</w:t>
      </w:r>
      <w:r>
        <w:rPr>
          <w:rFonts w:cstheme="minorHAnsi"/>
          <w:szCs w:val="24"/>
        </w:rPr>
        <w:t xml:space="preserve"> is asked to approve the </w:t>
      </w:r>
      <w:r w:rsidR="002A653D">
        <w:rPr>
          <w:rFonts w:cstheme="minorHAnsi"/>
          <w:szCs w:val="24"/>
        </w:rPr>
        <w:t xml:space="preserve">draft </w:t>
      </w:r>
      <w:bookmarkStart w:id="9" w:name="_GoBack"/>
      <w:bookmarkEnd w:id="9"/>
      <w:r>
        <w:rPr>
          <w:rFonts w:cstheme="minorHAnsi"/>
          <w:szCs w:val="24"/>
        </w:rPr>
        <w:t xml:space="preserve">2021/22 Financial Plan and budgetary control framework noting the ongoing review and scrutiny process. </w:t>
      </w:r>
    </w:p>
    <w:p w:rsidR="000C1EAD" w:rsidRPr="00CA08B6" w:rsidRDefault="000C1EAD" w:rsidP="00CA08B6">
      <w:pPr>
        <w:spacing w:after="200" w:line="276" w:lineRule="auto"/>
        <w:rPr>
          <w:rFonts w:cstheme="minorHAnsi"/>
          <w:szCs w:val="24"/>
        </w:rPr>
      </w:pPr>
    </w:p>
    <w:sectPr w:rsidR="000C1EAD" w:rsidRPr="00CA08B6" w:rsidSect="00E24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35A" w:rsidRDefault="0069535A" w:rsidP="00497F39">
      <w:r>
        <w:separator/>
      </w:r>
    </w:p>
  </w:endnote>
  <w:endnote w:type="continuationSeparator" w:id="0">
    <w:p w:rsidR="0069535A" w:rsidRDefault="0069535A"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14"/>
      <w:gridCol w:w="3002"/>
    </w:tblGrid>
    <w:tr w:rsidR="0069535A" w:rsidRPr="00511AFF" w:rsidTr="003B7361">
      <w:tc>
        <w:tcPr>
          <w:tcW w:w="3100" w:type="dxa"/>
        </w:tcPr>
        <w:p w:rsidR="0069535A" w:rsidRPr="00D47E5C" w:rsidRDefault="0069535A" w:rsidP="004A3722">
          <w:pPr>
            <w:pStyle w:val="Footer"/>
            <w:tabs>
              <w:tab w:val="right" w:pos="9090"/>
            </w:tabs>
            <w:jc w:val="center"/>
            <w:rPr>
              <w:b/>
              <w:sz w:val="20"/>
            </w:rPr>
          </w:pPr>
          <w:r w:rsidRPr="00D47E5C">
            <w:rPr>
              <w:b/>
              <w:sz w:val="20"/>
            </w:rPr>
            <w:t xml:space="preserve">Date: </w:t>
          </w:r>
          <w:r w:rsidRPr="00D47E5C">
            <w:rPr>
              <w:sz w:val="20"/>
            </w:rPr>
            <w:t xml:space="preserve"> </w:t>
          </w:r>
          <w:r w:rsidR="002A653D">
            <w:rPr>
              <w:sz w:val="20"/>
            </w:rPr>
            <w:t>15</w:t>
          </w:r>
          <w:r w:rsidRPr="00D47E5C">
            <w:rPr>
              <w:sz w:val="20"/>
            </w:rPr>
            <w:t xml:space="preserve"> </w:t>
          </w:r>
          <w:r>
            <w:rPr>
              <w:sz w:val="20"/>
            </w:rPr>
            <w:t>March</w:t>
          </w:r>
          <w:r w:rsidRPr="00D47E5C">
            <w:rPr>
              <w:sz w:val="20"/>
            </w:rPr>
            <w:t xml:space="preserve"> 2021</w:t>
          </w:r>
        </w:p>
      </w:tc>
      <w:tc>
        <w:tcPr>
          <w:tcW w:w="3100" w:type="dxa"/>
        </w:tcPr>
        <w:p w:rsidR="0069535A" w:rsidRPr="00D47E5C" w:rsidRDefault="0069535A" w:rsidP="00D47E5C">
          <w:pPr>
            <w:pStyle w:val="Footer"/>
            <w:tabs>
              <w:tab w:val="center" w:pos="1433"/>
              <w:tab w:val="right" w:pos="2866"/>
              <w:tab w:val="right" w:pos="9090"/>
            </w:tabs>
            <w:jc w:val="center"/>
            <w:rPr>
              <w:b/>
              <w:sz w:val="20"/>
            </w:rPr>
          </w:pPr>
          <w:r w:rsidRPr="00D47E5C">
            <w:rPr>
              <w:b/>
              <w:sz w:val="20"/>
            </w:rPr>
            <w:t>Version:</w:t>
          </w:r>
          <w:r w:rsidRPr="00D47E5C">
            <w:rPr>
              <w:sz w:val="20"/>
            </w:rPr>
            <w:t xml:space="preserve"> </w:t>
          </w:r>
          <w:r w:rsidR="00FE56B8">
            <w:rPr>
              <w:sz w:val="20"/>
            </w:rPr>
            <w:t>0d</w:t>
          </w:r>
        </w:p>
      </w:tc>
      <w:tc>
        <w:tcPr>
          <w:tcW w:w="3101" w:type="dxa"/>
        </w:tcPr>
        <w:p w:rsidR="0069535A" w:rsidRPr="00D47E5C" w:rsidRDefault="0069535A" w:rsidP="003B7361">
          <w:pPr>
            <w:pStyle w:val="Footer"/>
            <w:tabs>
              <w:tab w:val="clear" w:pos="4513"/>
              <w:tab w:val="center" w:pos="4500"/>
              <w:tab w:val="right" w:pos="9090"/>
            </w:tabs>
            <w:jc w:val="center"/>
            <w:rPr>
              <w:b/>
              <w:sz w:val="20"/>
            </w:rPr>
          </w:pPr>
          <w:r w:rsidRPr="00D47E5C">
            <w:rPr>
              <w:b/>
              <w:sz w:val="20"/>
            </w:rPr>
            <w:t xml:space="preserve">Page: </w:t>
          </w:r>
          <w:r w:rsidRPr="00D47E5C">
            <w:rPr>
              <w:rStyle w:val="PageNumber"/>
              <w:sz w:val="20"/>
            </w:rPr>
            <w:fldChar w:fldCharType="begin"/>
          </w:r>
          <w:r w:rsidRPr="00D47E5C">
            <w:rPr>
              <w:rStyle w:val="PageNumber"/>
              <w:sz w:val="20"/>
            </w:rPr>
            <w:instrText xml:space="preserve"> PAGE </w:instrText>
          </w:r>
          <w:r w:rsidRPr="00D47E5C">
            <w:rPr>
              <w:rStyle w:val="PageNumber"/>
              <w:sz w:val="20"/>
            </w:rPr>
            <w:fldChar w:fldCharType="separate"/>
          </w:r>
          <w:r w:rsidR="002A653D">
            <w:rPr>
              <w:rStyle w:val="PageNumber"/>
              <w:noProof/>
              <w:sz w:val="20"/>
            </w:rPr>
            <w:t>11</w:t>
          </w:r>
          <w:r w:rsidRPr="00D47E5C">
            <w:rPr>
              <w:rStyle w:val="PageNumber"/>
              <w:sz w:val="20"/>
            </w:rPr>
            <w:fldChar w:fldCharType="end"/>
          </w:r>
          <w:r w:rsidRPr="00D47E5C">
            <w:rPr>
              <w:rStyle w:val="PageNumber"/>
              <w:sz w:val="20"/>
            </w:rPr>
            <w:t xml:space="preserve"> of </w:t>
          </w:r>
          <w:r w:rsidRPr="00D47E5C">
            <w:rPr>
              <w:rStyle w:val="PageNumber"/>
              <w:sz w:val="20"/>
            </w:rPr>
            <w:fldChar w:fldCharType="begin"/>
          </w:r>
          <w:r w:rsidRPr="00D47E5C">
            <w:rPr>
              <w:rStyle w:val="PageNumber"/>
              <w:sz w:val="20"/>
            </w:rPr>
            <w:instrText xml:space="preserve"> NUMPAGES </w:instrText>
          </w:r>
          <w:r w:rsidRPr="00D47E5C">
            <w:rPr>
              <w:rStyle w:val="PageNumber"/>
              <w:sz w:val="20"/>
            </w:rPr>
            <w:fldChar w:fldCharType="separate"/>
          </w:r>
          <w:r w:rsidR="002A653D">
            <w:rPr>
              <w:rStyle w:val="PageNumber"/>
              <w:noProof/>
              <w:sz w:val="20"/>
            </w:rPr>
            <w:t>11</w:t>
          </w:r>
          <w:r w:rsidRPr="00D47E5C">
            <w:rPr>
              <w:rStyle w:val="PageNumber"/>
              <w:sz w:val="20"/>
            </w:rPr>
            <w:fldChar w:fldCharType="end"/>
          </w:r>
        </w:p>
      </w:tc>
    </w:tr>
  </w:tbl>
  <w:p w:rsidR="0069535A" w:rsidRPr="00FA7943" w:rsidRDefault="0069535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35A" w:rsidRDefault="0069535A" w:rsidP="00497F39">
      <w:r>
        <w:separator/>
      </w:r>
    </w:p>
  </w:footnote>
  <w:footnote w:type="continuationSeparator" w:id="0">
    <w:p w:rsidR="0069535A" w:rsidRDefault="0069535A"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7501"/>
    <w:multiLevelType w:val="hybridMultilevel"/>
    <w:tmpl w:val="F01ABA7C"/>
    <w:lvl w:ilvl="0" w:tplc="9E640C6C">
      <w:start w:val="1"/>
      <w:numFmt w:val="bullet"/>
      <w:lvlText w:val="•"/>
      <w:lvlJc w:val="left"/>
      <w:pPr>
        <w:tabs>
          <w:tab w:val="num" w:pos="720"/>
        </w:tabs>
        <w:ind w:left="720" w:hanging="360"/>
      </w:pPr>
      <w:rPr>
        <w:rFonts w:ascii="Arial" w:hAnsi="Arial" w:hint="default"/>
      </w:rPr>
    </w:lvl>
    <w:lvl w:ilvl="1" w:tplc="D1F40158" w:tentative="1">
      <w:start w:val="1"/>
      <w:numFmt w:val="bullet"/>
      <w:lvlText w:val="•"/>
      <w:lvlJc w:val="left"/>
      <w:pPr>
        <w:tabs>
          <w:tab w:val="num" w:pos="1440"/>
        </w:tabs>
        <w:ind w:left="1440" w:hanging="360"/>
      </w:pPr>
      <w:rPr>
        <w:rFonts w:ascii="Arial" w:hAnsi="Arial" w:hint="default"/>
      </w:rPr>
    </w:lvl>
    <w:lvl w:ilvl="2" w:tplc="E3AE08A4" w:tentative="1">
      <w:start w:val="1"/>
      <w:numFmt w:val="bullet"/>
      <w:lvlText w:val="•"/>
      <w:lvlJc w:val="left"/>
      <w:pPr>
        <w:tabs>
          <w:tab w:val="num" w:pos="2160"/>
        </w:tabs>
        <w:ind w:left="2160" w:hanging="360"/>
      </w:pPr>
      <w:rPr>
        <w:rFonts w:ascii="Arial" w:hAnsi="Arial" w:hint="default"/>
      </w:rPr>
    </w:lvl>
    <w:lvl w:ilvl="3" w:tplc="BF967010" w:tentative="1">
      <w:start w:val="1"/>
      <w:numFmt w:val="bullet"/>
      <w:lvlText w:val="•"/>
      <w:lvlJc w:val="left"/>
      <w:pPr>
        <w:tabs>
          <w:tab w:val="num" w:pos="2880"/>
        </w:tabs>
        <w:ind w:left="2880" w:hanging="360"/>
      </w:pPr>
      <w:rPr>
        <w:rFonts w:ascii="Arial" w:hAnsi="Arial" w:hint="default"/>
      </w:rPr>
    </w:lvl>
    <w:lvl w:ilvl="4" w:tplc="ACA6ED04" w:tentative="1">
      <w:start w:val="1"/>
      <w:numFmt w:val="bullet"/>
      <w:lvlText w:val="•"/>
      <w:lvlJc w:val="left"/>
      <w:pPr>
        <w:tabs>
          <w:tab w:val="num" w:pos="3600"/>
        </w:tabs>
        <w:ind w:left="3600" w:hanging="360"/>
      </w:pPr>
      <w:rPr>
        <w:rFonts w:ascii="Arial" w:hAnsi="Arial" w:hint="default"/>
      </w:rPr>
    </w:lvl>
    <w:lvl w:ilvl="5" w:tplc="3924A320" w:tentative="1">
      <w:start w:val="1"/>
      <w:numFmt w:val="bullet"/>
      <w:lvlText w:val="•"/>
      <w:lvlJc w:val="left"/>
      <w:pPr>
        <w:tabs>
          <w:tab w:val="num" w:pos="4320"/>
        </w:tabs>
        <w:ind w:left="4320" w:hanging="360"/>
      </w:pPr>
      <w:rPr>
        <w:rFonts w:ascii="Arial" w:hAnsi="Arial" w:hint="default"/>
      </w:rPr>
    </w:lvl>
    <w:lvl w:ilvl="6" w:tplc="B3E4B0CC" w:tentative="1">
      <w:start w:val="1"/>
      <w:numFmt w:val="bullet"/>
      <w:lvlText w:val="•"/>
      <w:lvlJc w:val="left"/>
      <w:pPr>
        <w:tabs>
          <w:tab w:val="num" w:pos="5040"/>
        </w:tabs>
        <w:ind w:left="5040" w:hanging="360"/>
      </w:pPr>
      <w:rPr>
        <w:rFonts w:ascii="Arial" w:hAnsi="Arial" w:hint="default"/>
      </w:rPr>
    </w:lvl>
    <w:lvl w:ilvl="7" w:tplc="1A98AC06" w:tentative="1">
      <w:start w:val="1"/>
      <w:numFmt w:val="bullet"/>
      <w:lvlText w:val="•"/>
      <w:lvlJc w:val="left"/>
      <w:pPr>
        <w:tabs>
          <w:tab w:val="num" w:pos="5760"/>
        </w:tabs>
        <w:ind w:left="5760" w:hanging="360"/>
      </w:pPr>
      <w:rPr>
        <w:rFonts w:ascii="Arial" w:hAnsi="Arial" w:hint="default"/>
      </w:rPr>
    </w:lvl>
    <w:lvl w:ilvl="8" w:tplc="F184E11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645DC5"/>
    <w:multiLevelType w:val="hybridMultilevel"/>
    <w:tmpl w:val="48F409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609E7"/>
    <w:multiLevelType w:val="hybridMultilevel"/>
    <w:tmpl w:val="BF84C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F24E4"/>
    <w:multiLevelType w:val="hybridMultilevel"/>
    <w:tmpl w:val="F940A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155A6"/>
    <w:multiLevelType w:val="hybridMultilevel"/>
    <w:tmpl w:val="8FDA0BBC"/>
    <w:lvl w:ilvl="0" w:tplc="08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7DF30A1"/>
    <w:multiLevelType w:val="hybridMultilevel"/>
    <w:tmpl w:val="884E796E"/>
    <w:lvl w:ilvl="0" w:tplc="08D070EA">
      <w:start w:val="1"/>
      <w:numFmt w:val="bullet"/>
      <w:lvlText w:val="•"/>
      <w:lvlJc w:val="left"/>
      <w:pPr>
        <w:tabs>
          <w:tab w:val="num" w:pos="720"/>
        </w:tabs>
        <w:ind w:left="720" w:hanging="360"/>
      </w:pPr>
      <w:rPr>
        <w:rFonts w:ascii="Arial" w:hAnsi="Arial" w:hint="default"/>
      </w:rPr>
    </w:lvl>
    <w:lvl w:ilvl="1" w:tplc="401A874C" w:tentative="1">
      <w:start w:val="1"/>
      <w:numFmt w:val="bullet"/>
      <w:lvlText w:val="•"/>
      <w:lvlJc w:val="left"/>
      <w:pPr>
        <w:tabs>
          <w:tab w:val="num" w:pos="1440"/>
        </w:tabs>
        <w:ind w:left="1440" w:hanging="360"/>
      </w:pPr>
      <w:rPr>
        <w:rFonts w:ascii="Arial" w:hAnsi="Arial" w:hint="default"/>
      </w:rPr>
    </w:lvl>
    <w:lvl w:ilvl="2" w:tplc="06DC889A" w:tentative="1">
      <w:start w:val="1"/>
      <w:numFmt w:val="bullet"/>
      <w:lvlText w:val="•"/>
      <w:lvlJc w:val="left"/>
      <w:pPr>
        <w:tabs>
          <w:tab w:val="num" w:pos="2160"/>
        </w:tabs>
        <w:ind w:left="2160" w:hanging="360"/>
      </w:pPr>
      <w:rPr>
        <w:rFonts w:ascii="Arial" w:hAnsi="Arial" w:hint="default"/>
      </w:rPr>
    </w:lvl>
    <w:lvl w:ilvl="3" w:tplc="163AFE7A" w:tentative="1">
      <w:start w:val="1"/>
      <w:numFmt w:val="bullet"/>
      <w:lvlText w:val="•"/>
      <w:lvlJc w:val="left"/>
      <w:pPr>
        <w:tabs>
          <w:tab w:val="num" w:pos="2880"/>
        </w:tabs>
        <w:ind w:left="2880" w:hanging="360"/>
      </w:pPr>
      <w:rPr>
        <w:rFonts w:ascii="Arial" w:hAnsi="Arial" w:hint="default"/>
      </w:rPr>
    </w:lvl>
    <w:lvl w:ilvl="4" w:tplc="4930097E" w:tentative="1">
      <w:start w:val="1"/>
      <w:numFmt w:val="bullet"/>
      <w:lvlText w:val="•"/>
      <w:lvlJc w:val="left"/>
      <w:pPr>
        <w:tabs>
          <w:tab w:val="num" w:pos="3600"/>
        </w:tabs>
        <w:ind w:left="3600" w:hanging="360"/>
      </w:pPr>
      <w:rPr>
        <w:rFonts w:ascii="Arial" w:hAnsi="Arial" w:hint="default"/>
      </w:rPr>
    </w:lvl>
    <w:lvl w:ilvl="5" w:tplc="71C0373C" w:tentative="1">
      <w:start w:val="1"/>
      <w:numFmt w:val="bullet"/>
      <w:lvlText w:val="•"/>
      <w:lvlJc w:val="left"/>
      <w:pPr>
        <w:tabs>
          <w:tab w:val="num" w:pos="4320"/>
        </w:tabs>
        <w:ind w:left="4320" w:hanging="360"/>
      </w:pPr>
      <w:rPr>
        <w:rFonts w:ascii="Arial" w:hAnsi="Arial" w:hint="default"/>
      </w:rPr>
    </w:lvl>
    <w:lvl w:ilvl="6" w:tplc="48984F8E" w:tentative="1">
      <w:start w:val="1"/>
      <w:numFmt w:val="bullet"/>
      <w:lvlText w:val="•"/>
      <w:lvlJc w:val="left"/>
      <w:pPr>
        <w:tabs>
          <w:tab w:val="num" w:pos="5040"/>
        </w:tabs>
        <w:ind w:left="5040" w:hanging="360"/>
      </w:pPr>
      <w:rPr>
        <w:rFonts w:ascii="Arial" w:hAnsi="Arial" w:hint="default"/>
      </w:rPr>
    </w:lvl>
    <w:lvl w:ilvl="7" w:tplc="8FBE018C" w:tentative="1">
      <w:start w:val="1"/>
      <w:numFmt w:val="bullet"/>
      <w:lvlText w:val="•"/>
      <w:lvlJc w:val="left"/>
      <w:pPr>
        <w:tabs>
          <w:tab w:val="num" w:pos="5760"/>
        </w:tabs>
        <w:ind w:left="5760" w:hanging="360"/>
      </w:pPr>
      <w:rPr>
        <w:rFonts w:ascii="Arial" w:hAnsi="Arial" w:hint="default"/>
      </w:rPr>
    </w:lvl>
    <w:lvl w:ilvl="8" w:tplc="AD201C5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D5106C"/>
    <w:multiLevelType w:val="hybridMultilevel"/>
    <w:tmpl w:val="4C4E9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E2145C"/>
    <w:multiLevelType w:val="multilevel"/>
    <w:tmpl w:val="A22609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9" w15:restartNumberingAfterBreak="0">
    <w:nsid w:val="46277BFF"/>
    <w:multiLevelType w:val="hybridMultilevel"/>
    <w:tmpl w:val="25E29B04"/>
    <w:lvl w:ilvl="0" w:tplc="66DEE930">
      <w:start w:val="1"/>
      <w:numFmt w:val="bullet"/>
      <w:lvlText w:val=""/>
      <w:lvlJc w:val="left"/>
      <w:pPr>
        <w:ind w:left="720" w:hanging="360"/>
      </w:pPr>
      <w:rPr>
        <w:rFonts w:ascii="Wingdings" w:hAnsi="Wingdings"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D8F3AB1"/>
    <w:multiLevelType w:val="hybridMultilevel"/>
    <w:tmpl w:val="3538EC7E"/>
    <w:lvl w:ilvl="0" w:tplc="22C2B330">
      <w:start w:val="1"/>
      <w:numFmt w:val="bullet"/>
      <w:lvlText w:val=""/>
      <w:lvlJc w:val="left"/>
      <w:pPr>
        <w:ind w:left="720" w:hanging="360"/>
      </w:pPr>
      <w:rPr>
        <w:rFonts w:ascii="Wingdings" w:hAnsi="Wingdings"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73E1E1D"/>
    <w:multiLevelType w:val="hybridMultilevel"/>
    <w:tmpl w:val="EC121A8E"/>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DCD5D3C"/>
    <w:multiLevelType w:val="hybridMultilevel"/>
    <w:tmpl w:val="18F836F4"/>
    <w:lvl w:ilvl="0" w:tplc="08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5" w15:restartNumberingAfterBreak="0">
    <w:nsid w:val="601A132D"/>
    <w:multiLevelType w:val="hybridMultilevel"/>
    <w:tmpl w:val="A98616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A2168E"/>
    <w:multiLevelType w:val="hybridMultilevel"/>
    <w:tmpl w:val="E36C6246"/>
    <w:lvl w:ilvl="0" w:tplc="86BA14EA">
      <w:start w:val="1"/>
      <w:numFmt w:val="bullet"/>
      <w:lvlText w:val=""/>
      <w:lvlJc w:val="left"/>
      <w:pPr>
        <w:ind w:left="720" w:hanging="360"/>
      </w:pPr>
      <w:rPr>
        <w:rFonts w:ascii="Symbol" w:hAnsi="Symbol" w:hint="default"/>
        <w:color w:val="325083"/>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32" w15:restartNumberingAfterBreak="0">
    <w:nsid w:val="75CF4F0D"/>
    <w:multiLevelType w:val="hybridMultilevel"/>
    <w:tmpl w:val="91A027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79C7C1D"/>
    <w:multiLevelType w:val="hybridMultilevel"/>
    <w:tmpl w:val="80281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9"/>
  </w:num>
  <w:num w:numId="3">
    <w:abstractNumId w:val="34"/>
  </w:num>
  <w:num w:numId="4">
    <w:abstractNumId w:val="22"/>
  </w:num>
  <w:num w:numId="5">
    <w:abstractNumId w:val="2"/>
  </w:num>
  <w:num w:numId="6">
    <w:abstractNumId w:val="8"/>
  </w:num>
  <w:num w:numId="7">
    <w:abstractNumId w:val="7"/>
  </w:num>
  <w:num w:numId="8">
    <w:abstractNumId w:val="21"/>
  </w:num>
  <w:num w:numId="9">
    <w:abstractNumId w:val="26"/>
  </w:num>
  <w:num w:numId="10">
    <w:abstractNumId w:val="6"/>
  </w:num>
  <w:num w:numId="11">
    <w:abstractNumId w:val="28"/>
  </w:num>
  <w:num w:numId="12">
    <w:abstractNumId w:val="5"/>
  </w:num>
  <w:num w:numId="13">
    <w:abstractNumId w:val="12"/>
  </w:num>
  <w:num w:numId="14">
    <w:abstractNumId w:val="15"/>
  </w:num>
  <w:num w:numId="15">
    <w:abstractNumId w:val="4"/>
  </w:num>
  <w:num w:numId="16">
    <w:abstractNumId w:val="31"/>
  </w:num>
  <w:num w:numId="17">
    <w:abstractNumId w:val="25"/>
  </w:num>
  <w:num w:numId="18">
    <w:abstractNumId w:val="30"/>
  </w:num>
  <w:num w:numId="19">
    <w:abstractNumId w:val="29"/>
  </w:num>
  <w:num w:numId="20">
    <w:abstractNumId w:val="3"/>
  </w:num>
  <w:num w:numId="21">
    <w:abstractNumId w:val="11"/>
  </w:num>
  <w:num w:numId="22">
    <w:abstractNumId w:val="17"/>
  </w:num>
  <w:num w:numId="23">
    <w:abstractNumId w:val="18"/>
  </w:num>
  <w:num w:numId="24">
    <w:abstractNumId w:val="1"/>
  </w:num>
  <w:num w:numId="25">
    <w:abstractNumId w:val="0"/>
  </w:num>
  <w:num w:numId="26">
    <w:abstractNumId w:val="16"/>
  </w:num>
  <w:num w:numId="27">
    <w:abstractNumId w:val="10"/>
  </w:num>
  <w:num w:numId="28">
    <w:abstractNumId w:val="23"/>
  </w:num>
  <w:num w:numId="29">
    <w:abstractNumId w:val="19"/>
  </w:num>
  <w:num w:numId="30">
    <w:abstractNumId w:val="20"/>
  </w:num>
  <w:num w:numId="31">
    <w:abstractNumId w:val="13"/>
  </w:num>
  <w:num w:numId="32">
    <w:abstractNumId w:val="24"/>
  </w:num>
  <w:num w:numId="33">
    <w:abstractNumId w:val="27"/>
  </w:num>
  <w:num w:numId="34">
    <w:abstractNumId w:val="3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43271"/>
    <w:rsid w:val="00051CDC"/>
    <w:rsid w:val="00051E74"/>
    <w:rsid w:val="0005502D"/>
    <w:rsid w:val="00057CFB"/>
    <w:rsid w:val="00094C94"/>
    <w:rsid w:val="00097ACD"/>
    <w:rsid w:val="000B306B"/>
    <w:rsid w:val="000C1EAD"/>
    <w:rsid w:val="000D75F9"/>
    <w:rsid w:val="000F46F4"/>
    <w:rsid w:val="000F5A72"/>
    <w:rsid w:val="001107EE"/>
    <w:rsid w:val="00121679"/>
    <w:rsid w:val="00123FD2"/>
    <w:rsid w:val="00126327"/>
    <w:rsid w:val="001272F6"/>
    <w:rsid w:val="0013075E"/>
    <w:rsid w:val="00133373"/>
    <w:rsid w:val="00141FC5"/>
    <w:rsid w:val="001B2A97"/>
    <w:rsid w:val="001B3428"/>
    <w:rsid w:val="001C02C6"/>
    <w:rsid w:val="001C305C"/>
    <w:rsid w:val="001C60B5"/>
    <w:rsid w:val="001E1DAF"/>
    <w:rsid w:val="001E5B78"/>
    <w:rsid w:val="00202AB8"/>
    <w:rsid w:val="00211B9D"/>
    <w:rsid w:val="00214BA4"/>
    <w:rsid w:val="00223D56"/>
    <w:rsid w:val="0022713F"/>
    <w:rsid w:val="00250088"/>
    <w:rsid w:val="00257CD2"/>
    <w:rsid w:val="0027253B"/>
    <w:rsid w:val="00273D26"/>
    <w:rsid w:val="00294083"/>
    <w:rsid w:val="002A653D"/>
    <w:rsid w:val="002B0BC9"/>
    <w:rsid w:val="002B712E"/>
    <w:rsid w:val="002C0A83"/>
    <w:rsid w:val="002C170B"/>
    <w:rsid w:val="002D11B1"/>
    <w:rsid w:val="002D7350"/>
    <w:rsid w:val="002E6258"/>
    <w:rsid w:val="003018F5"/>
    <w:rsid w:val="00304FD0"/>
    <w:rsid w:val="00305721"/>
    <w:rsid w:val="00322D2E"/>
    <w:rsid w:val="00326EC6"/>
    <w:rsid w:val="0032735F"/>
    <w:rsid w:val="00337864"/>
    <w:rsid w:val="00345CAF"/>
    <w:rsid w:val="003461AF"/>
    <w:rsid w:val="00371966"/>
    <w:rsid w:val="003A3414"/>
    <w:rsid w:val="003B40BB"/>
    <w:rsid w:val="003B4A68"/>
    <w:rsid w:val="003B7361"/>
    <w:rsid w:val="003B7B09"/>
    <w:rsid w:val="003C6952"/>
    <w:rsid w:val="003F16D7"/>
    <w:rsid w:val="003F3D59"/>
    <w:rsid w:val="003F3E7F"/>
    <w:rsid w:val="0040037A"/>
    <w:rsid w:val="00407604"/>
    <w:rsid w:val="00427779"/>
    <w:rsid w:val="004375CA"/>
    <w:rsid w:val="00446143"/>
    <w:rsid w:val="0046169C"/>
    <w:rsid w:val="0047681B"/>
    <w:rsid w:val="00480353"/>
    <w:rsid w:val="004939C2"/>
    <w:rsid w:val="00497F39"/>
    <w:rsid w:val="004A3722"/>
    <w:rsid w:val="004A393E"/>
    <w:rsid w:val="004A4626"/>
    <w:rsid w:val="004A6253"/>
    <w:rsid w:val="004B31A5"/>
    <w:rsid w:val="004D632B"/>
    <w:rsid w:val="004F24A1"/>
    <w:rsid w:val="004F7570"/>
    <w:rsid w:val="00504A87"/>
    <w:rsid w:val="00506C55"/>
    <w:rsid w:val="0052328C"/>
    <w:rsid w:val="00536FA4"/>
    <w:rsid w:val="00541B08"/>
    <w:rsid w:val="00544C9E"/>
    <w:rsid w:val="00554429"/>
    <w:rsid w:val="0055720E"/>
    <w:rsid w:val="00564789"/>
    <w:rsid w:val="005767ED"/>
    <w:rsid w:val="00577744"/>
    <w:rsid w:val="00590736"/>
    <w:rsid w:val="005A3A4A"/>
    <w:rsid w:val="005B4E75"/>
    <w:rsid w:val="005C7D40"/>
    <w:rsid w:val="005D3C87"/>
    <w:rsid w:val="005D5FC4"/>
    <w:rsid w:val="005E33CB"/>
    <w:rsid w:val="00607476"/>
    <w:rsid w:val="00611958"/>
    <w:rsid w:val="00612ED1"/>
    <w:rsid w:val="006253D3"/>
    <w:rsid w:val="006310BB"/>
    <w:rsid w:val="00637A18"/>
    <w:rsid w:val="00657B25"/>
    <w:rsid w:val="00660772"/>
    <w:rsid w:val="00672175"/>
    <w:rsid w:val="00680248"/>
    <w:rsid w:val="00680CAE"/>
    <w:rsid w:val="0068275A"/>
    <w:rsid w:val="0068334E"/>
    <w:rsid w:val="0069535A"/>
    <w:rsid w:val="006C4A51"/>
    <w:rsid w:val="006D0542"/>
    <w:rsid w:val="006D3D83"/>
    <w:rsid w:val="006F654D"/>
    <w:rsid w:val="007067F5"/>
    <w:rsid w:val="00733287"/>
    <w:rsid w:val="00733525"/>
    <w:rsid w:val="00737008"/>
    <w:rsid w:val="00745C62"/>
    <w:rsid w:val="00750622"/>
    <w:rsid w:val="00754449"/>
    <w:rsid w:val="00754B6C"/>
    <w:rsid w:val="007623DA"/>
    <w:rsid w:val="00763837"/>
    <w:rsid w:val="00776541"/>
    <w:rsid w:val="007774C7"/>
    <w:rsid w:val="007874FF"/>
    <w:rsid w:val="007A47F5"/>
    <w:rsid w:val="007D01C9"/>
    <w:rsid w:val="007D03B8"/>
    <w:rsid w:val="007D04C7"/>
    <w:rsid w:val="007D09B9"/>
    <w:rsid w:val="007D79E4"/>
    <w:rsid w:val="007E45DA"/>
    <w:rsid w:val="007F7EA7"/>
    <w:rsid w:val="008036D5"/>
    <w:rsid w:val="00805FAF"/>
    <w:rsid w:val="00824D05"/>
    <w:rsid w:val="008524C0"/>
    <w:rsid w:val="00852F76"/>
    <w:rsid w:val="00857182"/>
    <w:rsid w:val="00864CB3"/>
    <w:rsid w:val="008653E0"/>
    <w:rsid w:val="00872DD5"/>
    <w:rsid w:val="0087331D"/>
    <w:rsid w:val="00880111"/>
    <w:rsid w:val="008902AA"/>
    <w:rsid w:val="00890A9D"/>
    <w:rsid w:val="00893619"/>
    <w:rsid w:val="008A2D5F"/>
    <w:rsid w:val="008C12E0"/>
    <w:rsid w:val="008C745A"/>
    <w:rsid w:val="008D4CCD"/>
    <w:rsid w:val="008D68E9"/>
    <w:rsid w:val="008F1F7E"/>
    <w:rsid w:val="00911572"/>
    <w:rsid w:val="00912C7B"/>
    <w:rsid w:val="00916053"/>
    <w:rsid w:val="00921F72"/>
    <w:rsid w:val="00923337"/>
    <w:rsid w:val="009233B4"/>
    <w:rsid w:val="00923A14"/>
    <w:rsid w:val="009328E2"/>
    <w:rsid w:val="00934B18"/>
    <w:rsid w:val="00961E2C"/>
    <w:rsid w:val="00977DFC"/>
    <w:rsid w:val="00980587"/>
    <w:rsid w:val="00980F99"/>
    <w:rsid w:val="0098365C"/>
    <w:rsid w:val="009878C1"/>
    <w:rsid w:val="00987E54"/>
    <w:rsid w:val="009A24C3"/>
    <w:rsid w:val="009B2519"/>
    <w:rsid w:val="009B5A0E"/>
    <w:rsid w:val="009C0B0C"/>
    <w:rsid w:val="009C590C"/>
    <w:rsid w:val="009D0AD9"/>
    <w:rsid w:val="009F7F6B"/>
    <w:rsid w:val="00A06B87"/>
    <w:rsid w:val="00A1272E"/>
    <w:rsid w:val="00A250EA"/>
    <w:rsid w:val="00A25B36"/>
    <w:rsid w:val="00A279F5"/>
    <w:rsid w:val="00A34009"/>
    <w:rsid w:val="00A435F1"/>
    <w:rsid w:val="00A43EEC"/>
    <w:rsid w:val="00A5635C"/>
    <w:rsid w:val="00A56D26"/>
    <w:rsid w:val="00A60C7E"/>
    <w:rsid w:val="00A60D6C"/>
    <w:rsid w:val="00AA0128"/>
    <w:rsid w:val="00AB112A"/>
    <w:rsid w:val="00AC45EB"/>
    <w:rsid w:val="00AC5841"/>
    <w:rsid w:val="00AD4511"/>
    <w:rsid w:val="00AD7227"/>
    <w:rsid w:val="00AE3D01"/>
    <w:rsid w:val="00AF3146"/>
    <w:rsid w:val="00B00419"/>
    <w:rsid w:val="00B04B77"/>
    <w:rsid w:val="00B47936"/>
    <w:rsid w:val="00B509E3"/>
    <w:rsid w:val="00B52B29"/>
    <w:rsid w:val="00B80218"/>
    <w:rsid w:val="00B820D1"/>
    <w:rsid w:val="00B93265"/>
    <w:rsid w:val="00B936DE"/>
    <w:rsid w:val="00B94BB0"/>
    <w:rsid w:val="00BA3E2A"/>
    <w:rsid w:val="00BA5418"/>
    <w:rsid w:val="00BC39AE"/>
    <w:rsid w:val="00BC5B9C"/>
    <w:rsid w:val="00BD1ECB"/>
    <w:rsid w:val="00BF3E39"/>
    <w:rsid w:val="00C00A3A"/>
    <w:rsid w:val="00C05D9F"/>
    <w:rsid w:val="00C06247"/>
    <w:rsid w:val="00C07301"/>
    <w:rsid w:val="00C1444B"/>
    <w:rsid w:val="00C17DDB"/>
    <w:rsid w:val="00C378AA"/>
    <w:rsid w:val="00C65815"/>
    <w:rsid w:val="00C83E70"/>
    <w:rsid w:val="00C83EB1"/>
    <w:rsid w:val="00C84EE5"/>
    <w:rsid w:val="00C87F23"/>
    <w:rsid w:val="00C9163D"/>
    <w:rsid w:val="00C91FEB"/>
    <w:rsid w:val="00CA08B6"/>
    <w:rsid w:val="00CA4D3A"/>
    <w:rsid w:val="00CA4DA9"/>
    <w:rsid w:val="00CA5841"/>
    <w:rsid w:val="00CA7E0D"/>
    <w:rsid w:val="00CB0E6B"/>
    <w:rsid w:val="00CC764D"/>
    <w:rsid w:val="00CE6807"/>
    <w:rsid w:val="00CE6EB8"/>
    <w:rsid w:val="00CF7674"/>
    <w:rsid w:val="00D12C72"/>
    <w:rsid w:val="00D25D84"/>
    <w:rsid w:val="00D26E48"/>
    <w:rsid w:val="00D34F08"/>
    <w:rsid w:val="00D41503"/>
    <w:rsid w:val="00D45A01"/>
    <w:rsid w:val="00D47E5C"/>
    <w:rsid w:val="00D55785"/>
    <w:rsid w:val="00D60F40"/>
    <w:rsid w:val="00D64BA8"/>
    <w:rsid w:val="00D713DC"/>
    <w:rsid w:val="00D74461"/>
    <w:rsid w:val="00D87080"/>
    <w:rsid w:val="00DA2383"/>
    <w:rsid w:val="00DC594E"/>
    <w:rsid w:val="00DE2218"/>
    <w:rsid w:val="00DE7DF5"/>
    <w:rsid w:val="00DF60B6"/>
    <w:rsid w:val="00E01426"/>
    <w:rsid w:val="00E02A10"/>
    <w:rsid w:val="00E07C81"/>
    <w:rsid w:val="00E07F66"/>
    <w:rsid w:val="00E11F44"/>
    <w:rsid w:val="00E24001"/>
    <w:rsid w:val="00E263D4"/>
    <w:rsid w:val="00E27EE7"/>
    <w:rsid w:val="00E333F3"/>
    <w:rsid w:val="00E343B1"/>
    <w:rsid w:val="00E371EA"/>
    <w:rsid w:val="00E37B54"/>
    <w:rsid w:val="00E417B9"/>
    <w:rsid w:val="00E56DBB"/>
    <w:rsid w:val="00E805CD"/>
    <w:rsid w:val="00EA23FA"/>
    <w:rsid w:val="00EA4379"/>
    <w:rsid w:val="00EB0841"/>
    <w:rsid w:val="00EB0902"/>
    <w:rsid w:val="00EB7245"/>
    <w:rsid w:val="00EC6188"/>
    <w:rsid w:val="00EE104C"/>
    <w:rsid w:val="00EE1810"/>
    <w:rsid w:val="00EE7097"/>
    <w:rsid w:val="00EF229F"/>
    <w:rsid w:val="00F037CD"/>
    <w:rsid w:val="00F16D6F"/>
    <w:rsid w:val="00F2582A"/>
    <w:rsid w:val="00F31C10"/>
    <w:rsid w:val="00F4679A"/>
    <w:rsid w:val="00F47896"/>
    <w:rsid w:val="00F479A1"/>
    <w:rsid w:val="00F65CC2"/>
    <w:rsid w:val="00F95B15"/>
    <w:rsid w:val="00FA62CB"/>
    <w:rsid w:val="00FA7943"/>
    <w:rsid w:val="00FB67EB"/>
    <w:rsid w:val="00FC2859"/>
    <w:rsid w:val="00FC7FAE"/>
    <w:rsid w:val="00FD1D43"/>
    <w:rsid w:val="00FE56B8"/>
    <w:rsid w:val="00FF1936"/>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209C75"/>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
    <w:basedOn w:val="Normal"/>
    <w:link w:val="ListParagraphChar"/>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paragraph" w:customStyle="1" w:styleId="NormalText">
    <w:name w:val="Normal Text"/>
    <w:basedOn w:val="Normal"/>
    <w:link w:val="NormalTextChar"/>
    <w:qFormat/>
    <w:rsid w:val="00AA0128"/>
    <w:pPr>
      <w:spacing w:before="120" w:after="120" w:line="259" w:lineRule="auto"/>
      <w:jc w:val="both"/>
    </w:pPr>
    <w:rPr>
      <w:rFonts w:asciiTheme="majorHAnsi" w:hAnsiTheme="majorHAnsi"/>
      <w:color w:val="404040" w:themeColor="text1" w:themeTint="BF"/>
    </w:rPr>
  </w:style>
  <w:style w:type="character" w:customStyle="1" w:styleId="NormalTextChar">
    <w:name w:val="Normal Text Char"/>
    <w:basedOn w:val="DefaultParagraphFont"/>
    <w:link w:val="NormalText"/>
    <w:rsid w:val="00AA0128"/>
    <w:rPr>
      <w:rFonts w:asciiTheme="majorHAnsi" w:hAnsiTheme="majorHAnsi"/>
      <w:color w:val="404040" w:themeColor="text1" w:themeTint="BF"/>
      <w:sz w:val="24"/>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
    <w:basedOn w:val="DefaultParagraphFont"/>
    <w:link w:val="ListParagraph"/>
    <w:uiPriority w:val="34"/>
    <w:qFormat/>
    <w:locked/>
    <w:rsid w:val="00776541"/>
    <w:rPr>
      <w:rFonts w:ascii="Verdana" w:hAnsi="Verdana"/>
      <w:sz w:val="24"/>
    </w:rPr>
  </w:style>
  <w:style w:type="paragraph" w:styleId="Quote">
    <w:name w:val="Quote"/>
    <w:aliases w:val="IMTP  heading 3"/>
    <w:next w:val="Normal"/>
    <w:link w:val="QuoteChar"/>
    <w:uiPriority w:val="29"/>
    <w:qFormat/>
    <w:rsid w:val="00776541"/>
    <w:pPr>
      <w:tabs>
        <w:tab w:val="num" w:pos="1361"/>
      </w:tabs>
      <w:spacing w:before="240" w:after="240"/>
      <w:ind w:left="1418" w:hanging="1418"/>
    </w:pPr>
    <w:rPr>
      <w:rFonts w:ascii="Verdana" w:eastAsiaTheme="minorEastAsia" w:hAnsi="Verdana"/>
      <w:b/>
      <w:iCs/>
      <w:color w:val="002060"/>
      <w:spacing w:val="10"/>
      <w:kern w:val="28"/>
      <w:sz w:val="24"/>
      <w:szCs w:val="24"/>
      <w:lang w:val="en-US" w:bidi="en-US"/>
    </w:rPr>
  </w:style>
  <w:style w:type="character" w:customStyle="1" w:styleId="QuoteChar">
    <w:name w:val="Quote Char"/>
    <w:aliases w:val="IMTP  heading 3 Char"/>
    <w:basedOn w:val="DefaultParagraphFont"/>
    <w:link w:val="Quote"/>
    <w:uiPriority w:val="29"/>
    <w:rsid w:val="00776541"/>
    <w:rPr>
      <w:rFonts w:ascii="Verdana" w:eastAsiaTheme="minorEastAsia" w:hAnsi="Verdana"/>
      <w:b/>
      <w:iCs/>
      <w:color w:val="002060"/>
      <w:spacing w:val="10"/>
      <w:kern w:val="28"/>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9608">
      <w:bodyDiv w:val="1"/>
      <w:marLeft w:val="0"/>
      <w:marRight w:val="0"/>
      <w:marTop w:val="0"/>
      <w:marBottom w:val="0"/>
      <w:divBdr>
        <w:top w:val="none" w:sz="0" w:space="0" w:color="auto"/>
        <w:left w:val="none" w:sz="0" w:space="0" w:color="auto"/>
        <w:bottom w:val="none" w:sz="0" w:space="0" w:color="auto"/>
        <w:right w:val="none" w:sz="0" w:space="0" w:color="auto"/>
      </w:divBdr>
    </w:div>
    <w:div w:id="884561056">
      <w:bodyDiv w:val="1"/>
      <w:marLeft w:val="0"/>
      <w:marRight w:val="0"/>
      <w:marTop w:val="0"/>
      <w:marBottom w:val="0"/>
      <w:divBdr>
        <w:top w:val="none" w:sz="0" w:space="0" w:color="auto"/>
        <w:left w:val="none" w:sz="0" w:space="0" w:color="auto"/>
        <w:bottom w:val="none" w:sz="0" w:space="0" w:color="auto"/>
        <w:right w:val="none" w:sz="0" w:space="0" w:color="auto"/>
      </w:divBdr>
    </w:div>
    <w:div w:id="942684575">
      <w:bodyDiv w:val="1"/>
      <w:marLeft w:val="0"/>
      <w:marRight w:val="0"/>
      <w:marTop w:val="0"/>
      <w:marBottom w:val="0"/>
      <w:divBdr>
        <w:top w:val="none" w:sz="0" w:space="0" w:color="auto"/>
        <w:left w:val="none" w:sz="0" w:space="0" w:color="auto"/>
        <w:bottom w:val="none" w:sz="0" w:space="0" w:color="auto"/>
        <w:right w:val="none" w:sz="0" w:space="0" w:color="auto"/>
      </w:divBdr>
    </w:div>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085155094">
      <w:bodyDiv w:val="1"/>
      <w:marLeft w:val="0"/>
      <w:marRight w:val="0"/>
      <w:marTop w:val="0"/>
      <w:marBottom w:val="0"/>
      <w:divBdr>
        <w:top w:val="none" w:sz="0" w:space="0" w:color="auto"/>
        <w:left w:val="none" w:sz="0" w:space="0" w:color="auto"/>
        <w:bottom w:val="none" w:sz="0" w:space="0" w:color="auto"/>
        <w:right w:val="none" w:sz="0" w:space="0" w:color="auto"/>
      </w:divBdr>
    </w:div>
    <w:div w:id="1355112491">
      <w:bodyDiv w:val="1"/>
      <w:marLeft w:val="0"/>
      <w:marRight w:val="0"/>
      <w:marTop w:val="0"/>
      <w:marBottom w:val="0"/>
      <w:divBdr>
        <w:top w:val="none" w:sz="0" w:space="0" w:color="auto"/>
        <w:left w:val="none" w:sz="0" w:space="0" w:color="auto"/>
        <w:bottom w:val="none" w:sz="0" w:space="0" w:color="auto"/>
        <w:right w:val="none" w:sz="0" w:space="0" w:color="auto"/>
      </w:divBdr>
    </w:div>
    <w:div w:id="1381858357">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 w:id="1525944824">
      <w:bodyDiv w:val="1"/>
      <w:marLeft w:val="0"/>
      <w:marRight w:val="0"/>
      <w:marTop w:val="0"/>
      <w:marBottom w:val="0"/>
      <w:divBdr>
        <w:top w:val="none" w:sz="0" w:space="0" w:color="auto"/>
        <w:left w:val="none" w:sz="0" w:space="0" w:color="auto"/>
        <w:bottom w:val="none" w:sz="0" w:space="0" w:color="auto"/>
        <w:right w:val="none" w:sz="0" w:space="0" w:color="auto"/>
      </w:divBdr>
    </w:div>
    <w:div w:id="1690639675">
      <w:bodyDiv w:val="1"/>
      <w:marLeft w:val="0"/>
      <w:marRight w:val="0"/>
      <w:marTop w:val="0"/>
      <w:marBottom w:val="0"/>
      <w:divBdr>
        <w:top w:val="none" w:sz="0" w:space="0" w:color="auto"/>
        <w:left w:val="none" w:sz="0" w:space="0" w:color="auto"/>
        <w:bottom w:val="none" w:sz="0" w:space="0" w:color="auto"/>
        <w:right w:val="none" w:sz="0" w:space="0" w:color="auto"/>
      </w:divBdr>
      <w:divsChild>
        <w:div w:id="2144690932">
          <w:marLeft w:val="446"/>
          <w:marRight w:val="0"/>
          <w:marTop w:val="200"/>
          <w:marBottom w:val="0"/>
          <w:divBdr>
            <w:top w:val="none" w:sz="0" w:space="0" w:color="auto"/>
            <w:left w:val="none" w:sz="0" w:space="0" w:color="auto"/>
            <w:bottom w:val="none" w:sz="0" w:space="0" w:color="auto"/>
            <w:right w:val="none" w:sz="0" w:space="0" w:color="auto"/>
          </w:divBdr>
        </w:div>
        <w:div w:id="179399016">
          <w:marLeft w:val="446"/>
          <w:marRight w:val="0"/>
          <w:marTop w:val="200"/>
          <w:marBottom w:val="0"/>
          <w:divBdr>
            <w:top w:val="none" w:sz="0" w:space="0" w:color="auto"/>
            <w:left w:val="none" w:sz="0" w:space="0" w:color="auto"/>
            <w:bottom w:val="none" w:sz="0" w:space="0" w:color="auto"/>
            <w:right w:val="none" w:sz="0" w:space="0" w:color="auto"/>
          </w:divBdr>
        </w:div>
        <w:div w:id="1675381125">
          <w:marLeft w:val="446"/>
          <w:marRight w:val="0"/>
          <w:marTop w:val="200"/>
          <w:marBottom w:val="0"/>
          <w:divBdr>
            <w:top w:val="none" w:sz="0" w:space="0" w:color="auto"/>
            <w:left w:val="none" w:sz="0" w:space="0" w:color="auto"/>
            <w:bottom w:val="none" w:sz="0" w:space="0" w:color="auto"/>
            <w:right w:val="none" w:sz="0" w:space="0" w:color="auto"/>
          </w:divBdr>
        </w:div>
        <w:div w:id="366101304">
          <w:marLeft w:val="446"/>
          <w:marRight w:val="0"/>
          <w:marTop w:val="200"/>
          <w:marBottom w:val="0"/>
          <w:divBdr>
            <w:top w:val="none" w:sz="0" w:space="0" w:color="auto"/>
            <w:left w:val="none" w:sz="0" w:space="0" w:color="auto"/>
            <w:bottom w:val="none" w:sz="0" w:space="0" w:color="auto"/>
            <w:right w:val="none" w:sz="0" w:space="0" w:color="auto"/>
          </w:divBdr>
        </w:div>
        <w:div w:id="2042511227">
          <w:marLeft w:val="446"/>
          <w:marRight w:val="0"/>
          <w:marTop w:val="200"/>
          <w:marBottom w:val="0"/>
          <w:divBdr>
            <w:top w:val="none" w:sz="0" w:space="0" w:color="auto"/>
            <w:left w:val="none" w:sz="0" w:space="0" w:color="auto"/>
            <w:bottom w:val="none" w:sz="0" w:space="0" w:color="auto"/>
            <w:right w:val="none" w:sz="0" w:space="0" w:color="auto"/>
          </w:divBdr>
        </w:div>
      </w:divsChild>
    </w:div>
    <w:div w:id="1774402349">
      <w:bodyDiv w:val="1"/>
      <w:marLeft w:val="0"/>
      <w:marRight w:val="0"/>
      <w:marTop w:val="0"/>
      <w:marBottom w:val="0"/>
      <w:divBdr>
        <w:top w:val="none" w:sz="0" w:space="0" w:color="auto"/>
        <w:left w:val="none" w:sz="0" w:space="0" w:color="auto"/>
        <w:bottom w:val="none" w:sz="0" w:space="0" w:color="auto"/>
        <w:right w:val="none" w:sz="0" w:space="0" w:color="auto"/>
      </w:divBdr>
      <w:divsChild>
        <w:div w:id="1511530278">
          <w:marLeft w:val="446"/>
          <w:marRight w:val="0"/>
          <w:marTop w:val="200"/>
          <w:marBottom w:val="0"/>
          <w:divBdr>
            <w:top w:val="none" w:sz="0" w:space="0" w:color="auto"/>
            <w:left w:val="none" w:sz="0" w:space="0" w:color="auto"/>
            <w:bottom w:val="none" w:sz="0" w:space="0" w:color="auto"/>
            <w:right w:val="none" w:sz="0" w:space="0" w:color="auto"/>
          </w:divBdr>
        </w:div>
        <w:div w:id="2099523558">
          <w:marLeft w:val="446"/>
          <w:marRight w:val="0"/>
          <w:marTop w:val="200"/>
          <w:marBottom w:val="0"/>
          <w:divBdr>
            <w:top w:val="none" w:sz="0" w:space="0" w:color="auto"/>
            <w:left w:val="none" w:sz="0" w:space="0" w:color="auto"/>
            <w:bottom w:val="none" w:sz="0" w:space="0" w:color="auto"/>
            <w:right w:val="none" w:sz="0" w:space="0" w:color="auto"/>
          </w:divBdr>
        </w:div>
        <w:div w:id="1555653951">
          <w:marLeft w:val="446"/>
          <w:marRight w:val="0"/>
          <w:marTop w:val="200"/>
          <w:marBottom w:val="0"/>
          <w:divBdr>
            <w:top w:val="none" w:sz="0" w:space="0" w:color="auto"/>
            <w:left w:val="none" w:sz="0" w:space="0" w:color="auto"/>
            <w:bottom w:val="none" w:sz="0" w:space="0" w:color="auto"/>
            <w:right w:val="none" w:sz="0" w:space="0" w:color="auto"/>
          </w:divBdr>
        </w:div>
        <w:div w:id="1457408555">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howis.wales.nhs.uk/sitesplus/888/page/64548"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ales.nhs.uk/governance-emanual/how-the-health-and-care-standards-are-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pPr>
            <w:pStyle w:val="C04374CD51A040E4BEE1F4C1F29763FE"/>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42F3C"/>
    <w:rsid w:val="000B68A4"/>
    <w:rsid w:val="000E429B"/>
    <w:rsid w:val="0035574F"/>
    <w:rsid w:val="003D3909"/>
    <w:rsid w:val="0045397F"/>
    <w:rsid w:val="00461F2F"/>
    <w:rsid w:val="004838BF"/>
    <w:rsid w:val="005A164A"/>
    <w:rsid w:val="005A511D"/>
    <w:rsid w:val="00760EAF"/>
    <w:rsid w:val="00884126"/>
    <w:rsid w:val="00895D61"/>
    <w:rsid w:val="00942F3C"/>
    <w:rsid w:val="00957C52"/>
    <w:rsid w:val="0098440F"/>
    <w:rsid w:val="00A12BED"/>
    <w:rsid w:val="00A56E31"/>
    <w:rsid w:val="00AA293F"/>
    <w:rsid w:val="00B240F6"/>
    <w:rsid w:val="00B518DF"/>
    <w:rsid w:val="00B661DB"/>
    <w:rsid w:val="00CF449E"/>
    <w:rsid w:val="00E861E6"/>
    <w:rsid w:val="00F66F0C"/>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8BF"/>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 w:type="paragraph" w:customStyle="1" w:styleId="C04374CD51A040E4BEE1F4C1F29763FE">
    <w:name w:val="C04374CD51A040E4BEE1F4C1F29763FE"/>
    <w:rsid w:val="00AA293F"/>
    <w:pPr>
      <w:spacing w:after="160" w:line="259" w:lineRule="auto"/>
    </w:pPr>
  </w:style>
  <w:style w:type="paragraph" w:customStyle="1" w:styleId="5725F11CA3AB4BF7861CEAA56AA1D24C">
    <w:name w:val="5725F11CA3AB4BF7861CEAA56AA1D24C"/>
    <w:rsid w:val="0045397F"/>
    <w:pPr>
      <w:spacing w:after="160" w:line="259" w:lineRule="auto"/>
    </w:pPr>
  </w:style>
  <w:style w:type="paragraph" w:customStyle="1" w:styleId="7F00E96D11CF4307AC6771E4BB14B953">
    <w:name w:val="7F00E96D11CF4307AC6771E4BB14B953"/>
    <w:rsid w:val="0045397F"/>
    <w:pPr>
      <w:spacing w:after="160" w:line="259" w:lineRule="auto"/>
    </w:pPr>
  </w:style>
  <w:style w:type="paragraph" w:customStyle="1" w:styleId="5A753FB1D9E14086A408EB643958D1AA">
    <w:name w:val="5A753FB1D9E14086A408EB643958D1AA"/>
    <w:rsid w:val="004838BF"/>
    <w:pPr>
      <w:spacing w:after="160" w:line="259" w:lineRule="auto"/>
    </w:pPr>
  </w:style>
  <w:style w:type="paragraph" w:customStyle="1" w:styleId="F93CAFC8B8E34EB6A8C84A0546774BB5">
    <w:name w:val="F93CAFC8B8E34EB6A8C84A0546774BB5"/>
    <w:rsid w:val="004838BF"/>
    <w:pPr>
      <w:spacing w:after="160" w:line="259" w:lineRule="auto"/>
    </w:pPr>
  </w:style>
  <w:style w:type="paragraph" w:customStyle="1" w:styleId="E19A39A2DC34427782303866B501EF52">
    <w:name w:val="E19A39A2DC34427782303866B501EF52"/>
    <w:rsid w:val="004838BF"/>
    <w:pPr>
      <w:spacing w:after="160" w:line="259" w:lineRule="auto"/>
    </w:pPr>
  </w:style>
  <w:style w:type="paragraph" w:customStyle="1" w:styleId="4037A60F381647269327C3491F818BF7">
    <w:name w:val="4037A60F381647269327C3491F818BF7"/>
    <w:rsid w:val="004838B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085055D04C02241AF4759873DF8334B" ma:contentTypeVersion="29" ma:contentTypeDescription="Document with Enterprise Keyword column." ma:contentTypeScope="" ma:versionID="157275ac0c35055e6a3a4cb3467c48e6">
  <xsd:schema xmlns:xsd="http://www.w3.org/2001/XMLSchema" xmlns:xs="http://www.w3.org/2001/XMLSchema" xmlns:p="http://schemas.microsoft.com/office/2006/metadata/properties" xmlns:ns1="http://schemas.microsoft.com/sharepoint/v3" xmlns:ns2="fd053438-771b-42ba-9d81-01aaf027653a" xmlns:ns3="573deb0b-1af8-4c22-839e-5226f9086661" xmlns:ns4="http://schemas.microsoft.com/sharepoint/v4" targetNamespace="http://schemas.microsoft.com/office/2006/metadata/properties" ma:root="true" ma:fieldsID="887349ad8097a8f58d1bb95b9d8028a8" ns1:_="" ns2:_="" ns3:_="" ns4:_="">
    <xsd:import namespace="http://schemas.microsoft.com/sharepoint/v3"/>
    <xsd:import namespace="fd053438-771b-42ba-9d81-01aaf027653a"/>
    <xsd:import namespace="573deb0b-1af8-4c22-839e-5226f908666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element ref="ns3:Archived"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description="" ma:hidden="true" ma:internalName="EmailSender" ma:readOnly="false">
      <xsd:simpleType>
        <xsd:restriction base="dms:Note">
          <xsd:maxLength value="255"/>
        </xsd:restriction>
      </xsd:simpleType>
    </xsd:element>
    <xsd:element name="EmailTo" ma:index="12" nillable="true" ma:displayName="E-Mail To" ma:description="" ma:hidden="true" ma:internalName="EmailTo" ma:readOnly="false">
      <xsd:simpleType>
        <xsd:restriction base="dms:Note">
          <xsd:maxLength value="255"/>
        </xsd:restriction>
      </xsd:simpleType>
    </xsd:element>
    <xsd:element name="EmailCc" ma:index="13" nillable="true" ma:displayName="E-Mail Cc" ma:description="" ma:hidden="true" ma:internalName="EmailCc" ma:readOnly="false">
      <xsd:simpleType>
        <xsd:restriction base="dms:Note">
          <xsd:maxLength value="255"/>
        </xsd:restriction>
      </xsd:simpleType>
    </xsd:element>
    <xsd:element name="EmailFrom" ma:index="14" nillable="true" ma:displayName="E-Mail From" ma:description="" ma:hidden="true" ma:internalName="EmailFrom" ma:readOnly="false">
      <xsd:simpleType>
        <xsd:restriction base="dms:Text"/>
      </xsd:simpleType>
    </xsd:element>
    <xsd:element name="EmailSubject" ma:index="15" nillable="true" ma:displayName="E-Mail Subject" ma:description="" ma:hidden="true" ma:internalName="EmailSubjec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53438-771b-42ba-9d81-01aaf027653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3deb0b-1af8-4c22-839e-5226f9086661" elementFormDefault="qualified">
    <xsd:import namespace="http://schemas.microsoft.com/office/2006/documentManagement/types"/>
    <xsd:import namespace="http://schemas.microsoft.com/office/infopath/2007/PartnerControls"/>
    <xsd:element name="TaxKeywordTaxHTField" ma:index="7" nillable="true" ma:taxonomy="true" ma:internalName="TaxKeywordTaxHTField" ma:taxonomyFieldName="TaxKeyword" ma:displayName="Enterprise Keywords" ma:readOnly="false" ma:fieldId="{23f27201-bee3-471e-b2e7-b64fd8b7ca38}" ma:taxonomyMulti="true" ma:sspId="64f761c4-cb64-4933-b1ae-cbeaa3c9865a"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03c2ea0b-a94f-4569-805f-1911d84595fa}" ma:internalName="TaxCatchAll" ma:showField="CatchAllData" ma:web="fd053438-771b-42ba-9d81-01aaf027653a">
      <xsd:complexType>
        <xsd:complexContent>
          <xsd:extension base="dms:MultiChoiceLookup">
            <xsd:sequence>
              <xsd:element name="Value" type="dms:Lookup" maxOccurs="unbounded" minOccurs="0" nillable="true"/>
            </xsd:sequence>
          </xsd:extension>
        </xsd:complexContent>
      </xsd:complexType>
    </xsd:element>
    <xsd:element name="Archived" ma:index="10" nillable="true" ma:displayName="Archived" ma:default="0" ma:internalName="Archiv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description="" ma:hidden="true" ma:internalName="EmailHeader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TaxCatchAll xmlns="573deb0b-1af8-4c22-839e-5226f9086661">
      <Value>12</Value>
    </TaxCatchAll>
    <Archived xmlns="573deb0b-1af8-4c22-839e-5226f9086661">false</Archived>
    <EmailSubject xmlns="http://schemas.microsoft.com/sharepoint/v3" xsi:nil="true"/>
    <TaxKeywordTaxHTField xmlns="573deb0b-1af8-4c22-839e-5226f9086661">
      <Terms xmlns="http://schemas.microsoft.com/office/infopath/2007/PartnerControls">
        <TermInfo xmlns="http://schemas.microsoft.com/office/infopath/2007/PartnerControls">
          <TermName xmlns="http://schemas.microsoft.com/office/infopath/2007/PartnerControls">board committee</TermName>
          <TermId xmlns="http://schemas.microsoft.com/office/infopath/2007/PartnerControls">4c59d375-e8fe-4895-99f7-de1ea7bd2bf6</TermId>
        </TermInfo>
      </Terms>
    </TaxKeywordTaxHTField>
    <EmailCc xmlns="http://schemas.microsoft.com/sharepoint/v3" xsi:nil="true"/>
    <_dlc_DocId xmlns="fd053438-771b-42ba-9d81-01aaf027653a">KN3KN54Q7VUQ-4-10</_dlc_DocId>
    <_dlc_DocIdUrl xmlns="fd053438-771b-42ba-9d81-01aaf027653a">
      <Url>https://phwsharepoint.cymru.nhs.uk/corporate/governance/_layouts/15/DocIdRedir.aspx?ID=KN3KN54Q7VUQ-4-10</Url>
      <Description>KN3KN54Q7VUQ-4-10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A5BFB1-DBC1-4C9C-BF71-FDBD58C908F8}">
  <ds:schemaRefs>
    <ds:schemaRef ds:uri="http://schemas.microsoft.com/sharepoint/v3/contenttype/forms"/>
  </ds:schemaRefs>
</ds:datastoreItem>
</file>

<file path=customXml/itemProps2.xml><?xml version="1.0" encoding="utf-8"?>
<ds:datastoreItem xmlns:ds="http://schemas.openxmlformats.org/officeDocument/2006/customXml" ds:itemID="{9752606F-CDE7-4DEF-90F7-815D06D30DF2}">
  <ds:schemaRefs>
    <ds:schemaRef ds:uri="http://schemas.microsoft.com/sharepoint/events"/>
  </ds:schemaRefs>
</ds:datastoreItem>
</file>

<file path=customXml/itemProps3.xml><?xml version="1.0" encoding="utf-8"?>
<ds:datastoreItem xmlns:ds="http://schemas.openxmlformats.org/officeDocument/2006/customXml" ds:itemID="{94A5339A-CF00-4DA8-8650-353C70535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053438-771b-42ba-9d81-01aaf027653a"/>
    <ds:schemaRef ds:uri="573deb0b-1af8-4c22-839e-5226f90866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DE4FD6-408B-48BD-A088-9C453C496D1C}">
  <ds:schemaRefs>
    <ds:schemaRef ds:uri="http://purl.org/dc/elements/1.1/"/>
    <ds:schemaRef ds:uri="http://schemas.microsoft.com/office/2006/documentManagement/types"/>
    <ds:schemaRef ds:uri="573deb0b-1af8-4c22-839e-5226f9086661"/>
    <ds:schemaRef ds:uri="http://schemas.microsoft.com/sharepoint/v3"/>
    <ds:schemaRef ds:uri="http://schemas.microsoft.com/sharepoint/v4"/>
    <ds:schemaRef ds:uri="http://purl.org/dc/terms/"/>
    <ds:schemaRef ds:uri="http://schemas.openxmlformats.org/package/2006/metadata/core-properties"/>
    <ds:schemaRef ds:uri="fd053438-771b-42ba-9d81-01aaf027653a"/>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30CE0A9-95AA-4B41-B0D0-CCD398FF8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2605</Words>
  <Characters>14852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Board and Committe template 2019</vt:lpstr>
    </vt:vector>
  </TitlesOfParts>
  <Company>Public Health Wales</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and Committe template 2019</dc:title>
  <dc:creator>Cathie Steele</dc:creator>
  <cp:keywords>board committee</cp:keywords>
  <cp:lastModifiedBy>Helen Bushell (Public Health Wales - No. 2 Capital Quarter)</cp:lastModifiedBy>
  <cp:revision>4</cp:revision>
  <cp:lastPrinted>2021-03-09T16:05:00Z</cp:lastPrinted>
  <dcterms:created xsi:type="dcterms:W3CDTF">2021-03-11T15:02:00Z</dcterms:created>
  <dcterms:modified xsi:type="dcterms:W3CDTF">2021-03-19T16:11:00Z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0x0101002085055D04C02241AF4759873DF8334B</vt:lpwstr>
  </property>
  <property fmtid="{D5CDD505-2E9C-101B-9397-08002B2CF9AE}" pid="3" name="_dlc_DocIdItemGuid">
    <vt:lpwstr>a1c43624-a7f3-40e9-a413-8921fd834b29</vt:lpwstr>
  </property>
  <property fmtid="{D5CDD505-2E9C-101B-9397-08002B2CF9AE}" pid="4" name="TaxKeyword">
    <vt:lpwstr>12;#board committee|4c59d375-e8fe-4895-99f7-de1ea7bd2bf6</vt:lpwstr>
  </property>
</Properties>
</file>