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0E4DFC5C" w14:textId="77777777" w:rsidTr="00BE200C">
        <w:tc>
          <w:tcPr>
            <w:tcW w:w="5202" w:type="dxa"/>
            <w:gridSpan w:val="4"/>
            <w:vMerge w:val="restart"/>
          </w:tcPr>
          <w:p w14:paraId="2BB94CDE" w14:textId="77777777" w:rsidR="0013075E" w:rsidRPr="008F1F7E" w:rsidRDefault="0013075E" w:rsidP="00CF7674">
            <w:r w:rsidRPr="008F1F7E">
              <w:rPr>
                <w:b/>
                <w:noProof/>
                <w:lang w:eastAsia="en-GB"/>
              </w:rPr>
              <w:drawing>
                <wp:inline distT="0" distB="0" distL="0" distR="0" wp14:anchorId="48D6F386" wp14:editId="7949318B">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7EC6B8FC"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28B3A1AC" w14:textId="6A4C2231" w:rsidR="0013075E" w:rsidRPr="00EE7097" w:rsidRDefault="00FA7D2E" w:rsidP="00EE7097">
                <w:pPr>
                  <w:jc w:val="right"/>
                  <w:rPr>
                    <w:b/>
                    <w:szCs w:val="24"/>
                  </w:rPr>
                </w:pPr>
                <w:r>
                  <w:rPr>
                    <w:rStyle w:val="Dropdown"/>
                  </w:rPr>
                  <w:t>Board</w:t>
                </w:r>
              </w:p>
            </w:sdtContent>
          </w:sdt>
        </w:tc>
      </w:tr>
      <w:tr w:rsidR="0064025C" w:rsidRPr="0064025C" w14:paraId="73547A19" w14:textId="77777777" w:rsidTr="00BE200C">
        <w:tc>
          <w:tcPr>
            <w:tcW w:w="5202" w:type="dxa"/>
            <w:gridSpan w:val="4"/>
            <w:vMerge/>
          </w:tcPr>
          <w:p w14:paraId="60D703BA" w14:textId="77777777" w:rsidR="0013075E" w:rsidRPr="008F1F7E" w:rsidRDefault="0013075E" w:rsidP="00CF7674">
            <w:pPr>
              <w:rPr>
                <w:b/>
                <w:noProof/>
                <w:lang w:eastAsia="en-GB"/>
              </w:rPr>
            </w:pPr>
          </w:p>
        </w:tc>
        <w:tc>
          <w:tcPr>
            <w:tcW w:w="3814" w:type="dxa"/>
            <w:gridSpan w:val="3"/>
            <w:tcBorders>
              <w:top w:val="nil"/>
              <w:bottom w:val="nil"/>
            </w:tcBorders>
          </w:tcPr>
          <w:p w14:paraId="33B6DA27" w14:textId="77777777" w:rsidR="00D34F08" w:rsidRPr="0064025C" w:rsidRDefault="00D34F08" w:rsidP="00EE7097">
            <w:pPr>
              <w:jc w:val="right"/>
              <w:rPr>
                <w:b/>
              </w:rPr>
            </w:pPr>
            <w:r w:rsidRPr="0064025C">
              <w:rPr>
                <w:b/>
              </w:rPr>
              <w:t>Date of Meeting</w:t>
            </w:r>
          </w:p>
          <w:p w14:paraId="08DBCD02" w14:textId="0D4D5204" w:rsidR="0013075E" w:rsidRPr="0064025C" w:rsidRDefault="00FA7D2E" w:rsidP="0064025C">
            <w:pPr>
              <w:jc w:val="right"/>
            </w:pPr>
            <w:r>
              <w:t>26</w:t>
            </w:r>
            <w:r w:rsidR="00F90C79">
              <w:t xml:space="preserve"> November</w:t>
            </w:r>
            <w:r w:rsidR="0064025C">
              <w:t xml:space="preserve"> 2020</w:t>
            </w:r>
          </w:p>
        </w:tc>
      </w:tr>
      <w:tr w:rsidR="0013075E" w:rsidRPr="008F1F7E" w14:paraId="11A61A5D" w14:textId="77777777" w:rsidTr="00BE200C">
        <w:tc>
          <w:tcPr>
            <w:tcW w:w="5202" w:type="dxa"/>
            <w:gridSpan w:val="4"/>
            <w:vMerge/>
            <w:tcBorders>
              <w:bottom w:val="single" w:sz="4" w:space="0" w:color="auto"/>
            </w:tcBorders>
          </w:tcPr>
          <w:p w14:paraId="0ADD1004" w14:textId="77777777" w:rsidR="0013075E" w:rsidRPr="008F1F7E" w:rsidRDefault="0013075E" w:rsidP="00CF7674">
            <w:pPr>
              <w:rPr>
                <w:b/>
                <w:noProof/>
                <w:lang w:eastAsia="en-GB"/>
              </w:rPr>
            </w:pPr>
          </w:p>
        </w:tc>
        <w:tc>
          <w:tcPr>
            <w:tcW w:w="3814" w:type="dxa"/>
            <w:gridSpan w:val="3"/>
            <w:tcBorders>
              <w:top w:val="nil"/>
              <w:bottom w:val="single" w:sz="4" w:space="0" w:color="auto"/>
            </w:tcBorders>
          </w:tcPr>
          <w:p w14:paraId="5DBC118A" w14:textId="77777777" w:rsidR="0013075E" w:rsidRPr="008F1F7E" w:rsidRDefault="0013075E" w:rsidP="00EE7097">
            <w:pPr>
              <w:jc w:val="right"/>
              <w:rPr>
                <w:b/>
              </w:rPr>
            </w:pPr>
            <w:r w:rsidRPr="008F1F7E">
              <w:rPr>
                <w:b/>
              </w:rPr>
              <w:t>Agenda item:</w:t>
            </w:r>
          </w:p>
          <w:p w14:paraId="12F9BBCB" w14:textId="3B8296D9" w:rsidR="0013075E" w:rsidRPr="00D21639" w:rsidRDefault="00FA7D2E" w:rsidP="00EE7097">
            <w:pPr>
              <w:jc w:val="right"/>
              <w:rPr>
                <w:color w:val="FF0000"/>
              </w:rPr>
            </w:pPr>
            <w:r w:rsidRPr="00D21639">
              <w:t>3.6.2</w:t>
            </w:r>
            <w:r w:rsidR="00D21639" w:rsidRPr="00D21639">
              <w:t xml:space="preserve"> 261120</w:t>
            </w:r>
          </w:p>
        </w:tc>
      </w:tr>
      <w:tr w:rsidR="00EE7097" w:rsidRPr="008F1F7E" w14:paraId="4BCBCEEA" w14:textId="77777777" w:rsidTr="00BE200C">
        <w:tc>
          <w:tcPr>
            <w:tcW w:w="9016" w:type="dxa"/>
            <w:gridSpan w:val="7"/>
            <w:tcBorders>
              <w:left w:val="nil"/>
              <w:right w:val="nil"/>
            </w:tcBorders>
            <w:vAlign w:val="center"/>
          </w:tcPr>
          <w:p w14:paraId="2C4E1D6E" w14:textId="77777777" w:rsidR="00D34F08" w:rsidRPr="00912C7B" w:rsidRDefault="00D34F08" w:rsidP="00FA4F17">
            <w:pPr>
              <w:jc w:val="center"/>
              <w:rPr>
                <w:b/>
                <w:sz w:val="28"/>
              </w:rPr>
            </w:pPr>
          </w:p>
        </w:tc>
      </w:tr>
      <w:tr w:rsidR="00EE7097" w:rsidRPr="008F1F7E" w14:paraId="1AFD529F" w14:textId="77777777" w:rsidTr="00F133B1">
        <w:trPr>
          <w:trHeight w:val="959"/>
        </w:trPr>
        <w:tc>
          <w:tcPr>
            <w:tcW w:w="9016" w:type="dxa"/>
            <w:gridSpan w:val="7"/>
            <w:vAlign w:val="center"/>
          </w:tcPr>
          <w:p w14:paraId="46072403" w14:textId="1818B78D" w:rsidR="00EE7097" w:rsidRPr="00FA4F17" w:rsidRDefault="00F133B1" w:rsidP="00B12B71">
            <w:pPr>
              <w:keepNext/>
              <w:spacing w:before="240" w:after="240"/>
              <w:contextualSpacing/>
              <w:jc w:val="center"/>
              <w:outlineLvl w:val="0"/>
              <w:rPr>
                <w:rFonts w:eastAsia="Times New Roman" w:cs="Times New Roman"/>
                <w:b/>
                <w:kern w:val="28"/>
                <w:sz w:val="36"/>
                <w:szCs w:val="48"/>
              </w:rPr>
            </w:pPr>
            <w:r>
              <w:rPr>
                <w:rFonts w:eastAsia="Times New Roman" w:cs="Times New Roman"/>
                <w:b/>
                <w:kern w:val="28"/>
                <w:sz w:val="36"/>
                <w:szCs w:val="48"/>
              </w:rPr>
              <w:t>Strategic Risk Register (SRR)</w:t>
            </w:r>
          </w:p>
        </w:tc>
      </w:tr>
      <w:tr w:rsidR="00EE7097" w:rsidRPr="001C60B5" w14:paraId="67143985" w14:textId="77777777" w:rsidTr="00BE200C">
        <w:tc>
          <w:tcPr>
            <w:tcW w:w="2802" w:type="dxa"/>
            <w:gridSpan w:val="2"/>
          </w:tcPr>
          <w:p w14:paraId="035754D7" w14:textId="77777777" w:rsidR="00EE7097" w:rsidRPr="001C60B5" w:rsidRDefault="00EE7097">
            <w:pPr>
              <w:rPr>
                <w:b/>
                <w:szCs w:val="24"/>
              </w:rPr>
            </w:pPr>
            <w:r w:rsidRPr="001C60B5">
              <w:rPr>
                <w:b/>
                <w:szCs w:val="24"/>
              </w:rPr>
              <w:t>Executive lead:</w:t>
            </w:r>
          </w:p>
        </w:tc>
        <w:tc>
          <w:tcPr>
            <w:tcW w:w="6214" w:type="dxa"/>
            <w:gridSpan w:val="5"/>
          </w:tcPr>
          <w:p w14:paraId="485E5CA0" w14:textId="1AEB6A4F" w:rsidR="00EE7097" w:rsidRPr="00FA4F17" w:rsidRDefault="00C46E6D" w:rsidP="00C46E6D">
            <w:pPr>
              <w:rPr>
                <w:szCs w:val="24"/>
              </w:rPr>
            </w:pPr>
            <w:r>
              <w:rPr>
                <w:szCs w:val="24"/>
              </w:rPr>
              <w:t xml:space="preserve">Rhiannon Beaumont-Wood, Executive Director Quality, Nursing and Allied Health professionals </w:t>
            </w:r>
            <w:r w:rsidR="00375114">
              <w:rPr>
                <w:szCs w:val="24"/>
              </w:rPr>
              <w:t xml:space="preserve"> </w:t>
            </w:r>
          </w:p>
        </w:tc>
      </w:tr>
      <w:tr w:rsidR="00BE200C" w:rsidRPr="001C60B5" w14:paraId="5C7D81FC" w14:textId="77777777" w:rsidTr="00BE200C">
        <w:tc>
          <w:tcPr>
            <w:tcW w:w="2802" w:type="dxa"/>
            <w:gridSpan w:val="2"/>
          </w:tcPr>
          <w:p w14:paraId="0DEF8387" w14:textId="77777777" w:rsidR="00BE200C" w:rsidRPr="001C60B5" w:rsidRDefault="00BE200C" w:rsidP="00BE200C">
            <w:pPr>
              <w:rPr>
                <w:b/>
                <w:szCs w:val="24"/>
              </w:rPr>
            </w:pPr>
            <w:r w:rsidRPr="001C60B5">
              <w:rPr>
                <w:b/>
                <w:szCs w:val="24"/>
              </w:rPr>
              <w:t>Author:</w:t>
            </w:r>
          </w:p>
        </w:tc>
        <w:tc>
          <w:tcPr>
            <w:tcW w:w="6214" w:type="dxa"/>
            <w:gridSpan w:val="5"/>
          </w:tcPr>
          <w:p w14:paraId="38958E36" w14:textId="543DB485" w:rsidR="00E36FFA" w:rsidRPr="00FA4F17" w:rsidRDefault="00302D6C" w:rsidP="00BE200C">
            <w:pPr>
              <w:rPr>
                <w:szCs w:val="24"/>
              </w:rPr>
            </w:pPr>
            <w:r>
              <w:rPr>
                <w:szCs w:val="24"/>
              </w:rPr>
              <w:t>Liz Blayney, Dep</w:t>
            </w:r>
            <w:r w:rsidR="00232A41">
              <w:rPr>
                <w:szCs w:val="24"/>
              </w:rPr>
              <w:t>uty Board Secretary and Board Governance Manager</w:t>
            </w:r>
            <w:r w:rsidR="00C46E6D">
              <w:rPr>
                <w:szCs w:val="24"/>
              </w:rPr>
              <w:t xml:space="preserve"> </w:t>
            </w:r>
            <w:r w:rsidR="00E36FFA">
              <w:rPr>
                <w:szCs w:val="24"/>
              </w:rPr>
              <w:t xml:space="preserve"> </w:t>
            </w:r>
          </w:p>
        </w:tc>
      </w:tr>
      <w:tr w:rsidR="00BE200C" w:rsidRPr="001C60B5" w14:paraId="67206A15" w14:textId="77777777" w:rsidTr="00BE200C">
        <w:trPr>
          <w:trHeight w:val="149"/>
        </w:trPr>
        <w:tc>
          <w:tcPr>
            <w:tcW w:w="2802" w:type="dxa"/>
            <w:gridSpan w:val="2"/>
            <w:tcBorders>
              <w:left w:val="nil"/>
              <w:right w:val="nil"/>
            </w:tcBorders>
          </w:tcPr>
          <w:p w14:paraId="55F08E9E" w14:textId="77777777" w:rsidR="00BE200C" w:rsidRPr="005B4E75" w:rsidRDefault="00BE200C" w:rsidP="00BE200C">
            <w:pPr>
              <w:rPr>
                <w:b/>
                <w:sz w:val="12"/>
                <w:szCs w:val="12"/>
              </w:rPr>
            </w:pPr>
          </w:p>
        </w:tc>
        <w:tc>
          <w:tcPr>
            <w:tcW w:w="6214" w:type="dxa"/>
            <w:gridSpan w:val="5"/>
            <w:tcBorders>
              <w:left w:val="nil"/>
              <w:right w:val="nil"/>
            </w:tcBorders>
          </w:tcPr>
          <w:p w14:paraId="089C16B9" w14:textId="77777777" w:rsidR="00BE200C" w:rsidRPr="00FA4F17" w:rsidRDefault="00BE200C" w:rsidP="00BE200C">
            <w:pPr>
              <w:rPr>
                <w:sz w:val="12"/>
                <w:szCs w:val="12"/>
              </w:rPr>
            </w:pPr>
          </w:p>
        </w:tc>
      </w:tr>
      <w:tr w:rsidR="00C46E6D" w:rsidRPr="001C60B5" w14:paraId="35028766" w14:textId="77777777" w:rsidTr="00BE200C">
        <w:tc>
          <w:tcPr>
            <w:tcW w:w="2802" w:type="dxa"/>
            <w:gridSpan w:val="2"/>
          </w:tcPr>
          <w:p w14:paraId="61928E47" w14:textId="77777777" w:rsidR="00C46E6D" w:rsidRPr="001C60B5" w:rsidRDefault="00C46E6D" w:rsidP="00C46E6D">
            <w:pPr>
              <w:rPr>
                <w:b/>
                <w:szCs w:val="24"/>
              </w:rPr>
            </w:pPr>
            <w:r w:rsidRPr="001C60B5">
              <w:rPr>
                <w:b/>
                <w:szCs w:val="24"/>
              </w:rPr>
              <w:t>Approval/Scrutiny route:</w:t>
            </w:r>
          </w:p>
        </w:tc>
        <w:tc>
          <w:tcPr>
            <w:tcW w:w="6214" w:type="dxa"/>
            <w:gridSpan w:val="5"/>
          </w:tcPr>
          <w:p w14:paraId="639ABCA5" w14:textId="7EE4D590" w:rsidR="00C46E6D" w:rsidRDefault="00C46E6D" w:rsidP="00C46E6D">
            <w:pPr>
              <w:rPr>
                <w:szCs w:val="24"/>
              </w:rPr>
            </w:pPr>
            <w:r>
              <w:rPr>
                <w:szCs w:val="24"/>
              </w:rPr>
              <w:t xml:space="preserve">Helen Bushell, Board Secretary and Head of Board Business Unit  </w:t>
            </w:r>
          </w:p>
          <w:p w14:paraId="78D7584B" w14:textId="77777777" w:rsidR="00232A41" w:rsidRDefault="00232A41" w:rsidP="00C46E6D">
            <w:pPr>
              <w:rPr>
                <w:szCs w:val="24"/>
              </w:rPr>
            </w:pPr>
            <w:r>
              <w:rPr>
                <w:szCs w:val="24"/>
              </w:rPr>
              <w:t xml:space="preserve">Rhiannon Beaumont-Wood, Executive Director Quality, Nursing and Allied Health professionals  </w:t>
            </w:r>
          </w:p>
          <w:p w14:paraId="53CBBAD9" w14:textId="77777777" w:rsidR="00FA7D2E" w:rsidRDefault="00FA7D2E" w:rsidP="00C46E6D">
            <w:pPr>
              <w:rPr>
                <w:szCs w:val="24"/>
              </w:rPr>
            </w:pPr>
          </w:p>
          <w:p w14:paraId="65FBF2AB" w14:textId="77777777" w:rsidR="00FA7D2E" w:rsidRDefault="00FA7D2E" w:rsidP="00C46E6D">
            <w:pPr>
              <w:rPr>
                <w:szCs w:val="24"/>
              </w:rPr>
            </w:pPr>
            <w:r>
              <w:rPr>
                <w:szCs w:val="24"/>
              </w:rPr>
              <w:t xml:space="preserve">BET considered the SRR at its meeting in November, and agreed to recommend to Board the reinstatement of the Innovation Risk. </w:t>
            </w:r>
          </w:p>
          <w:p w14:paraId="05522DF1" w14:textId="77777777" w:rsidR="00387B11" w:rsidRDefault="00387B11" w:rsidP="00C46E6D">
            <w:pPr>
              <w:rPr>
                <w:szCs w:val="24"/>
              </w:rPr>
            </w:pPr>
          </w:p>
          <w:p w14:paraId="4E693426" w14:textId="18921DDD" w:rsidR="00387B11" w:rsidRPr="00FA4F17" w:rsidRDefault="00387B11" w:rsidP="00C46E6D">
            <w:pPr>
              <w:rPr>
                <w:szCs w:val="24"/>
              </w:rPr>
            </w:pPr>
            <w:r>
              <w:rPr>
                <w:szCs w:val="24"/>
              </w:rPr>
              <w:t xml:space="preserve">Risk 2 and 3 </w:t>
            </w:r>
            <w:proofErr w:type="gramStart"/>
            <w:r>
              <w:rPr>
                <w:szCs w:val="24"/>
              </w:rPr>
              <w:t>were submitted</w:t>
            </w:r>
            <w:proofErr w:type="gramEnd"/>
            <w:r>
              <w:rPr>
                <w:szCs w:val="24"/>
              </w:rPr>
              <w:t xml:space="preserve"> to Quality, Safety and Improvement</w:t>
            </w:r>
            <w:r w:rsidR="00D21639">
              <w:rPr>
                <w:szCs w:val="24"/>
              </w:rPr>
              <w:t xml:space="preserve"> Committee on 17 November 2020 who approved the requested changes. </w:t>
            </w:r>
          </w:p>
        </w:tc>
      </w:tr>
      <w:tr w:rsidR="00C46E6D" w:rsidRPr="001C60B5" w14:paraId="537725C4" w14:textId="77777777" w:rsidTr="00BE200C">
        <w:tc>
          <w:tcPr>
            <w:tcW w:w="9016" w:type="dxa"/>
            <w:gridSpan w:val="7"/>
            <w:tcBorders>
              <w:left w:val="nil"/>
              <w:bottom w:val="single" w:sz="4" w:space="0" w:color="auto"/>
              <w:right w:val="nil"/>
            </w:tcBorders>
          </w:tcPr>
          <w:p w14:paraId="3D11159E" w14:textId="77777777" w:rsidR="00C46E6D" w:rsidRPr="00FA4F17" w:rsidRDefault="00C46E6D" w:rsidP="00C46E6D">
            <w:pPr>
              <w:rPr>
                <w:b/>
                <w:sz w:val="12"/>
                <w:szCs w:val="12"/>
              </w:rPr>
            </w:pPr>
          </w:p>
        </w:tc>
      </w:tr>
      <w:tr w:rsidR="00C46E6D" w:rsidRPr="001C60B5" w14:paraId="56878760" w14:textId="77777777" w:rsidTr="00BE200C">
        <w:tc>
          <w:tcPr>
            <w:tcW w:w="9016" w:type="dxa"/>
            <w:gridSpan w:val="7"/>
            <w:tcBorders>
              <w:left w:val="single" w:sz="4" w:space="0" w:color="auto"/>
              <w:right w:val="single" w:sz="4" w:space="0" w:color="auto"/>
            </w:tcBorders>
          </w:tcPr>
          <w:p w14:paraId="1CF0A21A" w14:textId="77777777" w:rsidR="00C46E6D" w:rsidRPr="001C60B5" w:rsidRDefault="00C46E6D" w:rsidP="00C46E6D">
            <w:pPr>
              <w:rPr>
                <w:b/>
                <w:szCs w:val="24"/>
              </w:rPr>
            </w:pPr>
            <w:r>
              <w:rPr>
                <w:b/>
                <w:szCs w:val="24"/>
              </w:rPr>
              <w:t>Purpose</w:t>
            </w:r>
          </w:p>
        </w:tc>
      </w:tr>
      <w:tr w:rsidR="00C46E6D" w:rsidRPr="001C60B5" w14:paraId="25806191" w14:textId="77777777" w:rsidTr="00BE200C">
        <w:tc>
          <w:tcPr>
            <w:tcW w:w="9016" w:type="dxa"/>
            <w:gridSpan w:val="7"/>
            <w:tcBorders>
              <w:left w:val="single" w:sz="4" w:space="0" w:color="auto"/>
              <w:right w:val="single" w:sz="4" w:space="0" w:color="auto"/>
            </w:tcBorders>
          </w:tcPr>
          <w:p w14:paraId="3930F053" w14:textId="40CA91A3" w:rsidR="00C46E6D" w:rsidRPr="00C46E6D" w:rsidRDefault="00C46E6D" w:rsidP="00232A41">
            <w:pPr>
              <w:spacing w:before="240" w:after="240"/>
              <w:rPr>
                <w:rFonts w:eastAsia="Times New Roman" w:cs="Times New Roman"/>
                <w:szCs w:val="20"/>
              </w:rPr>
            </w:pPr>
            <w:r w:rsidRPr="00FA4F17">
              <w:rPr>
                <w:rFonts w:eastAsia="Times New Roman" w:cs="Times New Roman"/>
                <w:szCs w:val="20"/>
              </w:rPr>
              <w:t>This pa</w:t>
            </w:r>
            <w:r w:rsidR="009303B6">
              <w:rPr>
                <w:rFonts w:eastAsia="Times New Roman" w:cs="Times New Roman"/>
                <w:szCs w:val="20"/>
              </w:rPr>
              <w:t xml:space="preserve">per provides </w:t>
            </w:r>
            <w:r w:rsidR="00232A41">
              <w:rPr>
                <w:rFonts w:eastAsia="Times New Roman" w:cs="Times New Roman"/>
                <w:szCs w:val="20"/>
              </w:rPr>
              <w:t xml:space="preserve">the </w:t>
            </w:r>
            <w:r w:rsidR="009303B6">
              <w:rPr>
                <w:rFonts w:eastAsia="Times New Roman" w:cs="Times New Roman"/>
                <w:szCs w:val="20"/>
              </w:rPr>
              <w:t>progress update</w:t>
            </w:r>
            <w:r w:rsidR="00232A41">
              <w:rPr>
                <w:rFonts w:eastAsia="Times New Roman" w:cs="Times New Roman"/>
                <w:szCs w:val="20"/>
              </w:rPr>
              <w:t xml:space="preserve">s on the actions within </w:t>
            </w:r>
            <w:r w:rsidR="009303B6">
              <w:rPr>
                <w:rFonts w:eastAsia="Times New Roman" w:cs="Times New Roman"/>
                <w:szCs w:val="20"/>
              </w:rPr>
              <w:t>the</w:t>
            </w:r>
            <w:r w:rsidR="00302D6C">
              <w:rPr>
                <w:rFonts w:eastAsia="Times New Roman" w:cs="Times New Roman"/>
                <w:szCs w:val="20"/>
              </w:rPr>
              <w:t xml:space="preserve"> Strategic Risk R</w:t>
            </w:r>
            <w:r>
              <w:rPr>
                <w:rFonts w:eastAsia="Times New Roman" w:cs="Times New Roman"/>
                <w:szCs w:val="20"/>
              </w:rPr>
              <w:t xml:space="preserve">egister. </w:t>
            </w:r>
          </w:p>
        </w:tc>
      </w:tr>
      <w:tr w:rsidR="00C46E6D" w:rsidRPr="001C60B5" w14:paraId="2E9C02F3" w14:textId="77777777" w:rsidTr="00BE200C">
        <w:tc>
          <w:tcPr>
            <w:tcW w:w="9016" w:type="dxa"/>
            <w:gridSpan w:val="7"/>
            <w:tcBorders>
              <w:left w:val="nil"/>
              <w:right w:val="nil"/>
            </w:tcBorders>
          </w:tcPr>
          <w:p w14:paraId="492BC11B" w14:textId="77777777" w:rsidR="00C46E6D" w:rsidRPr="005B4E75" w:rsidRDefault="00C46E6D" w:rsidP="00C46E6D">
            <w:pPr>
              <w:rPr>
                <w:b/>
                <w:sz w:val="12"/>
                <w:szCs w:val="12"/>
              </w:rPr>
            </w:pPr>
          </w:p>
        </w:tc>
      </w:tr>
      <w:tr w:rsidR="00C46E6D" w:rsidRPr="001C60B5" w14:paraId="0D3AD6C7" w14:textId="77777777" w:rsidTr="00BE200C">
        <w:tc>
          <w:tcPr>
            <w:tcW w:w="9016" w:type="dxa"/>
            <w:gridSpan w:val="7"/>
          </w:tcPr>
          <w:p w14:paraId="3229EB76" w14:textId="77777777" w:rsidR="00C46E6D" w:rsidRPr="0013075E" w:rsidRDefault="00C46E6D" w:rsidP="00C46E6D">
            <w:pPr>
              <w:rPr>
                <w:b/>
                <w:szCs w:val="24"/>
              </w:rPr>
            </w:pPr>
            <w:r>
              <w:rPr>
                <w:b/>
                <w:szCs w:val="24"/>
              </w:rPr>
              <w:t xml:space="preserve">Recommendation: </w:t>
            </w:r>
          </w:p>
        </w:tc>
      </w:tr>
      <w:tr w:rsidR="00C46E6D" w:rsidRPr="001C60B5" w14:paraId="57F525E2" w14:textId="77777777" w:rsidTr="00BE200C">
        <w:tc>
          <w:tcPr>
            <w:tcW w:w="1848" w:type="dxa"/>
            <w:tcBorders>
              <w:bottom w:val="single" w:sz="4" w:space="0" w:color="auto"/>
            </w:tcBorders>
          </w:tcPr>
          <w:p w14:paraId="254E39A8" w14:textId="77777777" w:rsidR="00C46E6D" w:rsidRPr="007A47F5" w:rsidRDefault="00C46E6D" w:rsidP="00C46E6D">
            <w:pPr>
              <w:jc w:val="center"/>
              <w:rPr>
                <w:szCs w:val="24"/>
              </w:rPr>
            </w:pPr>
            <w:r w:rsidRPr="007A47F5">
              <w:rPr>
                <w:szCs w:val="24"/>
              </w:rPr>
              <w:t>APPROVE</w:t>
            </w:r>
          </w:p>
          <w:p w14:paraId="45069FB2" w14:textId="6E42BCC6" w:rsidR="00C46E6D" w:rsidRPr="007A47F5" w:rsidRDefault="00C46E6D" w:rsidP="00C46E6D">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8615ED">
              <w:rPr>
                <w:rFonts w:ascii="Wingdings" w:hAnsi="Wingdings"/>
                <w:szCs w:val="24"/>
              </w:rPr>
            </w:r>
            <w:r w:rsidR="008615ED">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2A295C50" w14:textId="77777777" w:rsidR="00C46E6D" w:rsidRDefault="00C46E6D" w:rsidP="00C46E6D">
            <w:pPr>
              <w:jc w:val="center"/>
              <w:rPr>
                <w:szCs w:val="24"/>
              </w:rPr>
            </w:pPr>
            <w:r w:rsidRPr="007A47F5">
              <w:rPr>
                <w:szCs w:val="24"/>
              </w:rPr>
              <w:t>CONSIDER</w:t>
            </w:r>
          </w:p>
          <w:p w14:paraId="0FC72B14" w14:textId="639ABC58" w:rsidR="00C46E6D" w:rsidRPr="007A47F5" w:rsidRDefault="00FA7D2E" w:rsidP="00C46E6D">
            <w:pPr>
              <w:jc w:val="center"/>
              <w:rPr>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8615ED">
              <w:rPr>
                <w:szCs w:val="24"/>
              </w:rPr>
            </w:r>
            <w:r w:rsidR="008615ED">
              <w:rPr>
                <w:szCs w:val="24"/>
              </w:rPr>
              <w:fldChar w:fldCharType="separate"/>
            </w:r>
            <w:r>
              <w:rPr>
                <w:szCs w:val="24"/>
              </w:rPr>
              <w:fldChar w:fldCharType="end"/>
            </w:r>
            <w:bookmarkEnd w:id="1"/>
          </w:p>
        </w:tc>
        <w:tc>
          <w:tcPr>
            <w:tcW w:w="1840" w:type="dxa"/>
            <w:gridSpan w:val="2"/>
            <w:tcBorders>
              <w:bottom w:val="single" w:sz="4" w:space="0" w:color="auto"/>
            </w:tcBorders>
          </w:tcPr>
          <w:p w14:paraId="66CC52B7" w14:textId="77777777" w:rsidR="00C46E6D" w:rsidRDefault="00C46E6D" w:rsidP="00C46E6D">
            <w:pPr>
              <w:jc w:val="center"/>
              <w:rPr>
                <w:szCs w:val="24"/>
              </w:rPr>
            </w:pPr>
            <w:r w:rsidRPr="007A47F5">
              <w:rPr>
                <w:szCs w:val="24"/>
              </w:rPr>
              <w:t>RECOMMEND</w:t>
            </w:r>
          </w:p>
          <w:p w14:paraId="478E1604" w14:textId="77777777" w:rsidR="00C46E6D" w:rsidRPr="007A47F5" w:rsidRDefault="00C46E6D" w:rsidP="00C46E6D">
            <w:pPr>
              <w:jc w:val="center"/>
              <w:rPr>
                <w:szCs w:val="24"/>
              </w:rPr>
            </w:pPr>
            <w:r>
              <w:rPr>
                <w:szCs w:val="24"/>
              </w:rPr>
              <w:fldChar w:fldCharType="begin">
                <w:ffData>
                  <w:name w:val="Check3"/>
                  <w:enabled/>
                  <w:calcOnExit w:val="0"/>
                  <w:checkBox>
                    <w:sizeAuto/>
                    <w:default w:val="0"/>
                  </w:checkBox>
                </w:ffData>
              </w:fldChar>
            </w:r>
            <w:bookmarkStart w:id="2" w:name="Check3"/>
            <w:r>
              <w:rPr>
                <w:szCs w:val="24"/>
              </w:rPr>
              <w:instrText xml:space="preserve"> FORMCHECKBOX </w:instrText>
            </w:r>
            <w:r w:rsidR="008615ED">
              <w:rPr>
                <w:szCs w:val="24"/>
              </w:rPr>
            </w:r>
            <w:r w:rsidR="008615ED">
              <w:rPr>
                <w:szCs w:val="24"/>
              </w:rPr>
              <w:fldChar w:fldCharType="separate"/>
            </w:r>
            <w:r>
              <w:rPr>
                <w:szCs w:val="24"/>
              </w:rPr>
              <w:fldChar w:fldCharType="end"/>
            </w:r>
            <w:bookmarkEnd w:id="2"/>
          </w:p>
        </w:tc>
        <w:tc>
          <w:tcPr>
            <w:tcW w:w="1662" w:type="dxa"/>
            <w:tcBorders>
              <w:bottom w:val="single" w:sz="4" w:space="0" w:color="auto"/>
            </w:tcBorders>
          </w:tcPr>
          <w:p w14:paraId="30EF61A2" w14:textId="77777777" w:rsidR="00C46E6D" w:rsidRDefault="00C46E6D" w:rsidP="00C46E6D">
            <w:pPr>
              <w:jc w:val="center"/>
              <w:rPr>
                <w:szCs w:val="24"/>
              </w:rPr>
            </w:pPr>
            <w:r w:rsidRPr="007A47F5">
              <w:rPr>
                <w:szCs w:val="24"/>
              </w:rPr>
              <w:t>ADOPT</w:t>
            </w:r>
          </w:p>
          <w:p w14:paraId="6A8156F2" w14:textId="77777777" w:rsidR="00C46E6D" w:rsidRPr="007A47F5" w:rsidRDefault="00C46E6D" w:rsidP="00C46E6D">
            <w:pPr>
              <w:jc w:val="center"/>
              <w:rPr>
                <w:szCs w:val="24"/>
              </w:rPr>
            </w:pPr>
            <w:r>
              <w:rPr>
                <w:szCs w:val="24"/>
              </w:rPr>
              <w:fldChar w:fldCharType="begin">
                <w:ffData>
                  <w:name w:val="Check4"/>
                  <w:enabled/>
                  <w:calcOnExit w:val="0"/>
                  <w:checkBox>
                    <w:sizeAuto/>
                    <w:default w:val="0"/>
                  </w:checkBox>
                </w:ffData>
              </w:fldChar>
            </w:r>
            <w:bookmarkStart w:id="3" w:name="Check4"/>
            <w:r>
              <w:rPr>
                <w:szCs w:val="24"/>
              </w:rPr>
              <w:instrText xml:space="preserve"> FORMCHECKBOX </w:instrText>
            </w:r>
            <w:r w:rsidR="008615ED">
              <w:rPr>
                <w:szCs w:val="24"/>
              </w:rPr>
            </w:r>
            <w:r w:rsidR="008615ED">
              <w:rPr>
                <w:szCs w:val="24"/>
              </w:rPr>
              <w:fldChar w:fldCharType="separate"/>
            </w:r>
            <w:r>
              <w:rPr>
                <w:szCs w:val="24"/>
              </w:rPr>
              <w:fldChar w:fldCharType="end"/>
            </w:r>
            <w:bookmarkEnd w:id="3"/>
          </w:p>
        </w:tc>
        <w:tc>
          <w:tcPr>
            <w:tcW w:w="1818" w:type="dxa"/>
            <w:tcBorders>
              <w:bottom w:val="single" w:sz="4" w:space="0" w:color="auto"/>
            </w:tcBorders>
          </w:tcPr>
          <w:p w14:paraId="7EF16C9C" w14:textId="77777777" w:rsidR="00C46E6D" w:rsidRDefault="00C46E6D" w:rsidP="00C46E6D">
            <w:pPr>
              <w:jc w:val="center"/>
              <w:rPr>
                <w:szCs w:val="24"/>
              </w:rPr>
            </w:pPr>
            <w:r>
              <w:rPr>
                <w:szCs w:val="24"/>
              </w:rPr>
              <w:t>ASSURANCE</w:t>
            </w:r>
          </w:p>
          <w:p w14:paraId="0EE08FB1" w14:textId="77777777" w:rsidR="00C46E6D" w:rsidRPr="007A47F5" w:rsidRDefault="00C46E6D" w:rsidP="00C46E6D">
            <w:pPr>
              <w:jc w:val="center"/>
              <w:rPr>
                <w:szCs w:val="24"/>
              </w:rPr>
            </w:pPr>
            <w:r>
              <w:rPr>
                <w:szCs w:val="24"/>
              </w:rPr>
              <w:fldChar w:fldCharType="begin">
                <w:ffData>
                  <w:name w:val="Check5"/>
                  <w:enabled/>
                  <w:calcOnExit w:val="0"/>
                  <w:checkBox>
                    <w:sizeAuto/>
                    <w:default w:val="0"/>
                  </w:checkBox>
                </w:ffData>
              </w:fldChar>
            </w:r>
            <w:bookmarkStart w:id="4" w:name="Check5"/>
            <w:r>
              <w:rPr>
                <w:szCs w:val="24"/>
              </w:rPr>
              <w:instrText xml:space="preserve"> FORMCHECKBOX </w:instrText>
            </w:r>
            <w:r w:rsidR="008615ED">
              <w:rPr>
                <w:szCs w:val="24"/>
              </w:rPr>
            </w:r>
            <w:r w:rsidR="008615ED">
              <w:rPr>
                <w:szCs w:val="24"/>
              </w:rPr>
              <w:fldChar w:fldCharType="separate"/>
            </w:r>
            <w:r>
              <w:rPr>
                <w:szCs w:val="24"/>
              </w:rPr>
              <w:fldChar w:fldCharType="end"/>
            </w:r>
            <w:bookmarkEnd w:id="4"/>
          </w:p>
        </w:tc>
      </w:tr>
      <w:tr w:rsidR="00C46E6D" w:rsidRPr="001C60B5" w14:paraId="3800EBBC" w14:textId="77777777" w:rsidTr="00BE200C">
        <w:tc>
          <w:tcPr>
            <w:tcW w:w="9016" w:type="dxa"/>
            <w:gridSpan w:val="7"/>
            <w:tcBorders>
              <w:bottom w:val="single" w:sz="4" w:space="0" w:color="auto"/>
            </w:tcBorders>
          </w:tcPr>
          <w:p w14:paraId="387E4CE9" w14:textId="3AE5F454" w:rsidR="00302D6C" w:rsidRDefault="00302D6C" w:rsidP="00302D6C">
            <w:pPr>
              <w:jc w:val="both"/>
              <w:rPr>
                <w:szCs w:val="24"/>
              </w:rPr>
            </w:pPr>
            <w:r w:rsidRPr="00E85AE8">
              <w:rPr>
                <w:szCs w:val="24"/>
              </w:rPr>
              <w:t xml:space="preserve">The </w:t>
            </w:r>
            <w:r w:rsidR="00FA7D2E">
              <w:rPr>
                <w:szCs w:val="24"/>
              </w:rPr>
              <w:t>Board</w:t>
            </w:r>
            <w:r>
              <w:rPr>
                <w:szCs w:val="24"/>
              </w:rPr>
              <w:t xml:space="preserve"> is asked to:</w:t>
            </w:r>
          </w:p>
          <w:p w14:paraId="605969C6" w14:textId="77777777" w:rsidR="00302D6C" w:rsidRDefault="00302D6C" w:rsidP="00302D6C">
            <w:pPr>
              <w:jc w:val="both"/>
              <w:rPr>
                <w:szCs w:val="24"/>
              </w:rPr>
            </w:pPr>
          </w:p>
          <w:p w14:paraId="19E8E48C" w14:textId="0F5F4A69" w:rsidR="00B1379C" w:rsidRDefault="00B1379C" w:rsidP="00B1379C">
            <w:pPr>
              <w:pStyle w:val="ListParagraph"/>
              <w:numPr>
                <w:ilvl w:val="0"/>
                <w:numId w:val="31"/>
              </w:numPr>
              <w:jc w:val="both"/>
            </w:pPr>
            <w:r w:rsidRPr="00B1379C">
              <w:rPr>
                <w:b/>
              </w:rPr>
              <w:t xml:space="preserve">Consider </w:t>
            </w:r>
            <w:r>
              <w:t>the updates provided on the Strategic Risk Register;</w:t>
            </w:r>
          </w:p>
          <w:p w14:paraId="17E5B169" w14:textId="39FB6CE1" w:rsidR="000B389E" w:rsidRPr="000B389E" w:rsidRDefault="000B389E" w:rsidP="000B389E">
            <w:pPr>
              <w:pStyle w:val="ListParagraph"/>
              <w:numPr>
                <w:ilvl w:val="0"/>
                <w:numId w:val="34"/>
              </w:numPr>
              <w:rPr>
                <w:szCs w:val="24"/>
              </w:rPr>
            </w:pPr>
            <w:r>
              <w:rPr>
                <w:b/>
              </w:rPr>
              <w:t xml:space="preserve">Approve </w:t>
            </w:r>
            <w:r w:rsidRPr="000B389E">
              <w:t xml:space="preserve">the reinstate the Innovation Risk (as SRR risk 9), </w:t>
            </w:r>
            <w:r w:rsidR="00D21639">
              <w:t>noting it will be reconsidered in 2021;</w:t>
            </w:r>
          </w:p>
          <w:p w14:paraId="61D3D27F" w14:textId="11567568" w:rsidR="000B389E" w:rsidRPr="000B389E" w:rsidRDefault="000B389E" w:rsidP="000B389E">
            <w:pPr>
              <w:pStyle w:val="ListParagraph"/>
              <w:numPr>
                <w:ilvl w:val="0"/>
                <w:numId w:val="34"/>
              </w:numPr>
              <w:rPr>
                <w:szCs w:val="24"/>
              </w:rPr>
            </w:pPr>
            <w:r w:rsidRPr="000B389E">
              <w:rPr>
                <w:b/>
              </w:rPr>
              <w:t>Approve</w:t>
            </w:r>
            <w:r w:rsidRPr="000B389E">
              <w:t xml:space="preserve"> the changes to deadlines in table 1</w:t>
            </w:r>
            <w:r w:rsidR="00D21639">
              <w:t>;</w:t>
            </w:r>
          </w:p>
          <w:p w14:paraId="163F4BAC" w14:textId="52A81713" w:rsidR="000B389E" w:rsidRPr="000B389E" w:rsidRDefault="000B389E" w:rsidP="000B389E">
            <w:pPr>
              <w:pStyle w:val="ListParagraph"/>
              <w:numPr>
                <w:ilvl w:val="0"/>
                <w:numId w:val="34"/>
              </w:numPr>
              <w:rPr>
                <w:szCs w:val="24"/>
              </w:rPr>
            </w:pPr>
            <w:r w:rsidRPr="000B389E">
              <w:rPr>
                <w:b/>
              </w:rPr>
              <w:t>Approve</w:t>
            </w:r>
            <w:r w:rsidRPr="000B389E">
              <w:t xml:space="preserve"> the closure of</w:t>
            </w:r>
            <w:r w:rsidR="00D21639">
              <w:t xml:space="preserve"> the actions listed in table 2;</w:t>
            </w:r>
          </w:p>
          <w:p w14:paraId="57176816" w14:textId="54832927" w:rsidR="00C46E6D" w:rsidRPr="00387B11" w:rsidRDefault="000B389E" w:rsidP="00387B11">
            <w:pPr>
              <w:pStyle w:val="ListParagraph"/>
              <w:numPr>
                <w:ilvl w:val="0"/>
                <w:numId w:val="34"/>
              </w:numPr>
              <w:rPr>
                <w:szCs w:val="24"/>
              </w:rPr>
            </w:pPr>
            <w:r w:rsidRPr="000B389E">
              <w:rPr>
                <w:b/>
              </w:rPr>
              <w:t>Note</w:t>
            </w:r>
            <w:r w:rsidRPr="000B389E">
              <w:t xml:space="preserve"> that </w:t>
            </w:r>
            <w:proofErr w:type="gramStart"/>
            <w:r w:rsidRPr="000B389E">
              <w:t>Risk 2 and Risk 3 have been considered by the Quality, Safety and Improvement Committee</w:t>
            </w:r>
            <w:proofErr w:type="gramEnd"/>
            <w:r w:rsidRPr="000B389E">
              <w:t xml:space="preserve"> at its meeting on 17 November, and changes to implementations were approved.</w:t>
            </w:r>
          </w:p>
        </w:tc>
      </w:tr>
    </w:tbl>
    <w:p w14:paraId="166059AD"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4E368315" w14:textId="77777777" w:rsidTr="00480353">
        <w:tc>
          <w:tcPr>
            <w:tcW w:w="9026" w:type="dxa"/>
            <w:gridSpan w:val="2"/>
            <w:tcBorders>
              <w:left w:val="nil"/>
              <w:right w:val="nil"/>
            </w:tcBorders>
            <w:shd w:val="clear" w:color="auto" w:fill="auto"/>
          </w:tcPr>
          <w:p w14:paraId="095CF52D" w14:textId="77777777" w:rsidR="00D713DC" w:rsidRPr="005B4E75" w:rsidRDefault="00D713DC">
            <w:pPr>
              <w:rPr>
                <w:b/>
                <w:sz w:val="12"/>
                <w:szCs w:val="12"/>
              </w:rPr>
            </w:pPr>
          </w:p>
        </w:tc>
      </w:tr>
      <w:tr w:rsidR="00EE7097" w:rsidRPr="001C60B5" w14:paraId="2CA5905F" w14:textId="77777777" w:rsidTr="00480353">
        <w:tc>
          <w:tcPr>
            <w:tcW w:w="9026" w:type="dxa"/>
            <w:gridSpan w:val="2"/>
            <w:shd w:val="clear" w:color="auto" w:fill="F2F2F2" w:themeFill="background1" w:themeFillShade="F2"/>
          </w:tcPr>
          <w:p w14:paraId="1C4F9E43" w14:textId="77777777"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14:paraId="35773DD1" w14:textId="77777777" w:rsidR="00EE7097" w:rsidRPr="001C60B5" w:rsidRDefault="00EE7097" w:rsidP="00680248">
            <w:pPr>
              <w:rPr>
                <w:szCs w:val="24"/>
              </w:rPr>
            </w:pPr>
          </w:p>
          <w:p w14:paraId="3A8B4DB9"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0D318109" w14:textId="77777777" w:rsidR="00B52B29" w:rsidRDefault="00B52B29" w:rsidP="00EE7097">
            <w:pPr>
              <w:rPr>
                <w:bCs/>
                <w:szCs w:val="24"/>
              </w:rPr>
            </w:pPr>
          </w:p>
          <w:p w14:paraId="3F2FED0B" w14:textId="77777777" w:rsidR="00EE7097" w:rsidRPr="001C60B5" w:rsidRDefault="00EE7097" w:rsidP="00EE7097">
            <w:pPr>
              <w:rPr>
                <w:szCs w:val="24"/>
              </w:rPr>
            </w:pPr>
            <w:r w:rsidRPr="001C60B5">
              <w:rPr>
                <w:szCs w:val="24"/>
              </w:rPr>
              <w:t>This report contributes to the following:</w:t>
            </w:r>
          </w:p>
        </w:tc>
      </w:tr>
      <w:tr w:rsidR="00EE7097" w:rsidRPr="001C60B5" w14:paraId="208300DF" w14:textId="77777777" w:rsidTr="00480353">
        <w:tc>
          <w:tcPr>
            <w:tcW w:w="3192" w:type="dxa"/>
            <w:shd w:val="clear" w:color="auto" w:fill="auto"/>
          </w:tcPr>
          <w:p w14:paraId="66A04A07"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2E44CD41" w14:textId="3ED429F6" w:rsidR="00EE7097" w:rsidRPr="0013075E" w:rsidRDefault="008615ED"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C633CE">
                  <w:rPr>
                    <w:rStyle w:val="Dropdown"/>
                  </w:rPr>
                  <w:t>All Strategic Priorities/Well-being Objectives</w:t>
                </w:r>
              </w:sdtContent>
            </w:sdt>
          </w:p>
        </w:tc>
      </w:tr>
      <w:tr w:rsidR="00EE7097" w:rsidRPr="001C60B5" w14:paraId="113812B2" w14:textId="77777777" w:rsidTr="00480353">
        <w:tc>
          <w:tcPr>
            <w:tcW w:w="9026" w:type="dxa"/>
            <w:gridSpan w:val="2"/>
            <w:tcBorders>
              <w:left w:val="nil"/>
              <w:right w:val="nil"/>
            </w:tcBorders>
            <w:shd w:val="clear" w:color="auto" w:fill="auto"/>
          </w:tcPr>
          <w:p w14:paraId="5CC51EB6" w14:textId="77777777" w:rsidR="00EE7097" w:rsidRPr="005B4E75" w:rsidRDefault="00EE7097" w:rsidP="00211B9D">
            <w:pPr>
              <w:rPr>
                <w:b/>
                <w:sz w:val="12"/>
                <w:szCs w:val="12"/>
              </w:rPr>
            </w:pPr>
          </w:p>
        </w:tc>
      </w:tr>
      <w:tr w:rsidR="00EE7097" w:rsidRPr="001C60B5" w14:paraId="068903DC" w14:textId="77777777" w:rsidTr="00480353">
        <w:tc>
          <w:tcPr>
            <w:tcW w:w="9026" w:type="dxa"/>
            <w:gridSpan w:val="2"/>
            <w:shd w:val="clear" w:color="auto" w:fill="F2F2F2" w:themeFill="background1" w:themeFillShade="F2"/>
          </w:tcPr>
          <w:p w14:paraId="2F3203B1" w14:textId="77777777" w:rsidR="00EE7097" w:rsidRPr="00C0426C" w:rsidRDefault="00EE7097" w:rsidP="00211B9D">
            <w:pPr>
              <w:rPr>
                <w:i/>
                <w:szCs w:val="24"/>
              </w:rPr>
            </w:pPr>
            <w:r w:rsidRPr="00C0426C">
              <w:rPr>
                <w:b/>
                <w:szCs w:val="24"/>
              </w:rPr>
              <w:t xml:space="preserve">Summary impact analysis </w:t>
            </w:r>
            <w:r w:rsidRPr="00C0426C">
              <w:rPr>
                <w:i/>
                <w:szCs w:val="24"/>
              </w:rPr>
              <w:t xml:space="preserve"> </w:t>
            </w:r>
          </w:p>
          <w:p w14:paraId="2CC46CA7" w14:textId="77777777" w:rsidR="00EE7097" w:rsidRPr="00C0426C" w:rsidRDefault="00EE7097" w:rsidP="00CA5841">
            <w:pPr>
              <w:rPr>
                <w:szCs w:val="24"/>
              </w:rPr>
            </w:pPr>
          </w:p>
        </w:tc>
      </w:tr>
      <w:tr w:rsidR="00EE7097" w:rsidRPr="001C60B5" w14:paraId="6F33476D" w14:textId="77777777" w:rsidTr="00480353">
        <w:tc>
          <w:tcPr>
            <w:tcW w:w="3192" w:type="dxa"/>
          </w:tcPr>
          <w:p w14:paraId="5165C372" w14:textId="77777777" w:rsidR="00EE7097" w:rsidRPr="001C60B5" w:rsidRDefault="00EE7097" w:rsidP="00097ACD">
            <w:pPr>
              <w:rPr>
                <w:b/>
                <w:szCs w:val="24"/>
              </w:rPr>
            </w:pPr>
            <w:r w:rsidRPr="001C60B5">
              <w:rPr>
                <w:b/>
                <w:szCs w:val="24"/>
              </w:rPr>
              <w:t>Equality and Health Impact Assessment</w:t>
            </w:r>
          </w:p>
        </w:tc>
        <w:tc>
          <w:tcPr>
            <w:tcW w:w="5834" w:type="dxa"/>
          </w:tcPr>
          <w:p w14:paraId="4807D2EA" w14:textId="77777777" w:rsidR="00EE7097" w:rsidRPr="00DC6C8A" w:rsidRDefault="00DC6C8A" w:rsidP="005D5FC4">
            <w:pPr>
              <w:rPr>
                <w:szCs w:val="24"/>
              </w:rPr>
            </w:pPr>
            <w:r>
              <w:rPr>
                <w:szCs w:val="24"/>
              </w:rPr>
              <w:t>An EHIA is not required</w:t>
            </w:r>
          </w:p>
        </w:tc>
      </w:tr>
      <w:tr w:rsidR="003A3414" w:rsidRPr="001C60B5" w14:paraId="70453DDD" w14:textId="77777777" w:rsidTr="00480353">
        <w:tc>
          <w:tcPr>
            <w:tcW w:w="3192" w:type="dxa"/>
          </w:tcPr>
          <w:p w14:paraId="1D481A6F"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722AD549" w14:textId="68B832C5" w:rsidR="003A3414" w:rsidRPr="00C0426C" w:rsidRDefault="00C46E6D" w:rsidP="00160AD0">
            <w:pPr>
              <w:rPr>
                <w:szCs w:val="24"/>
              </w:rPr>
            </w:pPr>
            <w:r>
              <w:rPr>
                <w:szCs w:val="24"/>
              </w:rPr>
              <w:t>The strategic risk register is a key source of assurance to the Board setting out the approach and management of strategic level risks.</w:t>
            </w:r>
            <w:r w:rsidR="00DC6C8A">
              <w:rPr>
                <w:szCs w:val="24"/>
              </w:rPr>
              <w:t xml:space="preserve"> </w:t>
            </w:r>
          </w:p>
        </w:tc>
      </w:tr>
      <w:tr w:rsidR="00EE7097" w:rsidRPr="001C60B5" w14:paraId="296C0A22" w14:textId="77777777" w:rsidTr="00480353">
        <w:trPr>
          <w:trHeight w:val="1030"/>
        </w:trPr>
        <w:tc>
          <w:tcPr>
            <w:tcW w:w="3192" w:type="dxa"/>
            <w:vMerge w:val="restart"/>
          </w:tcPr>
          <w:p w14:paraId="2B633A4D"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18C06EEC" w14:textId="77777777"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050DC791" w14:textId="77777777" w:rsidTr="00480353">
        <w:trPr>
          <w:trHeight w:val="281"/>
        </w:trPr>
        <w:tc>
          <w:tcPr>
            <w:tcW w:w="3192" w:type="dxa"/>
            <w:vMerge/>
          </w:tcPr>
          <w:p w14:paraId="30CD8F3F"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58FD3602" w14:textId="52F0D6DD" w:rsidR="00E263D4" w:rsidRPr="001C60B5" w:rsidRDefault="00C46E6D" w:rsidP="00E263D4">
                <w:pPr>
                  <w:ind w:left="436"/>
                  <w:rPr>
                    <w:szCs w:val="24"/>
                  </w:rPr>
                </w:pPr>
                <w:r>
                  <w:rPr>
                    <w:rStyle w:val="Dropdown"/>
                  </w:rPr>
                  <w:t>All themes</w:t>
                </w:r>
              </w:p>
            </w:sdtContent>
          </w:sdt>
        </w:tc>
      </w:tr>
      <w:tr w:rsidR="00EE7097" w:rsidRPr="001C60B5" w14:paraId="0472E29F" w14:textId="77777777" w:rsidTr="00480353">
        <w:tc>
          <w:tcPr>
            <w:tcW w:w="3192" w:type="dxa"/>
          </w:tcPr>
          <w:p w14:paraId="7CADBB2C" w14:textId="77777777" w:rsidR="00EE7097" w:rsidRPr="001C60B5" w:rsidRDefault="00EE7097">
            <w:pPr>
              <w:rPr>
                <w:b/>
                <w:szCs w:val="24"/>
              </w:rPr>
            </w:pPr>
            <w:r w:rsidRPr="001C60B5">
              <w:rPr>
                <w:b/>
                <w:szCs w:val="24"/>
              </w:rPr>
              <w:t>Financial implications</w:t>
            </w:r>
          </w:p>
        </w:tc>
        <w:tc>
          <w:tcPr>
            <w:tcW w:w="5834" w:type="dxa"/>
          </w:tcPr>
          <w:p w14:paraId="2FF27B59" w14:textId="6B6DCDBF" w:rsidR="00EE7097" w:rsidRPr="00C0426C" w:rsidRDefault="00C46E6D" w:rsidP="00C46E6D">
            <w:pPr>
              <w:rPr>
                <w:szCs w:val="24"/>
              </w:rPr>
            </w:pPr>
            <w:r>
              <w:rPr>
                <w:szCs w:val="24"/>
              </w:rPr>
              <w:t xml:space="preserve">None as a result of this paper. Any cost related to the management of the strategic risks are encompassed within relevant organisational budgets. </w:t>
            </w:r>
            <w:r w:rsidR="00160AD0">
              <w:rPr>
                <w:szCs w:val="24"/>
              </w:rPr>
              <w:t xml:space="preserve"> </w:t>
            </w:r>
          </w:p>
        </w:tc>
      </w:tr>
      <w:tr w:rsidR="00EE7097" w:rsidRPr="001C60B5" w14:paraId="43C060C9" w14:textId="77777777" w:rsidTr="00480353">
        <w:tc>
          <w:tcPr>
            <w:tcW w:w="3192" w:type="dxa"/>
          </w:tcPr>
          <w:p w14:paraId="466CA6B5"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51444964" w14:textId="2237E838" w:rsidR="00EE7097" w:rsidRPr="00C0426C" w:rsidRDefault="00C46E6D" w:rsidP="003D4DC8">
            <w:pPr>
              <w:rPr>
                <w:szCs w:val="24"/>
              </w:rPr>
            </w:pPr>
            <w:r>
              <w:rPr>
                <w:szCs w:val="24"/>
              </w:rPr>
              <w:t xml:space="preserve">None as a result of this paper. Any people related requirements related to the management of the strategic risks are encompassed within relevant organisational budgets.  </w:t>
            </w:r>
          </w:p>
        </w:tc>
      </w:tr>
    </w:tbl>
    <w:p w14:paraId="464DE898" w14:textId="77777777" w:rsidR="007D03B8" w:rsidRPr="001C60B5" w:rsidRDefault="007D03B8" w:rsidP="006F654D">
      <w:pPr>
        <w:pStyle w:val="ListBullet"/>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14:paraId="35E0E670" w14:textId="1530FEAD" w:rsidR="00DC6C8A" w:rsidRPr="001C60B5" w:rsidRDefault="00C633CE" w:rsidP="00DC6C8A">
      <w:pPr>
        <w:pStyle w:val="Heading1"/>
        <w:numPr>
          <w:ilvl w:val="0"/>
          <w:numId w:val="2"/>
        </w:numPr>
        <w:ind w:left="567" w:hanging="567"/>
        <w:rPr>
          <w:szCs w:val="24"/>
        </w:rPr>
      </w:pPr>
      <w:r>
        <w:rPr>
          <w:szCs w:val="24"/>
        </w:rPr>
        <w:lastRenderedPageBreak/>
        <w:t>Background</w:t>
      </w:r>
    </w:p>
    <w:p w14:paraId="0FF51AA7" w14:textId="77777777" w:rsidR="00DC6C8A" w:rsidRDefault="00DC6C8A" w:rsidP="00DC6C8A">
      <w:pPr>
        <w:rPr>
          <w:szCs w:val="24"/>
        </w:rPr>
      </w:pPr>
    </w:p>
    <w:p w14:paraId="7EC1EAEB" w14:textId="541B2A5C" w:rsidR="00216100" w:rsidRDefault="00BC3A54" w:rsidP="00216100">
      <w:pPr>
        <w:pStyle w:val="ListParagraph"/>
        <w:ind w:left="0"/>
        <w:jc w:val="both"/>
        <w:rPr>
          <w:rFonts w:eastAsia="Times New Roman" w:cs="Times New Roman"/>
          <w:szCs w:val="20"/>
        </w:rPr>
      </w:pPr>
      <w:r>
        <w:rPr>
          <w:rFonts w:eastAsia="Times New Roman" w:cs="Times New Roman"/>
          <w:szCs w:val="20"/>
        </w:rPr>
        <w:t xml:space="preserve">The Strategic Risk Register </w:t>
      </w:r>
      <w:r w:rsidR="00C633CE">
        <w:rPr>
          <w:rFonts w:eastAsia="Times New Roman" w:cs="Times New Roman"/>
          <w:szCs w:val="20"/>
        </w:rPr>
        <w:t xml:space="preserve">(SRR) </w:t>
      </w:r>
      <w:r>
        <w:rPr>
          <w:rFonts w:eastAsia="Times New Roman" w:cs="Times New Roman"/>
          <w:szCs w:val="20"/>
        </w:rPr>
        <w:t xml:space="preserve">is a key tool within the organisations approach to risk management; setting out strategic level risks, risk ratings, sources of assurance and relevant actions plans in response to the risks. </w:t>
      </w:r>
    </w:p>
    <w:p w14:paraId="3134FCB7" w14:textId="7BF00BBB" w:rsidR="009303B6" w:rsidRDefault="009303B6" w:rsidP="00216100">
      <w:pPr>
        <w:pStyle w:val="ListParagraph"/>
        <w:ind w:left="0"/>
        <w:jc w:val="both"/>
        <w:rPr>
          <w:rFonts w:eastAsia="Times New Roman" w:cs="Times New Roman"/>
          <w:szCs w:val="20"/>
        </w:rPr>
      </w:pPr>
    </w:p>
    <w:p w14:paraId="42FF0CA1" w14:textId="5176413C" w:rsidR="009303B6" w:rsidRDefault="009303B6" w:rsidP="00216100">
      <w:pPr>
        <w:pStyle w:val="ListParagraph"/>
        <w:ind w:left="0"/>
        <w:jc w:val="both"/>
        <w:rPr>
          <w:rFonts w:eastAsia="Times New Roman" w:cs="Times New Roman"/>
          <w:szCs w:val="20"/>
        </w:rPr>
      </w:pPr>
      <w:r>
        <w:rPr>
          <w:rFonts w:eastAsia="Times New Roman" w:cs="Times New Roman"/>
          <w:szCs w:val="20"/>
        </w:rPr>
        <w:t xml:space="preserve">The report provides </w:t>
      </w:r>
      <w:r w:rsidR="00FA7D2E">
        <w:rPr>
          <w:rFonts w:eastAsia="Times New Roman" w:cs="Times New Roman"/>
          <w:szCs w:val="20"/>
        </w:rPr>
        <w:t>the Board</w:t>
      </w:r>
      <w:r>
        <w:rPr>
          <w:rFonts w:eastAsia="Times New Roman" w:cs="Times New Roman"/>
          <w:szCs w:val="20"/>
        </w:rPr>
        <w:t xml:space="preserve"> with progress updates against the actions within the Strategic Risk Register. </w:t>
      </w:r>
    </w:p>
    <w:p w14:paraId="73E3261C" w14:textId="77777777" w:rsidR="00216100" w:rsidRDefault="00216100" w:rsidP="00DC6C8A">
      <w:pPr>
        <w:pStyle w:val="ListParagraph"/>
        <w:ind w:left="0"/>
      </w:pPr>
    </w:p>
    <w:p w14:paraId="611AB54D" w14:textId="1130274B" w:rsidR="00DC6C8A" w:rsidRPr="001C60B5" w:rsidRDefault="00C633CE" w:rsidP="00DC6C8A">
      <w:pPr>
        <w:pStyle w:val="Heading1"/>
        <w:numPr>
          <w:ilvl w:val="0"/>
          <w:numId w:val="2"/>
        </w:numPr>
        <w:spacing w:before="0"/>
        <w:ind w:left="567" w:hanging="567"/>
        <w:rPr>
          <w:szCs w:val="24"/>
        </w:rPr>
      </w:pPr>
      <w:r>
        <w:rPr>
          <w:szCs w:val="24"/>
        </w:rPr>
        <w:t>Current Situation</w:t>
      </w:r>
    </w:p>
    <w:p w14:paraId="58AA4854" w14:textId="77777777" w:rsidR="00DC6C8A" w:rsidRDefault="00DC6C8A" w:rsidP="00DC6C8A"/>
    <w:p w14:paraId="10966CA3" w14:textId="5BB9B6B5" w:rsidR="009303B6" w:rsidRDefault="009303B6" w:rsidP="00493ED8">
      <w:pPr>
        <w:jc w:val="both"/>
      </w:pPr>
      <w:r>
        <w:t>In September 2020, all of the</w:t>
      </w:r>
      <w:r w:rsidR="00C633CE">
        <w:t xml:space="preserve"> risks </w:t>
      </w:r>
      <w:r>
        <w:t>were reviewed and updated by the Executive Team, and submitted to Board for approval.</w:t>
      </w:r>
    </w:p>
    <w:p w14:paraId="3BB37F2F" w14:textId="77777777" w:rsidR="009303B6" w:rsidRDefault="009303B6" w:rsidP="00493ED8">
      <w:pPr>
        <w:jc w:val="both"/>
      </w:pPr>
    </w:p>
    <w:p w14:paraId="575776BB" w14:textId="6C305075" w:rsidR="009303B6" w:rsidRDefault="009303B6" w:rsidP="009303B6">
      <w:pPr>
        <w:jc w:val="both"/>
      </w:pPr>
      <w:r>
        <w:t xml:space="preserve">As part of this update, </w:t>
      </w:r>
      <w:r w:rsidR="00FA7D2E">
        <w:t>the Board</w:t>
      </w:r>
      <w:r>
        <w:t xml:space="preserve"> agreed that an opportunity exists to capitalise on the high levels of innovation seen throughout the response to the pandemic. The development of the new Operating Plan also presents an opportunity to ‘embed’ innovation across our work.</w:t>
      </w:r>
    </w:p>
    <w:p w14:paraId="4AC5CC8F" w14:textId="529E2C56" w:rsidR="009303B6" w:rsidRDefault="009303B6" w:rsidP="00493ED8">
      <w:pPr>
        <w:jc w:val="both"/>
      </w:pPr>
    </w:p>
    <w:p w14:paraId="70BFC513" w14:textId="684E75D2" w:rsidR="00354383" w:rsidRDefault="00354383" w:rsidP="00493ED8">
      <w:pPr>
        <w:jc w:val="both"/>
        <w:rPr>
          <w:b/>
        </w:rPr>
      </w:pPr>
      <w:r w:rsidRPr="00354383">
        <w:rPr>
          <w:b/>
        </w:rPr>
        <w:t xml:space="preserve">Innovation Risk </w:t>
      </w:r>
    </w:p>
    <w:p w14:paraId="250AF24D" w14:textId="77777777" w:rsidR="00354383" w:rsidRPr="00354383" w:rsidRDefault="00354383" w:rsidP="00493ED8">
      <w:pPr>
        <w:jc w:val="both"/>
        <w:rPr>
          <w:b/>
        </w:rPr>
      </w:pPr>
    </w:p>
    <w:p w14:paraId="66CA2CCA" w14:textId="17B83EE1" w:rsidR="009303B6" w:rsidRDefault="009303B6" w:rsidP="00493ED8">
      <w:pPr>
        <w:jc w:val="both"/>
      </w:pPr>
      <w:r>
        <w:t xml:space="preserve">At its meeting on 24 September 2020, the Board approved the updated SRR, and agreed to the removal of Risk 7 (Innovation Risk), subject to the actions within this Risk being embedded into the other risks. </w:t>
      </w:r>
    </w:p>
    <w:p w14:paraId="371D6F95" w14:textId="5DF5D72E" w:rsidR="009303B6" w:rsidRDefault="009303B6" w:rsidP="00493ED8">
      <w:pPr>
        <w:jc w:val="both"/>
      </w:pPr>
    </w:p>
    <w:p w14:paraId="38920B10" w14:textId="5D66795A" w:rsidR="00C632A6" w:rsidRDefault="009303B6" w:rsidP="00493ED8">
      <w:pPr>
        <w:jc w:val="both"/>
      </w:pPr>
      <w:r>
        <w:t xml:space="preserve">Since the Board meeting, there has been discussions as to how the actions from the Innovation Risk can be embedded into the other </w:t>
      </w:r>
      <w:r w:rsidR="001C4A5C">
        <w:t>r</w:t>
      </w:r>
      <w:r>
        <w:t>isks.</w:t>
      </w:r>
      <w:r w:rsidR="00354383">
        <w:t xml:space="preserve"> Whilst it is agreed this is the most appropriate approach,</w:t>
      </w:r>
      <w:r w:rsidR="00232A41">
        <w:t xml:space="preserve"> with the focus of resources on the response to the pandemic, </w:t>
      </w:r>
      <w:r w:rsidR="001C4A5C">
        <w:t xml:space="preserve">now is perhaps not the best time to embed the actions into other risk areas. </w:t>
      </w:r>
      <w:r w:rsidR="00232A41">
        <w:t xml:space="preserve">As an interim solution, it is suggested that </w:t>
      </w:r>
      <w:r w:rsidR="00FA7D2E">
        <w:t>Board</w:t>
      </w:r>
      <w:r w:rsidR="00232A41">
        <w:t xml:space="preserve"> agree to retain the innovation risk as a separate risk, until 2021 when it can be reviewed</w:t>
      </w:r>
      <w:r w:rsidR="001C4A5C">
        <w:t xml:space="preserve"> again</w:t>
      </w:r>
      <w:r w:rsidR="00232A41">
        <w:t xml:space="preserve">. </w:t>
      </w:r>
    </w:p>
    <w:p w14:paraId="07F152C7" w14:textId="77777777" w:rsidR="00C632A6" w:rsidRDefault="00C632A6" w:rsidP="00493ED8">
      <w:pPr>
        <w:jc w:val="both"/>
      </w:pPr>
    </w:p>
    <w:p w14:paraId="4EA46D48" w14:textId="2B4EE481" w:rsidR="00354383" w:rsidRDefault="00C632A6" w:rsidP="00493ED8">
      <w:pPr>
        <w:jc w:val="both"/>
      </w:pPr>
      <w:r>
        <w:t xml:space="preserve">Risk 9 (Innovation risk) as it currently stands has been included in the SRR attachments. </w:t>
      </w:r>
    </w:p>
    <w:p w14:paraId="78B7686B" w14:textId="3A985C5C" w:rsidR="00354383" w:rsidRDefault="00354383" w:rsidP="00493ED8">
      <w:pPr>
        <w:jc w:val="both"/>
      </w:pPr>
    </w:p>
    <w:p w14:paraId="021C15B5" w14:textId="00395C97" w:rsidR="00354383" w:rsidRPr="00354383" w:rsidRDefault="00354383" w:rsidP="00493ED8">
      <w:pPr>
        <w:jc w:val="both"/>
        <w:rPr>
          <w:b/>
        </w:rPr>
      </w:pPr>
      <w:r>
        <w:rPr>
          <w:b/>
        </w:rPr>
        <w:t xml:space="preserve">Recommendation: </w:t>
      </w:r>
      <w:r w:rsidR="00232A41">
        <w:rPr>
          <w:b/>
        </w:rPr>
        <w:t>t</w:t>
      </w:r>
      <w:r w:rsidRPr="00354383">
        <w:rPr>
          <w:b/>
        </w:rPr>
        <w:t xml:space="preserve">hat </w:t>
      </w:r>
      <w:r w:rsidR="001C4A5C">
        <w:rPr>
          <w:b/>
        </w:rPr>
        <w:t xml:space="preserve">the Board </w:t>
      </w:r>
      <w:r w:rsidR="00FA7D2E">
        <w:rPr>
          <w:b/>
        </w:rPr>
        <w:t xml:space="preserve">approve the </w:t>
      </w:r>
      <w:r w:rsidRPr="00354383">
        <w:rPr>
          <w:b/>
        </w:rPr>
        <w:t>reinstate</w:t>
      </w:r>
      <w:r w:rsidR="00AC6B8F">
        <w:rPr>
          <w:b/>
        </w:rPr>
        <w:t>ment of</w:t>
      </w:r>
      <w:r w:rsidRPr="00354383">
        <w:rPr>
          <w:b/>
        </w:rPr>
        <w:t xml:space="preserve"> the Innovation Risk (as SRR risk 9), </w:t>
      </w:r>
      <w:r w:rsidR="00232A41">
        <w:rPr>
          <w:b/>
        </w:rPr>
        <w:t>for it to be</w:t>
      </w:r>
      <w:r w:rsidRPr="00354383">
        <w:rPr>
          <w:b/>
        </w:rPr>
        <w:t xml:space="preserve"> reconsidered in</w:t>
      </w:r>
      <w:r w:rsidR="00232A41">
        <w:rPr>
          <w:b/>
        </w:rPr>
        <w:t xml:space="preserve"> </w:t>
      </w:r>
      <w:r w:rsidRPr="00354383">
        <w:rPr>
          <w:b/>
        </w:rPr>
        <w:t xml:space="preserve">2021. </w:t>
      </w:r>
    </w:p>
    <w:p w14:paraId="5ACB2222" w14:textId="3808D728" w:rsidR="009303B6" w:rsidRDefault="009303B6" w:rsidP="00493ED8">
      <w:pPr>
        <w:jc w:val="both"/>
      </w:pPr>
    </w:p>
    <w:p w14:paraId="48EED0B5" w14:textId="4E02197D" w:rsidR="009303B6" w:rsidRPr="00354383" w:rsidRDefault="00354383" w:rsidP="00493ED8">
      <w:pPr>
        <w:jc w:val="both"/>
        <w:rPr>
          <w:b/>
          <w:u w:val="single"/>
        </w:rPr>
      </w:pPr>
      <w:r w:rsidRPr="00354383">
        <w:rPr>
          <w:b/>
          <w:u w:val="single"/>
        </w:rPr>
        <w:t>Updates to SRR</w:t>
      </w:r>
    </w:p>
    <w:p w14:paraId="25F0CE2F" w14:textId="43DC84F5" w:rsidR="00354383" w:rsidRDefault="00354383" w:rsidP="00493ED8">
      <w:pPr>
        <w:jc w:val="both"/>
      </w:pPr>
    </w:p>
    <w:p w14:paraId="09A35B5F" w14:textId="77777777" w:rsidR="00387B11" w:rsidRDefault="00354383" w:rsidP="00493ED8">
      <w:pPr>
        <w:jc w:val="both"/>
      </w:pPr>
      <w:r>
        <w:t xml:space="preserve">Attached to this report is the latest SRR with updates provided within the action plans. </w:t>
      </w:r>
    </w:p>
    <w:p w14:paraId="13746B3C" w14:textId="77777777" w:rsidR="00387B11" w:rsidRDefault="00387B11" w:rsidP="00493ED8">
      <w:pPr>
        <w:jc w:val="both"/>
      </w:pPr>
    </w:p>
    <w:p w14:paraId="7DE578DA" w14:textId="37E2D0E3" w:rsidR="00354383" w:rsidRDefault="00387B11" w:rsidP="00493ED8">
      <w:pPr>
        <w:jc w:val="both"/>
      </w:pPr>
      <w:r>
        <w:t>The tables below outline the changes requested to the Action plans for the Boards approval:</w:t>
      </w:r>
    </w:p>
    <w:p w14:paraId="7B18D165" w14:textId="77777777" w:rsidR="00A07C96" w:rsidRDefault="00A07C96" w:rsidP="00493ED8">
      <w:pPr>
        <w:jc w:val="both"/>
      </w:pPr>
    </w:p>
    <w:p w14:paraId="1DCC58AF" w14:textId="21ED9243" w:rsidR="000B389E" w:rsidRDefault="000B389E" w:rsidP="000B389E">
      <w:pPr>
        <w:jc w:val="both"/>
        <w:rPr>
          <w:b/>
        </w:rPr>
      </w:pPr>
      <w:r>
        <w:rPr>
          <w:b/>
        </w:rPr>
        <w:t>Table 1:</w:t>
      </w:r>
    </w:p>
    <w:tbl>
      <w:tblPr>
        <w:tblStyle w:val="TableGrid"/>
        <w:tblW w:w="0" w:type="auto"/>
        <w:tblLook w:val="04A0" w:firstRow="1" w:lastRow="0" w:firstColumn="1" w:lastColumn="0" w:noHBand="0" w:noVBand="1"/>
      </w:tblPr>
      <w:tblGrid>
        <w:gridCol w:w="2254"/>
        <w:gridCol w:w="576"/>
        <w:gridCol w:w="3932"/>
        <w:gridCol w:w="2254"/>
      </w:tblGrid>
      <w:tr w:rsidR="000B389E" w14:paraId="5B3A2585" w14:textId="77777777" w:rsidTr="001E1202">
        <w:tc>
          <w:tcPr>
            <w:tcW w:w="2254" w:type="dxa"/>
            <w:tcBorders>
              <w:bottom w:val="single" w:sz="4" w:space="0" w:color="auto"/>
            </w:tcBorders>
            <w:shd w:val="clear" w:color="auto" w:fill="DBE5F1" w:themeFill="accent1" w:themeFillTint="33"/>
          </w:tcPr>
          <w:p w14:paraId="64E2349A" w14:textId="77777777" w:rsidR="000B389E" w:rsidRDefault="000B389E" w:rsidP="001E1202">
            <w:pPr>
              <w:jc w:val="both"/>
            </w:pPr>
            <w:r>
              <w:t>Risk</w:t>
            </w:r>
          </w:p>
        </w:tc>
        <w:tc>
          <w:tcPr>
            <w:tcW w:w="576" w:type="dxa"/>
            <w:tcBorders>
              <w:bottom w:val="single" w:sz="4" w:space="0" w:color="auto"/>
            </w:tcBorders>
            <w:shd w:val="clear" w:color="auto" w:fill="DBE5F1" w:themeFill="accent1" w:themeFillTint="33"/>
          </w:tcPr>
          <w:p w14:paraId="5508ECC2" w14:textId="77777777" w:rsidR="000B389E" w:rsidRDefault="000B389E" w:rsidP="001E1202">
            <w:pPr>
              <w:jc w:val="both"/>
            </w:pPr>
          </w:p>
        </w:tc>
        <w:tc>
          <w:tcPr>
            <w:tcW w:w="3932" w:type="dxa"/>
            <w:tcBorders>
              <w:bottom w:val="single" w:sz="4" w:space="0" w:color="auto"/>
            </w:tcBorders>
            <w:shd w:val="clear" w:color="auto" w:fill="DBE5F1" w:themeFill="accent1" w:themeFillTint="33"/>
          </w:tcPr>
          <w:p w14:paraId="526FAF22" w14:textId="77777777" w:rsidR="000B389E" w:rsidRDefault="000B389E" w:rsidP="001E1202">
            <w:pPr>
              <w:jc w:val="both"/>
            </w:pPr>
            <w:r>
              <w:t xml:space="preserve">Action </w:t>
            </w:r>
          </w:p>
        </w:tc>
        <w:tc>
          <w:tcPr>
            <w:tcW w:w="2254" w:type="dxa"/>
            <w:tcBorders>
              <w:bottom w:val="single" w:sz="4" w:space="0" w:color="auto"/>
            </w:tcBorders>
            <w:shd w:val="clear" w:color="auto" w:fill="DBE5F1" w:themeFill="accent1" w:themeFillTint="33"/>
          </w:tcPr>
          <w:p w14:paraId="219E9155" w14:textId="77777777" w:rsidR="000B389E" w:rsidRDefault="000B389E" w:rsidP="001E1202">
            <w:pPr>
              <w:jc w:val="both"/>
            </w:pPr>
            <w:r>
              <w:t>Board action:</w:t>
            </w:r>
          </w:p>
        </w:tc>
      </w:tr>
      <w:tr w:rsidR="000B389E" w14:paraId="621C80EA" w14:textId="77777777" w:rsidTr="000B389E">
        <w:tc>
          <w:tcPr>
            <w:tcW w:w="2254" w:type="dxa"/>
            <w:vMerge w:val="restart"/>
            <w:tcBorders>
              <w:top w:val="single" w:sz="4" w:space="0" w:color="auto"/>
            </w:tcBorders>
            <w:vAlign w:val="center"/>
          </w:tcPr>
          <w:p w14:paraId="60BE4FA2" w14:textId="30D73262" w:rsidR="000B389E" w:rsidRDefault="000B389E" w:rsidP="000B389E">
            <w:pPr>
              <w:jc w:val="center"/>
            </w:pPr>
            <w:r>
              <w:t>Risk 8</w:t>
            </w:r>
          </w:p>
        </w:tc>
        <w:tc>
          <w:tcPr>
            <w:tcW w:w="576" w:type="dxa"/>
            <w:tcBorders>
              <w:top w:val="single" w:sz="4" w:space="0" w:color="auto"/>
            </w:tcBorders>
            <w:vAlign w:val="center"/>
          </w:tcPr>
          <w:p w14:paraId="0001DE69" w14:textId="1C01ADC2" w:rsidR="000B389E" w:rsidRPr="00250C06" w:rsidRDefault="000B389E" w:rsidP="000B389E">
            <w:pPr>
              <w:jc w:val="both"/>
            </w:pPr>
            <w:r>
              <w:rPr>
                <w:rFonts w:cs="Arial"/>
                <w:sz w:val="22"/>
              </w:rPr>
              <w:t>2</w:t>
            </w:r>
          </w:p>
        </w:tc>
        <w:tc>
          <w:tcPr>
            <w:tcW w:w="3932" w:type="dxa"/>
            <w:tcBorders>
              <w:top w:val="single" w:sz="4" w:space="0" w:color="auto"/>
            </w:tcBorders>
            <w:vAlign w:val="center"/>
          </w:tcPr>
          <w:p w14:paraId="62BE0C7A" w14:textId="0773A267" w:rsidR="000B389E" w:rsidRPr="00E14BFA" w:rsidRDefault="000B389E" w:rsidP="000B389E">
            <w:pPr>
              <w:jc w:val="both"/>
            </w:pPr>
            <w:r w:rsidRPr="00DB106C">
              <w:rPr>
                <w:rFonts w:cs="Arial"/>
                <w:sz w:val="22"/>
              </w:rPr>
              <w:t xml:space="preserve">Periodically review the Gold group terms of reference to ensure relevance to the changing environment. </w:t>
            </w:r>
          </w:p>
        </w:tc>
        <w:tc>
          <w:tcPr>
            <w:tcW w:w="2254" w:type="dxa"/>
            <w:tcBorders>
              <w:top w:val="single" w:sz="4" w:space="0" w:color="auto"/>
            </w:tcBorders>
          </w:tcPr>
          <w:p w14:paraId="2FF19637" w14:textId="5C476441" w:rsidR="000B389E" w:rsidRPr="000B389E" w:rsidRDefault="000B389E" w:rsidP="000B389E">
            <w:pPr>
              <w:jc w:val="both"/>
            </w:pPr>
            <w:r w:rsidRPr="000B389E">
              <w:rPr>
                <w:rFonts w:cs="Arial"/>
                <w:color w:val="FF0000"/>
                <w:sz w:val="22"/>
              </w:rPr>
              <w:t xml:space="preserve">Change of date </w:t>
            </w:r>
            <w:r w:rsidR="00D21639">
              <w:rPr>
                <w:rFonts w:cs="Arial"/>
                <w:color w:val="FF0000"/>
                <w:sz w:val="22"/>
              </w:rPr>
              <w:t>requested to end on November</w:t>
            </w:r>
          </w:p>
        </w:tc>
      </w:tr>
      <w:tr w:rsidR="000B389E" w14:paraId="2C6C841B" w14:textId="77777777" w:rsidTr="0029507A">
        <w:tc>
          <w:tcPr>
            <w:tcW w:w="2254" w:type="dxa"/>
            <w:vMerge/>
          </w:tcPr>
          <w:p w14:paraId="0B6D7F12" w14:textId="77777777" w:rsidR="000B389E" w:rsidRDefault="000B389E" w:rsidP="000B389E">
            <w:pPr>
              <w:jc w:val="both"/>
            </w:pPr>
          </w:p>
        </w:tc>
        <w:tc>
          <w:tcPr>
            <w:tcW w:w="576" w:type="dxa"/>
            <w:vAlign w:val="center"/>
          </w:tcPr>
          <w:p w14:paraId="02B07ED4" w14:textId="13546AB9" w:rsidR="000B389E" w:rsidRDefault="000B389E" w:rsidP="000B389E">
            <w:pPr>
              <w:jc w:val="both"/>
            </w:pPr>
            <w:r>
              <w:rPr>
                <w:rFonts w:cs="Arial"/>
                <w:sz w:val="22"/>
              </w:rPr>
              <w:t>10</w:t>
            </w:r>
          </w:p>
        </w:tc>
        <w:tc>
          <w:tcPr>
            <w:tcW w:w="3932" w:type="dxa"/>
            <w:vAlign w:val="center"/>
          </w:tcPr>
          <w:p w14:paraId="47FE41B7" w14:textId="288EE698" w:rsidR="000B389E" w:rsidRDefault="000B389E" w:rsidP="000B389E">
            <w:pPr>
              <w:jc w:val="both"/>
            </w:pPr>
            <w:r w:rsidRPr="00DB106C">
              <w:rPr>
                <w:rFonts w:cs="Arial"/>
                <w:sz w:val="22"/>
              </w:rPr>
              <w:t xml:space="preserve">Develop and agree action plan to ensure PHE led activities that impact on Wales can continue to be delivered. </w:t>
            </w:r>
          </w:p>
        </w:tc>
        <w:tc>
          <w:tcPr>
            <w:tcW w:w="2254" w:type="dxa"/>
          </w:tcPr>
          <w:p w14:paraId="002BD3E4" w14:textId="73349859" w:rsidR="000B389E" w:rsidRPr="000B389E" w:rsidRDefault="000B389E" w:rsidP="000B389E">
            <w:pPr>
              <w:jc w:val="both"/>
            </w:pPr>
            <w:r w:rsidRPr="000B389E">
              <w:rPr>
                <w:rFonts w:cs="Arial"/>
                <w:color w:val="FF0000"/>
                <w:sz w:val="22"/>
              </w:rPr>
              <w:t>Change of date requested to January 2021</w:t>
            </w:r>
          </w:p>
        </w:tc>
      </w:tr>
    </w:tbl>
    <w:p w14:paraId="3210E15E" w14:textId="463726D3" w:rsidR="000B389E" w:rsidRDefault="000B389E" w:rsidP="000B389E">
      <w:pPr>
        <w:jc w:val="both"/>
        <w:rPr>
          <w:b/>
        </w:rPr>
      </w:pPr>
    </w:p>
    <w:p w14:paraId="76FA79FD" w14:textId="7DEBF5F4" w:rsidR="00354383" w:rsidRDefault="00354383" w:rsidP="00493ED8">
      <w:pPr>
        <w:jc w:val="both"/>
        <w:rPr>
          <w:b/>
        </w:rPr>
      </w:pPr>
      <w:r w:rsidRPr="00354383">
        <w:rPr>
          <w:b/>
        </w:rPr>
        <w:t xml:space="preserve">Recommendation: </w:t>
      </w:r>
      <w:r w:rsidR="00FA7D2E">
        <w:rPr>
          <w:b/>
        </w:rPr>
        <w:t xml:space="preserve">that the Board </w:t>
      </w:r>
      <w:r w:rsidR="00950738">
        <w:rPr>
          <w:b/>
        </w:rPr>
        <w:t>approve the changes to deadlines in table 1</w:t>
      </w:r>
      <w:r w:rsidR="000B389E">
        <w:rPr>
          <w:b/>
        </w:rPr>
        <w:t xml:space="preserve"> above. </w:t>
      </w:r>
    </w:p>
    <w:p w14:paraId="686F4797" w14:textId="2FA815F3" w:rsidR="000B389E" w:rsidRDefault="000B389E" w:rsidP="00950738">
      <w:pPr>
        <w:jc w:val="both"/>
        <w:rPr>
          <w:b/>
        </w:rPr>
      </w:pPr>
    </w:p>
    <w:p w14:paraId="32D14584" w14:textId="2B28FEAE" w:rsidR="00950738" w:rsidRDefault="000B389E" w:rsidP="00493ED8">
      <w:pPr>
        <w:jc w:val="both"/>
      </w:pPr>
      <w:r>
        <w:rPr>
          <w:b/>
        </w:rPr>
        <w:t>Table 2:</w:t>
      </w:r>
    </w:p>
    <w:tbl>
      <w:tblPr>
        <w:tblStyle w:val="TableGrid"/>
        <w:tblW w:w="0" w:type="auto"/>
        <w:tblLook w:val="04A0" w:firstRow="1" w:lastRow="0" w:firstColumn="1" w:lastColumn="0" w:noHBand="0" w:noVBand="1"/>
      </w:tblPr>
      <w:tblGrid>
        <w:gridCol w:w="2254"/>
        <w:gridCol w:w="576"/>
        <w:gridCol w:w="3932"/>
        <w:gridCol w:w="2254"/>
      </w:tblGrid>
      <w:tr w:rsidR="000B389E" w14:paraId="475BDDE3" w14:textId="77777777" w:rsidTr="000B389E">
        <w:tc>
          <w:tcPr>
            <w:tcW w:w="2254" w:type="dxa"/>
            <w:tcBorders>
              <w:bottom w:val="single" w:sz="4" w:space="0" w:color="auto"/>
            </w:tcBorders>
            <w:shd w:val="clear" w:color="auto" w:fill="DBE5F1" w:themeFill="accent1" w:themeFillTint="33"/>
          </w:tcPr>
          <w:p w14:paraId="6111A5C3" w14:textId="1DF0ED74" w:rsidR="000B389E" w:rsidRDefault="000B389E" w:rsidP="001E1202">
            <w:pPr>
              <w:jc w:val="both"/>
            </w:pPr>
            <w:r>
              <w:t>Risk</w:t>
            </w:r>
          </w:p>
        </w:tc>
        <w:tc>
          <w:tcPr>
            <w:tcW w:w="576" w:type="dxa"/>
            <w:tcBorders>
              <w:bottom w:val="single" w:sz="4" w:space="0" w:color="auto"/>
            </w:tcBorders>
            <w:shd w:val="clear" w:color="auto" w:fill="DBE5F1" w:themeFill="accent1" w:themeFillTint="33"/>
          </w:tcPr>
          <w:p w14:paraId="7D110998" w14:textId="77777777" w:rsidR="000B389E" w:rsidRDefault="000B389E" w:rsidP="001E1202">
            <w:pPr>
              <w:jc w:val="both"/>
            </w:pPr>
          </w:p>
        </w:tc>
        <w:tc>
          <w:tcPr>
            <w:tcW w:w="3932" w:type="dxa"/>
            <w:tcBorders>
              <w:bottom w:val="single" w:sz="4" w:space="0" w:color="auto"/>
            </w:tcBorders>
            <w:shd w:val="clear" w:color="auto" w:fill="DBE5F1" w:themeFill="accent1" w:themeFillTint="33"/>
          </w:tcPr>
          <w:p w14:paraId="11AA11AB" w14:textId="7C99003C" w:rsidR="000B389E" w:rsidRDefault="000B389E" w:rsidP="001E1202">
            <w:pPr>
              <w:jc w:val="both"/>
            </w:pPr>
            <w:r>
              <w:t xml:space="preserve">Action </w:t>
            </w:r>
          </w:p>
        </w:tc>
        <w:tc>
          <w:tcPr>
            <w:tcW w:w="2254" w:type="dxa"/>
            <w:tcBorders>
              <w:bottom w:val="single" w:sz="4" w:space="0" w:color="auto"/>
            </w:tcBorders>
            <w:shd w:val="clear" w:color="auto" w:fill="DBE5F1" w:themeFill="accent1" w:themeFillTint="33"/>
          </w:tcPr>
          <w:p w14:paraId="447493EE" w14:textId="5A30A92C" w:rsidR="000B389E" w:rsidRDefault="000B389E" w:rsidP="001E1202">
            <w:pPr>
              <w:jc w:val="both"/>
            </w:pPr>
            <w:r>
              <w:t>Board action:</w:t>
            </w:r>
          </w:p>
        </w:tc>
      </w:tr>
      <w:tr w:rsidR="000B389E" w14:paraId="4A168F09" w14:textId="77777777" w:rsidTr="000B389E">
        <w:tc>
          <w:tcPr>
            <w:tcW w:w="2254" w:type="dxa"/>
            <w:vMerge w:val="restart"/>
            <w:tcBorders>
              <w:top w:val="single" w:sz="4" w:space="0" w:color="auto"/>
            </w:tcBorders>
            <w:vAlign w:val="center"/>
          </w:tcPr>
          <w:p w14:paraId="2A5C31CC" w14:textId="77777777" w:rsidR="000B389E" w:rsidRDefault="000B389E" w:rsidP="000B389E">
            <w:pPr>
              <w:jc w:val="center"/>
            </w:pPr>
            <w:r>
              <w:t>Risk 1</w:t>
            </w:r>
          </w:p>
        </w:tc>
        <w:tc>
          <w:tcPr>
            <w:tcW w:w="576" w:type="dxa"/>
            <w:tcBorders>
              <w:top w:val="single" w:sz="4" w:space="0" w:color="auto"/>
            </w:tcBorders>
            <w:vAlign w:val="center"/>
          </w:tcPr>
          <w:p w14:paraId="2DEF1AE7" w14:textId="77777777" w:rsidR="000B389E" w:rsidRPr="00250C06" w:rsidRDefault="000B389E" w:rsidP="000B389E">
            <w:pPr>
              <w:jc w:val="center"/>
            </w:pPr>
            <w:r>
              <w:t>10</w:t>
            </w:r>
          </w:p>
        </w:tc>
        <w:tc>
          <w:tcPr>
            <w:tcW w:w="3932" w:type="dxa"/>
            <w:tcBorders>
              <w:top w:val="single" w:sz="4" w:space="0" w:color="auto"/>
            </w:tcBorders>
          </w:tcPr>
          <w:p w14:paraId="48E7E7CF" w14:textId="77777777" w:rsidR="000B389E" w:rsidRPr="000B389E" w:rsidRDefault="000B389E" w:rsidP="001E1202">
            <w:pPr>
              <w:jc w:val="both"/>
              <w:rPr>
                <w:szCs w:val="24"/>
              </w:rPr>
            </w:pPr>
            <w:r w:rsidRPr="000B389E">
              <w:rPr>
                <w:rFonts w:cs="Arial"/>
                <w:szCs w:val="24"/>
              </w:rPr>
              <w:t>Linking to wider work and timescale with HEIW.</w:t>
            </w:r>
          </w:p>
        </w:tc>
        <w:tc>
          <w:tcPr>
            <w:tcW w:w="2254" w:type="dxa"/>
            <w:vMerge w:val="restart"/>
            <w:tcBorders>
              <w:top w:val="single" w:sz="4" w:space="0" w:color="auto"/>
            </w:tcBorders>
            <w:vAlign w:val="center"/>
          </w:tcPr>
          <w:p w14:paraId="03B4CC84" w14:textId="0B54354C" w:rsidR="000B389E" w:rsidRDefault="000B389E" w:rsidP="00D21639">
            <w:pPr>
              <w:jc w:val="center"/>
            </w:pPr>
            <w:r w:rsidRPr="00387B11">
              <w:rPr>
                <w:color w:val="FF0000"/>
              </w:rPr>
              <w:t>Request for Board to close action</w:t>
            </w:r>
            <w:r w:rsidR="00D21639">
              <w:rPr>
                <w:color w:val="FF0000"/>
              </w:rPr>
              <w:t>s</w:t>
            </w:r>
          </w:p>
        </w:tc>
      </w:tr>
      <w:tr w:rsidR="000B389E" w14:paraId="3981A865" w14:textId="77777777" w:rsidTr="000B389E">
        <w:tc>
          <w:tcPr>
            <w:tcW w:w="2254" w:type="dxa"/>
            <w:vMerge/>
            <w:vAlign w:val="center"/>
          </w:tcPr>
          <w:p w14:paraId="5E7A371E" w14:textId="77777777" w:rsidR="000B389E" w:rsidRDefault="000B389E" w:rsidP="000B389E">
            <w:pPr>
              <w:jc w:val="center"/>
            </w:pPr>
          </w:p>
        </w:tc>
        <w:tc>
          <w:tcPr>
            <w:tcW w:w="576" w:type="dxa"/>
            <w:vAlign w:val="center"/>
          </w:tcPr>
          <w:p w14:paraId="11A1547D" w14:textId="77777777" w:rsidR="000B389E" w:rsidRDefault="000B389E" w:rsidP="000B389E">
            <w:pPr>
              <w:jc w:val="center"/>
            </w:pPr>
            <w:r w:rsidRPr="00297AE0">
              <w:rPr>
                <w:rFonts w:ascii="Arial" w:hAnsi="Arial" w:cs="Arial"/>
              </w:rPr>
              <w:t>16</w:t>
            </w:r>
          </w:p>
        </w:tc>
        <w:tc>
          <w:tcPr>
            <w:tcW w:w="3932" w:type="dxa"/>
          </w:tcPr>
          <w:p w14:paraId="75330A09" w14:textId="77777777" w:rsidR="000B389E" w:rsidRPr="000B389E" w:rsidRDefault="000B389E" w:rsidP="001E1202">
            <w:pPr>
              <w:jc w:val="both"/>
              <w:rPr>
                <w:szCs w:val="24"/>
              </w:rPr>
            </w:pPr>
            <w:r w:rsidRPr="000B389E">
              <w:rPr>
                <w:rFonts w:cs="Arial"/>
                <w:szCs w:val="24"/>
              </w:rPr>
              <w:t>Revise My Contributions Policy</w:t>
            </w:r>
          </w:p>
        </w:tc>
        <w:tc>
          <w:tcPr>
            <w:tcW w:w="2254" w:type="dxa"/>
            <w:vMerge/>
          </w:tcPr>
          <w:p w14:paraId="4214F82D" w14:textId="1A91EBF5" w:rsidR="000B389E" w:rsidRDefault="000B389E" w:rsidP="001E1202">
            <w:pPr>
              <w:jc w:val="both"/>
            </w:pPr>
          </w:p>
        </w:tc>
      </w:tr>
      <w:tr w:rsidR="000B389E" w14:paraId="5EE4232C" w14:textId="77777777" w:rsidTr="000B389E">
        <w:tc>
          <w:tcPr>
            <w:tcW w:w="2254" w:type="dxa"/>
            <w:vAlign w:val="center"/>
          </w:tcPr>
          <w:p w14:paraId="3E26008F" w14:textId="33F1B34C" w:rsidR="000B389E" w:rsidRDefault="000B389E" w:rsidP="000B389E">
            <w:pPr>
              <w:jc w:val="center"/>
            </w:pPr>
            <w:r>
              <w:t>Risk 6</w:t>
            </w:r>
          </w:p>
        </w:tc>
        <w:tc>
          <w:tcPr>
            <w:tcW w:w="576" w:type="dxa"/>
            <w:vAlign w:val="center"/>
          </w:tcPr>
          <w:p w14:paraId="52F04DEE" w14:textId="5555B3A9" w:rsidR="000B389E" w:rsidRDefault="000B389E" w:rsidP="000B389E">
            <w:pPr>
              <w:jc w:val="center"/>
            </w:pPr>
            <w:r>
              <w:rPr>
                <w:rFonts w:ascii="Arial" w:hAnsi="Arial" w:cs="Arial"/>
                <w:b/>
              </w:rPr>
              <w:t>7</w:t>
            </w:r>
          </w:p>
        </w:tc>
        <w:tc>
          <w:tcPr>
            <w:tcW w:w="3932" w:type="dxa"/>
            <w:vAlign w:val="center"/>
          </w:tcPr>
          <w:p w14:paraId="67EA9773" w14:textId="53DA3E6C" w:rsidR="000B389E" w:rsidRPr="000B389E" w:rsidRDefault="000B389E" w:rsidP="000B389E">
            <w:pPr>
              <w:jc w:val="both"/>
              <w:rPr>
                <w:szCs w:val="24"/>
              </w:rPr>
            </w:pPr>
            <w:r w:rsidRPr="000B389E">
              <w:rPr>
                <w:szCs w:val="24"/>
              </w:rPr>
              <w:t>Development of a resourced organisational delivery plan for next 12 months</w:t>
            </w:r>
          </w:p>
        </w:tc>
        <w:tc>
          <w:tcPr>
            <w:tcW w:w="2254" w:type="dxa"/>
            <w:vMerge/>
          </w:tcPr>
          <w:p w14:paraId="2DC0F783" w14:textId="77777777" w:rsidR="000B389E" w:rsidRDefault="000B389E" w:rsidP="000B389E">
            <w:pPr>
              <w:jc w:val="both"/>
            </w:pPr>
          </w:p>
        </w:tc>
      </w:tr>
      <w:tr w:rsidR="000B389E" w14:paraId="3C48A904" w14:textId="77777777" w:rsidTr="000B389E">
        <w:tc>
          <w:tcPr>
            <w:tcW w:w="2254" w:type="dxa"/>
            <w:vAlign w:val="center"/>
          </w:tcPr>
          <w:p w14:paraId="76CB2388" w14:textId="67B30B46" w:rsidR="000B389E" w:rsidRDefault="000B389E" w:rsidP="000B389E">
            <w:pPr>
              <w:jc w:val="center"/>
            </w:pPr>
            <w:r>
              <w:t>Risk 8</w:t>
            </w:r>
          </w:p>
        </w:tc>
        <w:tc>
          <w:tcPr>
            <w:tcW w:w="576" w:type="dxa"/>
            <w:vAlign w:val="center"/>
          </w:tcPr>
          <w:p w14:paraId="6A1F0FEA" w14:textId="178E8AB4" w:rsidR="000B389E" w:rsidRDefault="000B389E" w:rsidP="000B389E">
            <w:pPr>
              <w:jc w:val="center"/>
              <w:rPr>
                <w:rFonts w:ascii="Arial" w:hAnsi="Arial" w:cs="Arial"/>
                <w:b/>
              </w:rPr>
            </w:pPr>
            <w:r>
              <w:rPr>
                <w:rFonts w:cs="Arial"/>
                <w:sz w:val="22"/>
              </w:rPr>
              <w:t>5</w:t>
            </w:r>
          </w:p>
        </w:tc>
        <w:tc>
          <w:tcPr>
            <w:tcW w:w="3932" w:type="dxa"/>
            <w:vAlign w:val="center"/>
          </w:tcPr>
          <w:p w14:paraId="44B2796C" w14:textId="526BE02D" w:rsidR="000B389E" w:rsidRPr="000B389E" w:rsidRDefault="000B389E" w:rsidP="000B389E">
            <w:pPr>
              <w:jc w:val="both"/>
              <w:rPr>
                <w:szCs w:val="24"/>
              </w:rPr>
            </w:pPr>
            <w:r w:rsidRPr="000B389E">
              <w:rPr>
                <w:rFonts w:cs="Arial"/>
                <w:szCs w:val="24"/>
              </w:rPr>
              <w:t xml:space="preserve">Develop and approve a revised Operational Plan </w:t>
            </w:r>
          </w:p>
        </w:tc>
        <w:tc>
          <w:tcPr>
            <w:tcW w:w="2254" w:type="dxa"/>
            <w:vMerge/>
          </w:tcPr>
          <w:p w14:paraId="0DE8EFEA" w14:textId="77777777" w:rsidR="000B389E" w:rsidRDefault="000B389E" w:rsidP="000B389E">
            <w:pPr>
              <w:jc w:val="both"/>
            </w:pPr>
          </w:p>
        </w:tc>
      </w:tr>
    </w:tbl>
    <w:p w14:paraId="6B7A2689" w14:textId="77777777" w:rsidR="000B389E" w:rsidRDefault="000B389E" w:rsidP="000B389E">
      <w:pPr>
        <w:jc w:val="both"/>
        <w:rPr>
          <w:b/>
        </w:rPr>
      </w:pPr>
    </w:p>
    <w:p w14:paraId="1AD2307A" w14:textId="50FF1817" w:rsidR="000B389E" w:rsidRDefault="000B389E" w:rsidP="000B389E">
      <w:pPr>
        <w:jc w:val="both"/>
        <w:rPr>
          <w:b/>
        </w:rPr>
      </w:pPr>
      <w:r w:rsidRPr="00354383">
        <w:rPr>
          <w:b/>
        </w:rPr>
        <w:t xml:space="preserve">Recommendation: </w:t>
      </w:r>
      <w:r>
        <w:rPr>
          <w:b/>
        </w:rPr>
        <w:t>that the Board</w:t>
      </w:r>
      <w:r w:rsidRPr="00354383">
        <w:rPr>
          <w:b/>
        </w:rPr>
        <w:t xml:space="preserve"> </w:t>
      </w:r>
      <w:r>
        <w:rPr>
          <w:b/>
        </w:rPr>
        <w:t>approve the closure of the actions listed in table 2 above.</w:t>
      </w:r>
    </w:p>
    <w:p w14:paraId="76F7ADAC" w14:textId="77777777" w:rsidR="000B389E" w:rsidRDefault="000B389E" w:rsidP="00493ED8">
      <w:pPr>
        <w:jc w:val="both"/>
      </w:pPr>
    </w:p>
    <w:p w14:paraId="786E57FD" w14:textId="3ABD98CA" w:rsidR="00250C06" w:rsidRDefault="00250C06" w:rsidP="00493ED8">
      <w:pPr>
        <w:jc w:val="both"/>
      </w:pPr>
    </w:p>
    <w:p w14:paraId="169B48FD" w14:textId="5890C510" w:rsidR="00E14BFA" w:rsidRDefault="00E14BFA" w:rsidP="00493ED8">
      <w:pPr>
        <w:jc w:val="both"/>
        <w:rPr>
          <w:b/>
        </w:rPr>
      </w:pPr>
      <w:r w:rsidRPr="00E14BFA">
        <w:rPr>
          <w:b/>
        </w:rPr>
        <w:t>Quality, Safety and Improvement Committee - Risk 2 and 3</w:t>
      </w:r>
    </w:p>
    <w:p w14:paraId="44E4D359" w14:textId="5C4761CE" w:rsidR="00E14BFA" w:rsidRDefault="00E14BFA" w:rsidP="00493ED8">
      <w:pPr>
        <w:jc w:val="both"/>
        <w:rPr>
          <w:b/>
        </w:rPr>
      </w:pPr>
    </w:p>
    <w:p w14:paraId="398008C8" w14:textId="0A58ED6C" w:rsidR="00E14BFA" w:rsidRPr="00E14BFA" w:rsidRDefault="00E14BFA" w:rsidP="00493ED8">
      <w:pPr>
        <w:jc w:val="both"/>
      </w:pPr>
      <w:r>
        <w:t xml:space="preserve">The Quality, Safety and Improvement Committee considered the Strategic Risk Register (Risk 2 and 3) on 17 November 2020. The approved changes are noted in the updated version attached. </w:t>
      </w:r>
    </w:p>
    <w:p w14:paraId="2DE80411" w14:textId="0DF0E1E7" w:rsidR="00250C06" w:rsidRDefault="00250C06" w:rsidP="00493ED8">
      <w:pPr>
        <w:jc w:val="both"/>
      </w:pPr>
    </w:p>
    <w:p w14:paraId="6D1701CE" w14:textId="5504B5D9" w:rsidR="00250C06" w:rsidRDefault="00E14BFA" w:rsidP="00493ED8">
      <w:pPr>
        <w:jc w:val="both"/>
      </w:pPr>
      <w:r>
        <w:rPr>
          <w:b/>
        </w:rPr>
        <w:t>Recommendation – that the Board note that Risk 2 and Risk 3 ha</w:t>
      </w:r>
      <w:r w:rsidR="00950738">
        <w:rPr>
          <w:b/>
        </w:rPr>
        <w:t xml:space="preserve">ve </w:t>
      </w:r>
      <w:r>
        <w:rPr>
          <w:b/>
        </w:rPr>
        <w:t xml:space="preserve">been considered by the </w:t>
      </w:r>
      <w:r w:rsidRPr="00354383">
        <w:rPr>
          <w:b/>
        </w:rPr>
        <w:t>Q</w:t>
      </w:r>
      <w:r>
        <w:rPr>
          <w:b/>
        </w:rPr>
        <w:t>uality, Safety and Improvement Committee at its meeting on 17 November, and changes to implementations were approved</w:t>
      </w:r>
      <w:r w:rsidRPr="00354383">
        <w:rPr>
          <w:b/>
        </w:rPr>
        <w:t>.</w:t>
      </w:r>
    </w:p>
    <w:p w14:paraId="3385FAB5" w14:textId="55BBEFB2" w:rsidR="00595402" w:rsidRDefault="00595402" w:rsidP="00493ED8">
      <w:pPr>
        <w:jc w:val="both"/>
      </w:pPr>
    </w:p>
    <w:p w14:paraId="7358A629" w14:textId="22BDC50D" w:rsidR="000245FC" w:rsidRDefault="000245FC" w:rsidP="0021392D">
      <w:pPr>
        <w:jc w:val="both"/>
      </w:pPr>
    </w:p>
    <w:p w14:paraId="742AB06D" w14:textId="6BE9E1E3" w:rsidR="00D00903" w:rsidRPr="001C60B5" w:rsidRDefault="00D00903" w:rsidP="00D00903">
      <w:pPr>
        <w:pStyle w:val="Heading1"/>
        <w:numPr>
          <w:ilvl w:val="0"/>
          <w:numId w:val="2"/>
        </w:numPr>
        <w:spacing w:before="0"/>
        <w:rPr>
          <w:szCs w:val="24"/>
        </w:rPr>
      </w:pPr>
      <w:r w:rsidRPr="001C60B5">
        <w:rPr>
          <w:szCs w:val="24"/>
        </w:rPr>
        <w:t>Recommendation</w:t>
      </w:r>
      <w:r w:rsidR="00AC6B8F">
        <w:rPr>
          <w:szCs w:val="24"/>
        </w:rPr>
        <w:t>s</w:t>
      </w:r>
      <w:bookmarkStart w:id="5" w:name="_GoBack"/>
      <w:bookmarkEnd w:id="5"/>
    </w:p>
    <w:p w14:paraId="24BF3B03" w14:textId="29EDA43F" w:rsidR="00D00903" w:rsidRDefault="00D00903" w:rsidP="00D00903">
      <w:pPr>
        <w:rPr>
          <w:szCs w:val="24"/>
        </w:rPr>
      </w:pPr>
    </w:p>
    <w:p w14:paraId="0C5EFAAF" w14:textId="77777777" w:rsidR="000B389E" w:rsidRPr="000B389E" w:rsidRDefault="000B389E" w:rsidP="00D00903">
      <w:r w:rsidRPr="000B389E">
        <w:t>That the Board:</w:t>
      </w:r>
    </w:p>
    <w:p w14:paraId="1B9F9A61" w14:textId="77777777" w:rsidR="000B389E" w:rsidRPr="000B389E" w:rsidRDefault="000B389E" w:rsidP="00D00903"/>
    <w:p w14:paraId="094E40A1" w14:textId="77777777" w:rsidR="00D21639" w:rsidRDefault="00D21639" w:rsidP="00D21639">
      <w:pPr>
        <w:pStyle w:val="ListParagraph"/>
        <w:numPr>
          <w:ilvl w:val="0"/>
          <w:numId w:val="31"/>
        </w:numPr>
        <w:jc w:val="both"/>
      </w:pPr>
      <w:r w:rsidRPr="00B1379C">
        <w:rPr>
          <w:b/>
        </w:rPr>
        <w:t xml:space="preserve">Consider </w:t>
      </w:r>
      <w:r>
        <w:t>the updates provided on the Strategic Risk Register;</w:t>
      </w:r>
    </w:p>
    <w:p w14:paraId="1A121684" w14:textId="77777777" w:rsidR="00D21639" w:rsidRPr="000B389E" w:rsidRDefault="00D21639" w:rsidP="00D21639">
      <w:pPr>
        <w:pStyle w:val="ListParagraph"/>
        <w:numPr>
          <w:ilvl w:val="0"/>
          <w:numId w:val="34"/>
        </w:numPr>
        <w:rPr>
          <w:szCs w:val="24"/>
        </w:rPr>
      </w:pPr>
      <w:r>
        <w:rPr>
          <w:b/>
        </w:rPr>
        <w:lastRenderedPageBreak/>
        <w:t xml:space="preserve">Approve </w:t>
      </w:r>
      <w:r w:rsidRPr="000B389E">
        <w:t xml:space="preserve">the reinstate the Innovation Risk (as SRR risk 9), </w:t>
      </w:r>
      <w:r>
        <w:t>noting it will be reconsidered in 2021;</w:t>
      </w:r>
    </w:p>
    <w:p w14:paraId="42F67801" w14:textId="77777777" w:rsidR="00D21639" w:rsidRPr="000B389E" w:rsidRDefault="00D21639" w:rsidP="00D21639">
      <w:pPr>
        <w:pStyle w:val="ListParagraph"/>
        <w:numPr>
          <w:ilvl w:val="0"/>
          <w:numId w:val="34"/>
        </w:numPr>
        <w:rPr>
          <w:szCs w:val="24"/>
        </w:rPr>
      </w:pPr>
      <w:r w:rsidRPr="000B389E">
        <w:rPr>
          <w:b/>
        </w:rPr>
        <w:t>Approve</w:t>
      </w:r>
      <w:r w:rsidRPr="000B389E">
        <w:t xml:space="preserve"> the changes to deadlines in table 1</w:t>
      </w:r>
      <w:r>
        <w:t>;</w:t>
      </w:r>
    </w:p>
    <w:p w14:paraId="0466A518" w14:textId="77777777" w:rsidR="00D21639" w:rsidRPr="000B389E" w:rsidRDefault="00D21639" w:rsidP="00D21639">
      <w:pPr>
        <w:pStyle w:val="ListParagraph"/>
        <w:numPr>
          <w:ilvl w:val="0"/>
          <w:numId w:val="34"/>
        </w:numPr>
        <w:rPr>
          <w:szCs w:val="24"/>
        </w:rPr>
      </w:pPr>
      <w:r w:rsidRPr="000B389E">
        <w:rPr>
          <w:b/>
        </w:rPr>
        <w:t>Approve</w:t>
      </w:r>
      <w:r w:rsidRPr="000B389E">
        <w:t xml:space="preserve"> the closure of</w:t>
      </w:r>
      <w:r>
        <w:t xml:space="preserve"> the actions listed in table 2;</w:t>
      </w:r>
    </w:p>
    <w:p w14:paraId="727FAD51" w14:textId="70D83E51" w:rsidR="000B389E" w:rsidRPr="000B389E" w:rsidRDefault="00D21639" w:rsidP="00D21639">
      <w:pPr>
        <w:pStyle w:val="ListParagraph"/>
        <w:numPr>
          <w:ilvl w:val="0"/>
          <w:numId w:val="31"/>
        </w:numPr>
        <w:jc w:val="both"/>
        <w:rPr>
          <w:szCs w:val="24"/>
        </w:rPr>
      </w:pPr>
      <w:r w:rsidRPr="000B389E">
        <w:rPr>
          <w:b/>
        </w:rPr>
        <w:t>Note</w:t>
      </w:r>
      <w:r w:rsidRPr="000B389E">
        <w:t xml:space="preserve"> that </w:t>
      </w:r>
      <w:proofErr w:type="gramStart"/>
      <w:r w:rsidRPr="000B389E">
        <w:t>Risk 2 and Risk 3 have been considered by the Quality, Safety and Improvement Committee</w:t>
      </w:r>
      <w:proofErr w:type="gramEnd"/>
      <w:r w:rsidRPr="000B389E">
        <w:t xml:space="preserve"> at its meeting on 17 November, and changes to implementations were approved.</w:t>
      </w:r>
    </w:p>
    <w:sectPr w:rsidR="000B389E" w:rsidRPr="000B389E" w:rsidSect="000245F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196DA" w14:textId="77777777" w:rsidR="008615ED" w:rsidRDefault="008615ED" w:rsidP="00497F39">
      <w:r>
        <w:separator/>
      </w:r>
    </w:p>
  </w:endnote>
  <w:endnote w:type="continuationSeparator" w:id="0">
    <w:p w14:paraId="45DB2805" w14:textId="77777777" w:rsidR="008615ED" w:rsidRDefault="008615ED"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Device Font 10cpi"/>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8"/>
      <w:gridCol w:w="2995"/>
    </w:tblGrid>
    <w:tr w:rsidR="00BD7C30" w:rsidRPr="00511AFF" w14:paraId="604D5925" w14:textId="77777777" w:rsidTr="003B7361">
      <w:tc>
        <w:tcPr>
          <w:tcW w:w="3100" w:type="dxa"/>
        </w:tcPr>
        <w:p w14:paraId="60AF23A6" w14:textId="715D021E" w:rsidR="00BD7C30" w:rsidRPr="00511AFF" w:rsidRDefault="00BD7C30" w:rsidP="00FA7D2E">
          <w:pPr>
            <w:pStyle w:val="Footer"/>
            <w:tabs>
              <w:tab w:val="right" w:pos="9090"/>
            </w:tabs>
            <w:jc w:val="center"/>
            <w:rPr>
              <w:b/>
              <w:sz w:val="20"/>
            </w:rPr>
          </w:pPr>
          <w:r w:rsidRPr="00511AFF">
            <w:rPr>
              <w:b/>
              <w:sz w:val="20"/>
            </w:rPr>
            <w:t xml:space="preserve">Date: </w:t>
          </w:r>
          <w:r>
            <w:rPr>
              <w:sz w:val="20"/>
            </w:rPr>
            <w:t xml:space="preserve"> </w:t>
          </w:r>
          <w:r w:rsidR="00D21639">
            <w:rPr>
              <w:sz w:val="20"/>
            </w:rPr>
            <w:t xml:space="preserve">19 </w:t>
          </w:r>
          <w:r w:rsidR="00FA7D2E">
            <w:rPr>
              <w:sz w:val="20"/>
            </w:rPr>
            <w:t>November</w:t>
          </w:r>
          <w:r w:rsidR="00354383">
            <w:rPr>
              <w:sz w:val="20"/>
            </w:rPr>
            <w:t xml:space="preserve"> 2020</w:t>
          </w:r>
        </w:p>
      </w:tc>
      <w:tc>
        <w:tcPr>
          <w:tcW w:w="3100" w:type="dxa"/>
        </w:tcPr>
        <w:p w14:paraId="39F775CA" w14:textId="26ACF0C6" w:rsidR="00BD7C30" w:rsidRPr="00511AFF" w:rsidRDefault="00BD7C30" w:rsidP="00354383">
          <w:pPr>
            <w:pStyle w:val="Footer"/>
            <w:tabs>
              <w:tab w:val="center" w:pos="1433"/>
              <w:tab w:val="right" w:pos="2866"/>
              <w:tab w:val="right" w:pos="9090"/>
            </w:tabs>
            <w:jc w:val="center"/>
            <w:rPr>
              <w:b/>
              <w:sz w:val="20"/>
            </w:rPr>
          </w:pPr>
          <w:r w:rsidRPr="00511AFF">
            <w:rPr>
              <w:b/>
              <w:sz w:val="20"/>
            </w:rPr>
            <w:t>Version:</w:t>
          </w:r>
          <w:r>
            <w:rPr>
              <w:sz w:val="20"/>
            </w:rPr>
            <w:t xml:space="preserve"> </w:t>
          </w:r>
          <w:r w:rsidR="00354383">
            <w:rPr>
              <w:sz w:val="20"/>
            </w:rPr>
            <w:t>1</w:t>
          </w:r>
        </w:p>
      </w:tc>
      <w:tc>
        <w:tcPr>
          <w:tcW w:w="3101" w:type="dxa"/>
        </w:tcPr>
        <w:p w14:paraId="656EA218" w14:textId="10F24D88" w:rsidR="00BD7C30" w:rsidRPr="00511AFF" w:rsidRDefault="00BD7C30"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AC6B8F">
            <w:rPr>
              <w:rStyle w:val="PageNumber"/>
              <w:noProof/>
              <w:sz w:val="20"/>
            </w:rPr>
            <w:t>4</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AC6B8F">
            <w:rPr>
              <w:rStyle w:val="PageNumber"/>
              <w:noProof/>
              <w:sz w:val="20"/>
            </w:rPr>
            <w:t>5</w:t>
          </w:r>
          <w:r w:rsidRPr="00511AFF">
            <w:rPr>
              <w:rStyle w:val="PageNumber"/>
              <w:sz w:val="20"/>
            </w:rPr>
            <w:fldChar w:fldCharType="end"/>
          </w:r>
        </w:p>
      </w:tc>
    </w:tr>
  </w:tbl>
  <w:p w14:paraId="1261C5E6" w14:textId="77777777" w:rsidR="00BD7C30" w:rsidRPr="00FA7943" w:rsidRDefault="00BD7C3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A0B59" w14:textId="77777777" w:rsidR="008615ED" w:rsidRDefault="008615ED" w:rsidP="00497F39">
      <w:r>
        <w:separator/>
      </w:r>
    </w:p>
  </w:footnote>
  <w:footnote w:type="continuationSeparator" w:id="0">
    <w:p w14:paraId="2DEFDD0C" w14:textId="77777777" w:rsidR="008615ED" w:rsidRDefault="008615ED"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70DF"/>
    <w:multiLevelType w:val="hybridMultilevel"/>
    <w:tmpl w:val="C664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14391B"/>
    <w:multiLevelType w:val="hybridMultilevel"/>
    <w:tmpl w:val="092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46D4B"/>
    <w:multiLevelType w:val="hybridMultilevel"/>
    <w:tmpl w:val="4C28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7A0722"/>
    <w:multiLevelType w:val="hybridMultilevel"/>
    <w:tmpl w:val="A7BE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E6F2F"/>
    <w:multiLevelType w:val="hybridMultilevel"/>
    <w:tmpl w:val="79E8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4107C"/>
    <w:multiLevelType w:val="hybridMultilevel"/>
    <w:tmpl w:val="296A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396423A"/>
    <w:multiLevelType w:val="hybridMultilevel"/>
    <w:tmpl w:val="E010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F286A"/>
    <w:multiLevelType w:val="multilevel"/>
    <w:tmpl w:val="331E580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B0129D0"/>
    <w:multiLevelType w:val="hybridMultilevel"/>
    <w:tmpl w:val="79C88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DF2CC8"/>
    <w:multiLevelType w:val="hybridMultilevel"/>
    <w:tmpl w:val="FDA2E0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34F8F"/>
    <w:multiLevelType w:val="hybridMultilevel"/>
    <w:tmpl w:val="E48C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E791A"/>
    <w:multiLevelType w:val="hybridMultilevel"/>
    <w:tmpl w:val="5E6A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1" w15:restartNumberingAfterBreak="0">
    <w:nsid w:val="76B25248"/>
    <w:multiLevelType w:val="hybridMultilevel"/>
    <w:tmpl w:val="BECC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32274"/>
    <w:multiLevelType w:val="hybridMultilevel"/>
    <w:tmpl w:val="DC7A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10"/>
  </w:num>
  <w:num w:numId="3">
    <w:abstractNumId w:val="33"/>
  </w:num>
  <w:num w:numId="4">
    <w:abstractNumId w:val="21"/>
  </w:num>
  <w:num w:numId="5">
    <w:abstractNumId w:val="0"/>
  </w:num>
  <w:num w:numId="6">
    <w:abstractNumId w:val="9"/>
  </w:num>
  <w:num w:numId="7">
    <w:abstractNumId w:val="8"/>
  </w:num>
  <w:num w:numId="8">
    <w:abstractNumId w:val="20"/>
  </w:num>
  <w:num w:numId="9">
    <w:abstractNumId w:val="23"/>
  </w:num>
  <w:num w:numId="10">
    <w:abstractNumId w:val="7"/>
  </w:num>
  <w:num w:numId="11">
    <w:abstractNumId w:val="25"/>
  </w:num>
  <w:num w:numId="12">
    <w:abstractNumId w:val="4"/>
  </w:num>
  <w:num w:numId="13">
    <w:abstractNumId w:val="13"/>
  </w:num>
  <w:num w:numId="14">
    <w:abstractNumId w:val="16"/>
  </w:num>
  <w:num w:numId="15">
    <w:abstractNumId w:val="2"/>
  </w:num>
  <w:num w:numId="16">
    <w:abstractNumId w:val="30"/>
  </w:num>
  <w:num w:numId="17">
    <w:abstractNumId w:val="22"/>
  </w:num>
  <w:num w:numId="18">
    <w:abstractNumId w:val="28"/>
  </w:num>
  <w:num w:numId="19">
    <w:abstractNumId w:val="27"/>
  </w:num>
  <w:num w:numId="20">
    <w:abstractNumId w:val="1"/>
  </w:num>
  <w:num w:numId="21">
    <w:abstractNumId w:val="15"/>
  </w:num>
  <w:num w:numId="22">
    <w:abstractNumId w:val="24"/>
  </w:num>
  <w:num w:numId="23">
    <w:abstractNumId w:val="31"/>
  </w:num>
  <w:num w:numId="24">
    <w:abstractNumId w:val="18"/>
  </w:num>
  <w:num w:numId="25">
    <w:abstractNumId w:val="26"/>
  </w:num>
  <w:num w:numId="26">
    <w:abstractNumId w:val="19"/>
  </w:num>
  <w:num w:numId="27">
    <w:abstractNumId w:val="32"/>
  </w:num>
  <w:num w:numId="28">
    <w:abstractNumId w:val="17"/>
  </w:num>
  <w:num w:numId="29">
    <w:abstractNumId w:val="11"/>
  </w:num>
  <w:num w:numId="30">
    <w:abstractNumId w:val="12"/>
  </w:num>
  <w:num w:numId="31">
    <w:abstractNumId w:val="3"/>
  </w:num>
  <w:num w:numId="32">
    <w:abstractNumId w:val="6"/>
  </w:num>
  <w:num w:numId="33">
    <w:abstractNumId w:val="2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07C61"/>
    <w:rsid w:val="00013E10"/>
    <w:rsid w:val="000245FC"/>
    <w:rsid w:val="00030476"/>
    <w:rsid w:val="00030D54"/>
    <w:rsid w:val="00051CDC"/>
    <w:rsid w:val="00051E74"/>
    <w:rsid w:val="0005502D"/>
    <w:rsid w:val="00057CFB"/>
    <w:rsid w:val="00060D8C"/>
    <w:rsid w:val="0006178B"/>
    <w:rsid w:val="00076514"/>
    <w:rsid w:val="00076B94"/>
    <w:rsid w:val="00097ACD"/>
    <w:rsid w:val="000B306B"/>
    <w:rsid w:val="000B389E"/>
    <w:rsid w:val="000D1DCE"/>
    <w:rsid w:val="000F46F4"/>
    <w:rsid w:val="000F5A72"/>
    <w:rsid w:val="00102EC6"/>
    <w:rsid w:val="001107EE"/>
    <w:rsid w:val="00111402"/>
    <w:rsid w:val="00121679"/>
    <w:rsid w:val="00123FD2"/>
    <w:rsid w:val="00126327"/>
    <w:rsid w:val="001272F6"/>
    <w:rsid w:val="0013075E"/>
    <w:rsid w:val="00133373"/>
    <w:rsid w:val="00133C6A"/>
    <w:rsid w:val="00134C1B"/>
    <w:rsid w:val="00134F8A"/>
    <w:rsid w:val="00136E31"/>
    <w:rsid w:val="00141FC5"/>
    <w:rsid w:val="001540EA"/>
    <w:rsid w:val="00160AD0"/>
    <w:rsid w:val="001644A9"/>
    <w:rsid w:val="001662A8"/>
    <w:rsid w:val="0018627E"/>
    <w:rsid w:val="001B2A97"/>
    <w:rsid w:val="001B3428"/>
    <w:rsid w:val="001C02C6"/>
    <w:rsid w:val="001C305C"/>
    <w:rsid w:val="001C4A5C"/>
    <w:rsid w:val="001C60B5"/>
    <w:rsid w:val="001D7426"/>
    <w:rsid w:val="001E5B78"/>
    <w:rsid w:val="001F0517"/>
    <w:rsid w:val="001F0F61"/>
    <w:rsid w:val="001F14C9"/>
    <w:rsid w:val="00202AB8"/>
    <w:rsid w:val="00211B9D"/>
    <w:rsid w:val="0021392D"/>
    <w:rsid w:val="00214BA4"/>
    <w:rsid w:val="00216100"/>
    <w:rsid w:val="00220693"/>
    <w:rsid w:val="0022713F"/>
    <w:rsid w:val="00232A41"/>
    <w:rsid w:val="00250088"/>
    <w:rsid w:val="00250C06"/>
    <w:rsid w:val="00257CD2"/>
    <w:rsid w:val="002624F4"/>
    <w:rsid w:val="00273D26"/>
    <w:rsid w:val="00295197"/>
    <w:rsid w:val="002A30DA"/>
    <w:rsid w:val="002B0BC9"/>
    <w:rsid w:val="002B712E"/>
    <w:rsid w:val="002C0A83"/>
    <w:rsid w:val="002C170B"/>
    <w:rsid w:val="002D11B1"/>
    <w:rsid w:val="002D4533"/>
    <w:rsid w:val="002E6258"/>
    <w:rsid w:val="003018F5"/>
    <w:rsid w:val="00302D6C"/>
    <w:rsid w:val="00304FD0"/>
    <w:rsid w:val="00305721"/>
    <w:rsid w:val="00322D2E"/>
    <w:rsid w:val="00326EC6"/>
    <w:rsid w:val="00337864"/>
    <w:rsid w:val="00345CAF"/>
    <w:rsid w:val="003461AF"/>
    <w:rsid w:val="00354383"/>
    <w:rsid w:val="00354ACB"/>
    <w:rsid w:val="00371966"/>
    <w:rsid w:val="00375114"/>
    <w:rsid w:val="00387B11"/>
    <w:rsid w:val="00393FFB"/>
    <w:rsid w:val="003A0833"/>
    <w:rsid w:val="003A3414"/>
    <w:rsid w:val="003B40BB"/>
    <w:rsid w:val="003B7361"/>
    <w:rsid w:val="003B7B09"/>
    <w:rsid w:val="003C6952"/>
    <w:rsid w:val="003D0694"/>
    <w:rsid w:val="003D0D61"/>
    <w:rsid w:val="003D4DC8"/>
    <w:rsid w:val="003E19F6"/>
    <w:rsid w:val="003F3D59"/>
    <w:rsid w:val="003F3E7F"/>
    <w:rsid w:val="0040037A"/>
    <w:rsid w:val="0040145B"/>
    <w:rsid w:val="00407604"/>
    <w:rsid w:val="00412323"/>
    <w:rsid w:val="00416C54"/>
    <w:rsid w:val="00427779"/>
    <w:rsid w:val="0043055E"/>
    <w:rsid w:val="004375CA"/>
    <w:rsid w:val="0046169C"/>
    <w:rsid w:val="00480353"/>
    <w:rsid w:val="00491C2F"/>
    <w:rsid w:val="00492E80"/>
    <w:rsid w:val="004939C2"/>
    <w:rsid w:val="00493ED8"/>
    <w:rsid w:val="0049701E"/>
    <w:rsid w:val="00497F39"/>
    <w:rsid w:val="004A4626"/>
    <w:rsid w:val="004A6253"/>
    <w:rsid w:val="004B31A5"/>
    <w:rsid w:val="004D632B"/>
    <w:rsid w:val="004D7408"/>
    <w:rsid w:val="004F24A1"/>
    <w:rsid w:val="00504A87"/>
    <w:rsid w:val="00506C55"/>
    <w:rsid w:val="005146DE"/>
    <w:rsid w:val="0051663F"/>
    <w:rsid w:val="00520428"/>
    <w:rsid w:val="0052328C"/>
    <w:rsid w:val="00536852"/>
    <w:rsid w:val="00536FA4"/>
    <w:rsid w:val="00544C9E"/>
    <w:rsid w:val="00554429"/>
    <w:rsid w:val="0055720E"/>
    <w:rsid w:val="00564789"/>
    <w:rsid w:val="005767ED"/>
    <w:rsid w:val="00577744"/>
    <w:rsid w:val="00590736"/>
    <w:rsid w:val="00595402"/>
    <w:rsid w:val="005A1556"/>
    <w:rsid w:val="005B1DAE"/>
    <w:rsid w:val="005B4E75"/>
    <w:rsid w:val="005C7D40"/>
    <w:rsid w:val="005D5FC4"/>
    <w:rsid w:val="005E1D38"/>
    <w:rsid w:val="005E1F73"/>
    <w:rsid w:val="005E33CB"/>
    <w:rsid w:val="005E380D"/>
    <w:rsid w:val="005F4303"/>
    <w:rsid w:val="00600233"/>
    <w:rsid w:val="00607476"/>
    <w:rsid w:val="00611958"/>
    <w:rsid w:val="006123A1"/>
    <w:rsid w:val="006310BB"/>
    <w:rsid w:val="0064025C"/>
    <w:rsid w:val="00647468"/>
    <w:rsid w:val="00657B25"/>
    <w:rsid w:val="00660772"/>
    <w:rsid w:val="00672175"/>
    <w:rsid w:val="00680248"/>
    <w:rsid w:val="00680CAE"/>
    <w:rsid w:val="0068275A"/>
    <w:rsid w:val="0068334E"/>
    <w:rsid w:val="00692E7C"/>
    <w:rsid w:val="0069767B"/>
    <w:rsid w:val="006C4A51"/>
    <w:rsid w:val="006F24E9"/>
    <w:rsid w:val="006F654D"/>
    <w:rsid w:val="007012CE"/>
    <w:rsid w:val="00712EDB"/>
    <w:rsid w:val="0071365D"/>
    <w:rsid w:val="00726F3D"/>
    <w:rsid w:val="00737008"/>
    <w:rsid w:val="007433A5"/>
    <w:rsid w:val="00744BE2"/>
    <w:rsid w:val="00752A5D"/>
    <w:rsid w:val="00754449"/>
    <w:rsid w:val="007623DA"/>
    <w:rsid w:val="00766105"/>
    <w:rsid w:val="007738C6"/>
    <w:rsid w:val="007774C7"/>
    <w:rsid w:val="00785226"/>
    <w:rsid w:val="007A47F5"/>
    <w:rsid w:val="007A4DE2"/>
    <w:rsid w:val="007A6BB4"/>
    <w:rsid w:val="007C12E8"/>
    <w:rsid w:val="007D01C9"/>
    <w:rsid w:val="007D03B8"/>
    <w:rsid w:val="007D04C7"/>
    <w:rsid w:val="007D79E4"/>
    <w:rsid w:val="007E45DA"/>
    <w:rsid w:val="007E4D1D"/>
    <w:rsid w:val="007E6BD1"/>
    <w:rsid w:val="007F7EA7"/>
    <w:rsid w:val="008036D5"/>
    <w:rsid w:val="00805FAF"/>
    <w:rsid w:val="00824D05"/>
    <w:rsid w:val="00841B4B"/>
    <w:rsid w:val="008524C0"/>
    <w:rsid w:val="00857182"/>
    <w:rsid w:val="0085781B"/>
    <w:rsid w:val="008615ED"/>
    <w:rsid w:val="008653E0"/>
    <w:rsid w:val="0087331D"/>
    <w:rsid w:val="00880111"/>
    <w:rsid w:val="008902AA"/>
    <w:rsid w:val="00890A9D"/>
    <w:rsid w:val="00893619"/>
    <w:rsid w:val="008A2D5F"/>
    <w:rsid w:val="008C12E0"/>
    <w:rsid w:val="008C745A"/>
    <w:rsid w:val="008C77DE"/>
    <w:rsid w:val="008D4CCD"/>
    <w:rsid w:val="008F1F7E"/>
    <w:rsid w:val="009053F5"/>
    <w:rsid w:val="00911572"/>
    <w:rsid w:val="00912C7B"/>
    <w:rsid w:val="00916053"/>
    <w:rsid w:val="00921F72"/>
    <w:rsid w:val="009233B4"/>
    <w:rsid w:val="00923A14"/>
    <w:rsid w:val="009303B6"/>
    <w:rsid w:val="009328E2"/>
    <w:rsid w:val="00945D8E"/>
    <w:rsid w:val="00950738"/>
    <w:rsid w:val="009566CA"/>
    <w:rsid w:val="00961E2C"/>
    <w:rsid w:val="00963AAC"/>
    <w:rsid w:val="00980587"/>
    <w:rsid w:val="00980F99"/>
    <w:rsid w:val="0098365C"/>
    <w:rsid w:val="009878C1"/>
    <w:rsid w:val="00987E54"/>
    <w:rsid w:val="00990D35"/>
    <w:rsid w:val="009B2519"/>
    <w:rsid w:val="009B4FBA"/>
    <w:rsid w:val="009C0B0C"/>
    <w:rsid w:val="009C30E1"/>
    <w:rsid w:val="009C7B94"/>
    <w:rsid w:val="009F7F6B"/>
    <w:rsid w:val="00A06B87"/>
    <w:rsid w:val="00A07C96"/>
    <w:rsid w:val="00A25B36"/>
    <w:rsid w:val="00A279F5"/>
    <w:rsid w:val="00A34009"/>
    <w:rsid w:val="00A3478C"/>
    <w:rsid w:val="00A435F1"/>
    <w:rsid w:val="00A44250"/>
    <w:rsid w:val="00A50D05"/>
    <w:rsid w:val="00A51128"/>
    <w:rsid w:val="00A5300C"/>
    <w:rsid w:val="00A54AFA"/>
    <w:rsid w:val="00A56D26"/>
    <w:rsid w:val="00A60C7E"/>
    <w:rsid w:val="00A60D6C"/>
    <w:rsid w:val="00A96979"/>
    <w:rsid w:val="00A97A41"/>
    <w:rsid w:val="00AA2A4F"/>
    <w:rsid w:val="00AB112A"/>
    <w:rsid w:val="00AC45EB"/>
    <w:rsid w:val="00AC4F08"/>
    <w:rsid w:val="00AC5841"/>
    <w:rsid w:val="00AC6B8F"/>
    <w:rsid w:val="00AD7227"/>
    <w:rsid w:val="00AE1AD9"/>
    <w:rsid w:val="00AE3D01"/>
    <w:rsid w:val="00AF3146"/>
    <w:rsid w:val="00AF3D62"/>
    <w:rsid w:val="00B00419"/>
    <w:rsid w:val="00B12B71"/>
    <w:rsid w:val="00B1379C"/>
    <w:rsid w:val="00B1672B"/>
    <w:rsid w:val="00B24D79"/>
    <w:rsid w:val="00B25DC7"/>
    <w:rsid w:val="00B25FF4"/>
    <w:rsid w:val="00B4586D"/>
    <w:rsid w:val="00B47936"/>
    <w:rsid w:val="00B509E3"/>
    <w:rsid w:val="00B52B29"/>
    <w:rsid w:val="00B538B8"/>
    <w:rsid w:val="00B60F36"/>
    <w:rsid w:val="00B80218"/>
    <w:rsid w:val="00B936DE"/>
    <w:rsid w:val="00B93B6F"/>
    <w:rsid w:val="00B94BB0"/>
    <w:rsid w:val="00BA041A"/>
    <w:rsid w:val="00BA1D15"/>
    <w:rsid w:val="00BA3E2A"/>
    <w:rsid w:val="00BB6C00"/>
    <w:rsid w:val="00BC39AE"/>
    <w:rsid w:val="00BC3A54"/>
    <w:rsid w:val="00BC5B9C"/>
    <w:rsid w:val="00BC68A0"/>
    <w:rsid w:val="00BD7C30"/>
    <w:rsid w:val="00BE200C"/>
    <w:rsid w:val="00BE6297"/>
    <w:rsid w:val="00BF3E39"/>
    <w:rsid w:val="00C027C1"/>
    <w:rsid w:val="00C034DF"/>
    <w:rsid w:val="00C0426C"/>
    <w:rsid w:val="00C05D9F"/>
    <w:rsid w:val="00C13A2C"/>
    <w:rsid w:val="00C1444B"/>
    <w:rsid w:val="00C17DDB"/>
    <w:rsid w:val="00C3021F"/>
    <w:rsid w:val="00C46E6D"/>
    <w:rsid w:val="00C500A8"/>
    <w:rsid w:val="00C632A6"/>
    <w:rsid w:val="00C633CE"/>
    <w:rsid w:val="00C87F23"/>
    <w:rsid w:val="00C9163D"/>
    <w:rsid w:val="00CA15A9"/>
    <w:rsid w:val="00CA4D3A"/>
    <w:rsid w:val="00CA4DA9"/>
    <w:rsid w:val="00CA5841"/>
    <w:rsid w:val="00CA7E0D"/>
    <w:rsid w:val="00CB0E6B"/>
    <w:rsid w:val="00CC764D"/>
    <w:rsid w:val="00CD6838"/>
    <w:rsid w:val="00CE21C7"/>
    <w:rsid w:val="00CE6807"/>
    <w:rsid w:val="00CE6EB8"/>
    <w:rsid w:val="00CF7674"/>
    <w:rsid w:val="00D0066F"/>
    <w:rsid w:val="00D00903"/>
    <w:rsid w:val="00D17A59"/>
    <w:rsid w:val="00D21639"/>
    <w:rsid w:val="00D25D84"/>
    <w:rsid w:val="00D26E48"/>
    <w:rsid w:val="00D33EE1"/>
    <w:rsid w:val="00D34F08"/>
    <w:rsid w:val="00D401EF"/>
    <w:rsid w:val="00D41503"/>
    <w:rsid w:val="00D45A01"/>
    <w:rsid w:val="00D47B18"/>
    <w:rsid w:val="00D55785"/>
    <w:rsid w:val="00D60F40"/>
    <w:rsid w:val="00D64BA8"/>
    <w:rsid w:val="00D713DC"/>
    <w:rsid w:val="00D74461"/>
    <w:rsid w:val="00D74CEB"/>
    <w:rsid w:val="00D769E3"/>
    <w:rsid w:val="00D87080"/>
    <w:rsid w:val="00DA2383"/>
    <w:rsid w:val="00DC594E"/>
    <w:rsid w:val="00DC6C8A"/>
    <w:rsid w:val="00DE7DF5"/>
    <w:rsid w:val="00E00163"/>
    <w:rsid w:val="00E01426"/>
    <w:rsid w:val="00E02A10"/>
    <w:rsid w:val="00E06325"/>
    <w:rsid w:val="00E07F66"/>
    <w:rsid w:val="00E11F44"/>
    <w:rsid w:val="00E14BFA"/>
    <w:rsid w:val="00E24001"/>
    <w:rsid w:val="00E263D4"/>
    <w:rsid w:val="00E2706F"/>
    <w:rsid w:val="00E30182"/>
    <w:rsid w:val="00E333F3"/>
    <w:rsid w:val="00E343B1"/>
    <w:rsid w:val="00E36FFA"/>
    <w:rsid w:val="00E371EA"/>
    <w:rsid w:val="00E37B54"/>
    <w:rsid w:val="00E4756A"/>
    <w:rsid w:val="00E56DBB"/>
    <w:rsid w:val="00E80015"/>
    <w:rsid w:val="00E805CD"/>
    <w:rsid w:val="00E85AE8"/>
    <w:rsid w:val="00E943AD"/>
    <w:rsid w:val="00E97882"/>
    <w:rsid w:val="00EA23FA"/>
    <w:rsid w:val="00EA4379"/>
    <w:rsid w:val="00EB0841"/>
    <w:rsid w:val="00EC6188"/>
    <w:rsid w:val="00EE1810"/>
    <w:rsid w:val="00EE7097"/>
    <w:rsid w:val="00EF229F"/>
    <w:rsid w:val="00F133B1"/>
    <w:rsid w:val="00F2582A"/>
    <w:rsid w:val="00F31C10"/>
    <w:rsid w:val="00F47896"/>
    <w:rsid w:val="00F479A1"/>
    <w:rsid w:val="00F528E6"/>
    <w:rsid w:val="00F90C79"/>
    <w:rsid w:val="00F90D42"/>
    <w:rsid w:val="00F95B15"/>
    <w:rsid w:val="00F97A35"/>
    <w:rsid w:val="00FA4F17"/>
    <w:rsid w:val="00FA62CB"/>
    <w:rsid w:val="00FA7943"/>
    <w:rsid w:val="00FA7D2E"/>
    <w:rsid w:val="00FB5433"/>
    <w:rsid w:val="00FB67EB"/>
    <w:rsid w:val="00FB7FDF"/>
    <w:rsid w:val="00FC2859"/>
    <w:rsid w:val="00FC7FAE"/>
    <w:rsid w:val="00FD1D43"/>
    <w:rsid w:val="00FF1936"/>
    <w:rsid w:val="00FF256C"/>
    <w:rsid w:val="00FF475B"/>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2C1AD"/>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ales.nhs.uk/governance-emanual/how-the-health-and-care-standards-are-st" TargetMode="Externa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Device Font 10cpi"/>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006813"/>
    <w:rsid w:val="00054280"/>
    <w:rsid w:val="000A53C6"/>
    <w:rsid w:val="0012307E"/>
    <w:rsid w:val="001F1FDC"/>
    <w:rsid w:val="002E06E4"/>
    <w:rsid w:val="00310C60"/>
    <w:rsid w:val="0045397F"/>
    <w:rsid w:val="004838BF"/>
    <w:rsid w:val="00517A66"/>
    <w:rsid w:val="005A164A"/>
    <w:rsid w:val="00652CC4"/>
    <w:rsid w:val="006F3A25"/>
    <w:rsid w:val="00760EAF"/>
    <w:rsid w:val="00884126"/>
    <w:rsid w:val="00895D61"/>
    <w:rsid w:val="009410BA"/>
    <w:rsid w:val="00942F3C"/>
    <w:rsid w:val="0098440F"/>
    <w:rsid w:val="009B719C"/>
    <w:rsid w:val="00A12BED"/>
    <w:rsid w:val="00AA293F"/>
    <w:rsid w:val="00B15DDB"/>
    <w:rsid w:val="00B518DF"/>
    <w:rsid w:val="00B661DB"/>
    <w:rsid w:val="00B93847"/>
    <w:rsid w:val="00BB60D7"/>
    <w:rsid w:val="00BC77CD"/>
    <w:rsid w:val="00CF449E"/>
    <w:rsid w:val="00CF7FE8"/>
    <w:rsid w:val="00DA631F"/>
    <w:rsid w:val="00E40040"/>
    <w:rsid w:val="00E52A5A"/>
    <w:rsid w:val="00E861E6"/>
    <w:rsid w:val="00F248A7"/>
    <w:rsid w:val="00FE0326"/>
    <w:rsid w:val="00FE6B24"/>
    <w:rsid w:val="00FF34A5"/>
    <w:rsid w:val="00FF6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097BB-FB1A-4869-8B12-70E4C3BF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6</cp:revision>
  <cp:lastPrinted>2020-01-16T11:21:00Z</cp:lastPrinted>
  <dcterms:created xsi:type="dcterms:W3CDTF">2020-11-06T12:38:00Z</dcterms:created>
  <dcterms:modified xsi:type="dcterms:W3CDTF">2020-11-19T16:25:00Z</dcterms:modified>
</cp:coreProperties>
</file>