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14:paraId="7FDC8E1B" w14:textId="77777777" w:rsidTr="00F00DF8">
        <w:tc>
          <w:tcPr>
            <w:tcW w:w="5202" w:type="dxa"/>
            <w:gridSpan w:val="4"/>
            <w:vMerge w:val="restart"/>
          </w:tcPr>
          <w:p w14:paraId="3757AA58" w14:textId="77777777"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7C68509C" wp14:editId="48E9772B">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392ED22D" w14:textId="77777777"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14:paraId="5441EAE1" w14:textId="77777777"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14:paraId="69B2567A" w14:textId="77777777" w:rsidTr="00F00DF8">
        <w:tc>
          <w:tcPr>
            <w:tcW w:w="5202" w:type="dxa"/>
            <w:gridSpan w:val="4"/>
            <w:vMerge/>
          </w:tcPr>
          <w:p w14:paraId="4B448FE1" w14:textId="77777777" w:rsidR="000A2ADC" w:rsidRPr="00AC7380" w:rsidRDefault="000A2ADC" w:rsidP="007344C2">
            <w:pPr>
              <w:rPr>
                <w:rFonts w:ascii="Verdana" w:hAnsi="Verdana"/>
                <w:b/>
                <w:noProof/>
                <w:sz w:val="24"/>
                <w:lang w:eastAsia="en-GB"/>
              </w:rPr>
            </w:pPr>
          </w:p>
        </w:tc>
        <w:tc>
          <w:tcPr>
            <w:tcW w:w="3814" w:type="dxa"/>
            <w:gridSpan w:val="3"/>
            <w:tcBorders>
              <w:top w:val="nil"/>
              <w:bottom w:val="nil"/>
            </w:tcBorders>
          </w:tcPr>
          <w:p w14:paraId="20507E23" w14:textId="77777777" w:rsidR="000A2ADC" w:rsidRPr="00AC7380" w:rsidRDefault="000A2ADC" w:rsidP="007344C2">
            <w:pPr>
              <w:jc w:val="right"/>
              <w:rPr>
                <w:rFonts w:ascii="Verdana" w:hAnsi="Verdana"/>
                <w:b/>
                <w:sz w:val="24"/>
              </w:rPr>
            </w:pPr>
            <w:r w:rsidRPr="00AC7380">
              <w:rPr>
                <w:rFonts w:ascii="Verdana" w:hAnsi="Verdana"/>
                <w:b/>
                <w:sz w:val="24"/>
              </w:rPr>
              <w:t>Date of Meeting</w:t>
            </w:r>
          </w:p>
          <w:p w14:paraId="4B03BE8F" w14:textId="25A20387" w:rsidR="000A2ADC" w:rsidRPr="00AC7380" w:rsidRDefault="00AF7B80" w:rsidP="004C092E">
            <w:pPr>
              <w:jc w:val="right"/>
              <w:rPr>
                <w:rFonts w:ascii="Verdana" w:hAnsi="Verdana"/>
                <w:color w:val="FF0000"/>
                <w:sz w:val="24"/>
              </w:rPr>
            </w:pPr>
            <w:r>
              <w:rPr>
                <w:rFonts w:ascii="Verdana" w:hAnsi="Verdana"/>
                <w:sz w:val="24"/>
              </w:rPr>
              <w:t>25 February 2021</w:t>
            </w:r>
          </w:p>
        </w:tc>
      </w:tr>
      <w:tr w:rsidR="000A2ADC" w:rsidRPr="00AC7380" w14:paraId="37568D49" w14:textId="77777777" w:rsidTr="00F00DF8">
        <w:tc>
          <w:tcPr>
            <w:tcW w:w="5202" w:type="dxa"/>
            <w:gridSpan w:val="4"/>
            <w:vMerge/>
            <w:tcBorders>
              <w:bottom w:val="single" w:sz="4" w:space="0" w:color="auto"/>
            </w:tcBorders>
          </w:tcPr>
          <w:p w14:paraId="79AC810D" w14:textId="77777777" w:rsidR="000A2ADC" w:rsidRPr="00AC7380" w:rsidRDefault="000A2ADC" w:rsidP="007344C2">
            <w:pPr>
              <w:rPr>
                <w:rFonts w:ascii="Verdana" w:hAnsi="Verdana"/>
                <w:b/>
                <w:noProof/>
                <w:sz w:val="24"/>
                <w:lang w:eastAsia="en-GB"/>
              </w:rPr>
            </w:pPr>
          </w:p>
        </w:tc>
        <w:tc>
          <w:tcPr>
            <w:tcW w:w="3814" w:type="dxa"/>
            <w:gridSpan w:val="3"/>
            <w:tcBorders>
              <w:top w:val="nil"/>
              <w:bottom w:val="single" w:sz="4" w:space="0" w:color="auto"/>
            </w:tcBorders>
          </w:tcPr>
          <w:p w14:paraId="69DFBDCA" w14:textId="77777777" w:rsidR="000A2ADC" w:rsidRPr="00C330C4" w:rsidRDefault="000A2ADC" w:rsidP="007344C2">
            <w:pPr>
              <w:jc w:val="right"/>
              <w:rPr>
                <w:rFonts w:ascii="Verdana" w:hAnsi="Verdana"/>
                <w:b/>
                <w:sz w:val="24"/>
              </w:rPr>
            </w:pPr>
            <w:r w:rsidRPr="00C330C4">
              <w:rPr>
                <w:rFonts w:ascii="Verdana" w:hAnsi="Verdana"/>
                <w:b/>
                <w:sz w:val="24"/>
              </w:rPr>
              <w:t>Agenda item:</w:t>
            </w:r>
          </w:p>
          <w:p w14:paraId="4780E824" w14:textId="2544B55A" w:rsidR="000A2ADC" w:rsidRPr="001577BB" w:rsidRDefault="006075AC" w:rsidP="00DA575D">
            <w:pPr>
              <w:jc w:val="right"/>
              <w:rPr>
                <w:rFonts w:ascii="Verdana" w:hAnsi="Verdana"/>
                <w:color w:val="FF0000"/>
                <w:sz w:val="24"/>
              </w:rPr>
            </w:pPr>
            <w:r>
              <w:rPr>
                <w:rFonts w:ascii="Verdana" w:hAnsi="Verdana"/>
                <w:sz w:val="24"/>
              </w:rPr>
              <w:t>3.5.2 250221</w:t>
            </w:r>
          </w:p>
        </w:tc>
      </w:tr>
      <w:tr w:rsidR="000A2ADC" w:rsidRPr="00AC7380" w14:paraId="08162318" w14:textId="77777777" w:rsidTr="00F00DF8">
        <w:tc>
          <w:tcPr>
            <w:tcW w:w="9016" w:type="dxa"/>
            <w:gridSpan w:val="7"/>
            <w:tcBorders>
              <w:left w:val="nil"/>
              <w:right w:val="nil"/>
            </w:tcBorders>
            <w:vAlign w:val="center"/>
          </w:tcPr>
          <w:p w14:paraId="0E770C0E" w14:textId="77777777" w:rsidR="000A2ADC" w:rsidRPr="00AC7380" w:rsidRDefault="000A2ADC" w:rsidP="007344C2">
            <w:pPr>
              <w:rPr>
                <w:rFonts w:ascii="Verdana" w:hAnsi="Verdana"/>
                <w:b/>
                <w:sz w:val="28"/>
              </w:rPr>
            </w:pPr>
          </w:p>
        </w:tc>
      </w:tr>
      <w:tr w:rsidR="000A2ADC" w:rsidRPr="00AC7380" w14:paraId="2C8883EB" w14:textId="77777777" w:rsidTr="00F00DF8">
        <w:tc>
          <w:tcPr>
            <w:tcW w:w="9016" w:type="dxa"/>
            <w:gridSpan w:val="7"/>
            <w:vAlign w:val="center"/>
          </w:tcPr>
          <w:p w14:paraId="544D176D" w14:textId="0E400B53" w:rsidR="00365579" w:rsidRPr="00AC7380" w:rsidRDefault="00EB6254" w:rsidP="00F12B63">
            <w:pPr>
              <w:jc w:val="center"/>
              <w:rPr>
                <w:rFonts w:ascii="Verdana" w:hAnsi="Verdana"/>
                <w:b/>
                <w:sz w:val="40"/>
                <w:szCs w:val="36"/>
              </w:rPr>
            </w:pPr>
            <w:r>
              <w:rPr>
                <w:rFonts w:ascii="Verdana" w:hAnsi="Verdana"/>
                <w:b/>
                <w:sz w:val="40"/>
                <w:szCs w:val="36"/>
              </w:rPr>
              <w:t xml:space="preserve">Board </w:t>
            </w:r>
            <w:r w:rsidR="008C4C4D">
              <w:rPr>
                <w:rFonts w:ascii="Verdana" w:hAnsi="Verdana"/>
                <w:b/>
                <w:sz w:val="40"/>
                <w:szCs w:val="36"/>
              </w:rPr>
              <w:t xml:space="preserve">and Committee </w:t>
            </w:r>
            <w:r>
              <w:rPr>
                <w:rFonts w:ascii="Verdana" w:hAnsi="Verdana"/>
                <w:b/>
                <w:sz w:val="40"/>
                <w:szCs w:val="36"/>
              </w:rPr>
              <w:t>Governance Arrangements (</w:t>
            </w:r>
            <w:r w:rsidR="00F12B63">
              <w:rPr>
                <w:rFonts w:ascii="Verdana" w:hAnsi="Verdana"/>
                <w:b/>
                <w:sz w:val="40"/>
                <w:szCs w:val="36"/>
              </w:rPr>
              <w:t>2021/22</w:t>
            </w:r>
            <w:r>
              <w:rPr>
                <w:rFonts w:ascii="Verdana" w:hAnsi="Verdana"/>
                <w:b/>
                <w:sz w:val="40"/>
                <w:szCs w:val="36"/>
              </w:rPr>
              <w:t>)</w:t>
            </w:r>
          </w:p>
        </w:tc>
      </w:tr>
      <w:tr w:rsidR="00210AF6" w:rsidRPr="00083EE7" w14:paraId="1C602E26" w14:textId="77777777" w:rsidTr="00F00DF8">
        <w:tc>
          <w:tcPr>
            <w:tcW w:w="2802" w:type="dxa"/>
            <w:gridSpan w:val="2"/>
          </w:tcPr>
          <w:p w14:paraId="0C39A79D" w14:textId="1D0E370D" w:rsidR="00210AF6" w:rsidRPr="00083EE7" w:rsidRDefault="00DB589B" w:rsidP="007344C2">
            <w:pPr>
              <w:rPr>
                <w:rFonts w:ascii="Verdana" w:hAnsi="Verdana"/>
                <w:b/>
                <w:sz w:val="24"/>
                <w:szCs w:val="24"/>
              </w:rPr>
            </w:pPr>
            <w:r>
              <w:rPr>
                <w:rFonts w:ascii="Verdana" w:hAnsi="Verdana"/>
                <w:b/>
                <w:sz w:val="24"/>
                <w:szCs w:val="24"/>
              </w:rPr>
              <w:t>Non-</w:t>
            </w:r>
            <w:r w:rsidR="00210AF6" w:rsidRPr="00083EE7">
              <w:rPr>
                <w:rFonts w:ascii="Verdana" w:hAnsi="Verdana"/>
                <w:b/>
                <w:sz w:val="24"/>
                <w:szCs w:val="24"/>
              </w:rPr>
              <w:t>Executive Lead:</w:t>
            </w:r>
          </w:p>
        </w:tc>
        <w:tc>
          <w:tcPr>
            <w:tcW w:w="6214" w:type="dxa"/>
            <w:gridSpan w:val="5"/>
          </w:tcPr>
          <w:p w14:paraId="1ADFF254" w14:textId="77777777" w:rsidR="00210AF6" w:rsidRPr="00083EE7" w:rsidRDefault="00210AF6" w:rsidP="007344C2">
            <w:pPr>
              <w:rPr>
                <w:rFonts w:ascii="Verdana" w:eastAsia="Verdana" w:hAnsi="Verdana"/>
                <w:sz w:val="24"/>
                <w:szCs w:val="24"/>
              </w:rPr>
            </w:pPr>
            <w:r w:rsidRPr="00083EE7">
              <w:rPr>
                <w:rFonts w:ascii="Verdana" w:eastAsia="Verdana" w:hAnsi="Verdana"/>
                <w:sz w:val="24"/>
                <w:szCs w:val="24"/>
              </w:rPr>
              <w:t xml:space="preserve">Jan Williams, Chair </w:t>
            </w:r>
          </w:p>
        </w:tc>
      </w:tr>
      <w:tr w:rsidR="000A2ADC" w:rsidRPr="00083EE7" w14:paraId="4DC63FBF" w14:textId="77777777" w:rsidTr="00F00DF8">
        <w:tc>
          <w:tcPr>
            <w:tcW w:w="2802" w:type="dxa"/>
            <w:gridSpan w:val="2"/>
          </w:tcPr>
          <w:p w14:paraId="30D73309" w14:textId="77777777" w:rsidR="000A2ADC" w:rsidRPr="00083EE7" w:rsidRDefault="000A2ADC" w:rsidP="007344C2">
            <w:pPr>
              <w:rPr>
                <w:rFonts w:ascii="Verdana" w:hAnsi="Verdana"/>
                <w:b/>
                <w:sz w:val="24"/>
                <w:szCs w:val="24"/>
              </w:rPr>
            </w:pPr>
            <w:r w:rsidRPr="00083EE7">
              <w:rPr>
                <w:rFonts w:ascii="Verdana" w:hAnsi="Verdana"/>
                <w:b/>
                <w:sz w:val="24"/>
                <w:szCs w:val="24"/>
              </w:rPr>
              <w:t>Executive lead:</w:t>
            </w:r>
          </w:p>
        </w:tc>
        <w:tc>
          <w:tcPr>
            <w:tcW w:w="6214" w:type="dxa"/>
            <w:gridSpan w:val="5"/>
          </w:tcPr>
          <w:p w14:paraId="4ACDA1D5" w14:textId="77777777" w:rsidR="000A2ADC" w:rsidRPr="00083EE7" w:rsidRDefault="00210AF6" w:rsidP="007344C2">
            <w:pPr>
              <w:rPr>
                <w:rFonts w:ascii="Verdana" w:eastAsia="Verdana" w:hAnsi="Verdana"/>
                <w:sz w:val="24"/>
                <w:szCs w:val="24"/>
              </w:rPr>
            </w:pPr>
            <w:r w:rsidRPr="00083EE7">
              <w:rPr>
                <w:rFonts w:ascii="Verdana" w:eastAsia="Verdana" w:hAnsi="Verdana"/>
                <w:sz w:val="24"/>
                <w:szCs w:val="24"/>
              </w:rPr>
              <w:t xml:space="preserve">Tracey Cooper, Chief Executive </w:t>
            </w:r>
          </w:p>
        </w:tc>
      </w:tr>
      <w:tr w:rsidR="000A2ADC" w:rsidRPr="00083EE7" w14:paraId="0619F002" w14:textId="77777777" w:rsidTr="00F00DF8">
        <w:tc>
          <w:tcPr>
            <w:tcW w:w="2802" w:type="dxa"/>
            <w:gridSpan w:val="2"/>
          </w:tcPr>
          <w:p w14:paraId="49885448" w14:textId="77777777" w:rsidR="000A2ADC" w:rsidRPr="00083EE7" w:rsidRDefault="000A2ADC" w:rsidP="007344C2">
            <w:pPr>
              <w:rPr>
                <w:rFonts w:ascii="Verdana" w:hAnsi="Verdana"/>
                <w:b/>
                <w:sz w:val="24"/>
                <w:szCs w:val="24"/>
              </w:rPr>
            </w:pPr>
            <w:r w:rsidRPr="00083EE7">
              <w:rPr>
                <w:rFonts w:ascii="Verdana" w:hAnsi="Verdana"/>
                <w:b/>
                <w:sz w:val="24"/>
                <w:szCs w:val="24"/>
              </w:rPr>
              <w:t>Author:</w:t>
            </w:r>
          </w:p>
        </w:tc>
        <w:tc>
          <w:tcPr>
            <w:tcW w:w="6214" w:type="dxa"/>
            <w:gridSpan w:val="5"/>
          </w:tcPr>
          <w:p w14:paraId="0E163C74" w14:textId="77777777" w:rsidR="000A2ADC" w:rsidRPr="00083EE7" w:rsidRDefault="00EB6254" w:rsidP="007344C2">
            <w:pPr>
              <w:rPr>
                <w:rFonts w:ascii="Verdana" w:eastAsia="Verdana" w:hAnsi="Verdana"/>
                <w:sz w:val="24"/>
                <w:szCs w:val="24"/>
              </w:rPr>
            </w:pPr>
            <w:r w:rsidRPr="00083EE7">
              <w:rPr>
                <w:rFonts w:ascii="Verdana" w:eastAsia="Verdana" w:hAnsi="Verdana"/>
                <w:sz w:val="24"/>
                <w:szCs w:val="24"/>
              </w:rPr>
              <w:t xml:space="preserve">Helen Bushell, Board Secretary and Head of Board Business Unit </w:t>
            </w:r>
          </w:p>
        </w:tc>
      </w:tr>
      <w:tr w:rsidR="000A2ADC" w:rsidRPr="00083EE7" w14:paraId="03683A9F" w14:textId="77777777" w:rsidTr="00F00DF8">
        <w:trPr>
          <w:trHeight w:val="149"/>
        </w:trPr>
        <w:tc>
          <w:tcPr>
            <w:tcW w:w="2802" w:type="dxa"/>
            <w:gridSpan w:val="2"/>
            <w:tcBorders>
              <w:left w:val="nil"/>
              <w:right w:val="nil"/>
            </w:tcBorders>
          </w:tcPr>
          <w:p w14:paraId="2C19233E" w14:textId="77777777" w:rsidR="000A2ADC" w:rsidRPr="00083EE7" w:rsidRDefault="000A2ADC" w:rsidP="007344C2">
            <w:pPr>
              <w:rPr>
                <w:rFonts w:ascii="Verdana" w:hAnsi="Verdana"/>
                <w:b/>
                <w:sz w:val="24"/>
                <w:szCs w:val="24"/>
              </w:rPr>
            </w:pPr>
          </w:p>
        </w:tc>
        <w:tc>
          <w:tcPr>
            <w:tcW w:w="6214" w:type="dxa"/>
            <w:gridSpan w:val="5"/>
            <w:tcBorders>
              <w:left w:val="nil"/>
              <w:right w:val="nil"/>
            </w:tcBorders>
          </w:tcPr>
          <w:p w14:paraId="5B69C2EF" w14:textId="77777777" w:rsidR="000A2ADC" w:rsidRPr="00083EE7" w:rsidRDefault="000A2ADC" w:rsidP="007344C2">
            <w:pPr>
              <w:rPr>
                <w:rFonts w:ascii="Verdana" w:hAnsi="Verdana"/>
                <w:sz w:val="24"/>
                <w:szCs w:val="24"/>
              </w:rPr>
            </w:pPr>
          </w:p>
        </w:tc>
      </w:tr>
      <w:tr w:rsidR="000A2ADC" w:rsidRPr="00083EE7" w14:paraId="3A508E55" w14:textId="77777777" w:rsidTr="00F00DF8">
        <w:tc>
          <w:tcPr>
            <w:tcW w:w="2802" w:type="dxa"/>
            <w:gridSpan w:val="2"/>
          </w:tcPr>
          <w:p w14:paraId="509D9989" w14:textId="77777777" w:rsidR="000A2ADC" w:rsidRPr="00083EE7" w:rsidRDefault="000A2ADC" w:rsidP="007344C2">
            <w:pPr>
              <w:rPr>
                <w:rFonts w:ascii="Verdana" w:hAnsi="Verdana"/>
                <w:b/>
                <w:sz w:val="24"/>
                <w:szCs w:val="24"/>
              </w:rPr>
            </w:pPr>
            <w:r w:rsidRPr="00083EE7">
              <w:rPr>
                <w:rFonts w:ascii="Verdana" w:hAnsi="Verdana"/>
                <w:b/>
                <w:sz w:val="24"/>
                <w:szCs w:val="24"/>
              </w:rPr>
              <w:t>Approval/Scrutiny route:</w:t>
            </w:r>
          </w:p>
        </w:tc>
        <w:tc>
          <w:tcPr>
            <w:tcW w:w="6214" w:type="dxa"/>
            <w:gridSpan w:val="5"/>
          </w:tcPr>
          <w:p w14:paraId="49180A51" w14:textId="259CABED" w:rsidR="000A2ADC" w:rsidRPr="00083EE7" w:rsidRDefault="000A2ADC" w:rsidP="00854D09">
            <w:pPr>
              <w:rPr>
                <w:rFonts w:ascii="Verdana" w:eastAsia="Verdana" w:hAnsi="Verdana"/>
                <w:sz w:val="24"/>
                <w:szCs w:val="24"/>
              </w:rPr>
            </w:pPr>
          </w:p>
        </w:tc>
      </w:tr>
      <w:tr w:rsidR="000A2ADC" w:rsidRPr="00083EE7" w14:paraId="724951F9" w14:textId="77777777" w:rsidTr="00F00DF8">
        <w:tc>
          <w:tcPr>
            <w:tcW w:w="9016" w:type="dxa"/>
            <w:gridSpan w:val="7"/>
            <w:tcBorders>
              <w:left w:val="nil"/>
              <w:bottom w:val="single" w:sz="4" w:space="0" w:color="auto"/>
              <w:right w:val="nil"/>
            </w:tcBorders>
          </w:tcPr>
          <w:p w14:paraId="3F71229A" w14:textId="77777777" w:rsidR="000A2ADC" w:rsidRPr="00083EE7" w:rsidRDefault="000A2ADC" w:rsidP="007344C2">
            <w:pPr>
              <w:rPr>
                <w:rFonts w:ascii="Verdana" w:hAnsi="Verdana"/>
                <w:b/>
                <w:sz w:val="24"/>
                <w:szCs w:val="24"/>
              </w:rPr>
            </w:pPr>
          </w:p>
        </w:tc>
      </w:tr>
      <w:tr w:rsidR="000A2ADC" w:rsidRPr="00083EE7" w14:paraId="3CBC8FF9" w14:textId="77777777" w:rsidTr="00F00DF8">
        <w:tc>
          <w:tcPr>
            <w:tcW w:w="9016" w:type="dxa"/>
            <w:gridSpan w:val="7"/>
            <w:tcBorders>
              <w:left w:val="single" w:sz="4" w:space="0" w:color="auto"/>
              <w:right w:val="single" w:sz="4" w:space="0" w:color="auto"/>
            </w:tcBorders>
          </w:tcPr>
          <w:p w14:paraId="01DAAA1B" w14:textId="77777777" w:rsidR="000A2ADC" w:rsidRPr="00083EE7" w:rsidRDefault="000A2ADC" w:rsidP="007344C2">
            <w:pPr>
              <w:rPr>
                <w:rFonts w:ascii="Verdana" w:hAnsi="Verdana"/>
                <w:b/>
                <w:sz w:val="24"/>
                <w:szCs w:val="24"/>
              </w:rPr>
            </w:pPr>
            <w:r w:rsidRPr="00083EE7">
              <w:rPr>
                <w:rFonts w:ascii="Verdana" w:hAnsi="Verdana"/>
                <w:b/>
                <w:sz w:val="24"/>
                <w:szCs w:val="24"/>
              </w:rPr>
              <w:t>Purpose</w:t>
            </w:r>
          </w:p>
        </w:tc>
      </w:tr>
      <w:tr w:rsidR="000A2ADC" w:rsidRPr="00083EE7" w14:paraId="01A91DC4" w14:textId="77777777" w:rsidTr="00F00DF8">
        <w:tc>
          <w:tcPr>
            <w:tcW w:w="9016" w:type="dxa"/>
            <w:gridSpan w:val="7"/>
            <w:tcBorders>
              <w:left w:val="single" w:sz="4" w:space="0" w:color="auto"/>
              <w:right w:val="single" w:sz="4" w:space="0" w:color="auto"/>
            </w:tcBorders>
          </w:tcPr>
          <w:p w14:paraId="5F03EA08" w14:textId="4F7422D4" w:rsidR="004C092E" w:rsidRPr="00083EE7" w:rsidRDefault="005354D1" w:rsidP="00F13601">
            <w:pPr>
              <w:tabs>
                <w:tab w:val="left" w:pos="447"/>
              </w:tabs>
              <w:ind w:right="731"/>
              <w:contextualSpacing/>
              <w:jc w:val="both"/>
              <w:rPr>
                <w:rFonts w:ascii="Verdana" w:eastAsia="Verdana" w:hAnsi="Verdana"/>
                <w:sz w:val="24"/>
                <w:szCs w:val="24"/>
              </w:rPr>
            </w:pPr>
            <w:r w:rsidRPr="00083EE7">
              <w:rPr>
                <w:rFonts w:ascii="Verdana" w:eastAsia="Verdana" w:hAnsi="Verdana"/>
                <w:sz w:val="24"/>
                <w:szCs w:val="24"/>
              </w:rPr>
              <w:t>To</w:t>
            </w:r>
            <w:r w:rsidR="00F13601" w:rsidRPr="00083EE7">
              <w:rPr>
                <w:rFonts w:ascii="Verdana" w:eastAsia="Verdana" w:hAnsi="Verdana"/>
                <w:sz w:val="24"/>
                <w:szCs w:val="24"/>
              </w:rPr>
              <w:t xml:space="preserve"> provide</w:t>
            </w:r>
            <w:r w:rsidR="00210AF6" w:rsidRPr="00083EE7">
              <w:rPr>
                <w:rFonts w:ascii="Verdana" w:eastAsia="Verdana" w:hAnsi="Verdana"/>
                <w:sz w:val="24"/>
                <w:szCs w:val="24"/>
              </w:rPr>
              <w:t xml:space="preserve"> a number of </w:t>
            </w:r>
            <w:r w:rsidR="00F13601" w:rsidRPr="00083EE7">
              <w:rPr>
                <w:rFonts w:ascii="Verdana" w:eastAsia="Verdana" w:hAnsi="Verdana"/>
                <w:sz w:val="24"/>
                <w:szCs w:val="24"/>
              </w:rPr>
              <w:t xml:space="preserve">updates </w:t>
            </w:r>
            <w:r w:rsidR="00FF565B" w:rsidRPr="00083EE7">
              <w:rPr>
                <w:rFonts w:ascii="Verdana" w:eastAsia="Verdana" w:hAnsi="Verdana"/>
                <w:sz w:val="24"/>
                <w:szCs w:val="24"/>
              </w:rPr>
              <w:t>on</w:t>
            </w:r>
            <w:r w:rsidR="00F13601" w:rsidRPr="00083EE7">
              <w:rPr>
                <w:rFonts w:ascii="Verdana" w:eastAsia="Verdana" w:hAnsi="Verdana"/>
                <w:sz w:val="24"/>
                <w:szCs w:val="24"/>
              </w:rPr>
              <w:t xml:space="preserve"> </w:t>
            </w:r>
            <w:r w:rsidRPr="00083EE7">
              <w:rPr>
                <w:rFonts w:ascii="Verdana" w:eastAsia="Verdana" w:hAnsi="Verdana"/>
                <w:sz w:val="24"/>
                <w:szCs w:val="24"/>
              </w:rPr>
              <w:t xml:space="preserve">Board </w:t>
            </w:r>
            <w:r w:rsidR="00210AF6" w:rsidRPr="00083EE7">
              <w:rPr>
                <w:rFonts w:ascii="Verdana" w:eastAsia="Verdana" w:hAnsi="Verdana"/>
                <w:sz w:val="24"/>
                <w:szCs w:val="24"/>
              </w:rPr>
              <w:t xml:space="preserve">governance arrangements </w:t>
            </w:r>
            <w:r w:rsidR="0035079E" w:rsidRPr="00083EE7">
              <w:rPr>
                <w:rFonts w:ascii="Verdana" w:eastAsia="Verdana" w:hAnsi="Verdana"/>
                <w:sz w:val="24"/>
                <w:szCs w:val="24"/>
              </w:rPr>
              <w:t>during the continuing</w:t>
            </w:r>
            <w:r w:rsidR="00605229">
              <w:rPr>
                <w:rFonts w:ascii="Verdana" w:eastAsia="Verdana" w:hAnsi="Verdana"/>
                <w:sz w:val="24"/>
                <w:szCs w:val="24"/>
              </w:rPr>
              <w:t xml:space="preserve"> COVID-19 pandemic</w:t>
            </w:r>
            <w:r w:rsidR="00FA5E0C">
              <w:rPr>
                <w:rFonts w:ascii="Verdana" w:eastAsia="Verdana" w:hAnsi="Verdana"/>
                <w:sz w:val="24"/>
                <w:szCs w:val="24"/>
              </w:rPr>
              <w:t>;</w:t>
            </w:r>
            <w:r w:rsidR="00AA02B2">
              <w:rPr>
                <w:rFonts w:ascii="Verdana" w:eastAsia="Verdana" w:hAnsi="Verdana"/>
                <w:sz w:val="24"/>
                <w:szCs w:val="24"/>
              </w:rPr>
              <w:t xml:space="preserve"> </w:t>
            </w:r>
            <w:r w:rsidR="00FA5E0C">
              <w:rPr>
                <w:rFonts w:ascii="Verdana" w:eastAsia="Verdana" w:hAnsi="Verdana"/>
                <w:sz w:val="24"/>
                <w:szCs w:val="24"/>
              </w:rPr>
              <w:t xml:space="preserve">to seek Board approval for </w:t>
            </w:r>
            <w:r w:rsidR="00F23ED9">
              <w:rPr>
                <w:rFonts w:ascii="Verdana" w:eastAsia="Verdana" w:hAnsi="Verdana"/>
                <w:sz w:val="24"/>
                <w:szCs w:val="24"/>
              </w:rPr>
              <w:t>further changes from April 2021 onwards.</w:t>
            </w:r>
          </w:p>
          <w:p w14:paraId="28EC05D9" w14:textId="34A8A84C" w:rsidR="00F70466" w:rsidRPr="00083EE7" w:rsidRDefault="00F70466" w:rsidP="0035079E">
            <w:pPr>
              <w:tabs>
                <w:tab w:val="left" w:pos="447"/>
              </w:tabs>
              <w:ind w:right="731"/>
              <w:contextualSpacing/>
              <w:jc w:val="both"/>
              <w:rPr>
                <w:rFonts w:ascii="Verdana" w:eastAsia="Symbol" w:hAnsi="Verdana"/>
                <w:b/>
                <w:sz w:val="24"/>
                <w:szCs w:val="24"/>
              </w:rPr>
            </w:pPr>
          </w:p>
        </w:tc>
      </w:tr>
      <w:tr w:rsidR="000A2ADC" w:rsidRPr="00083EE7" w14:paraId="05741B0F" w14:textId="77777777" w:rsidTr="00F00DF8">
        <w:tc>
          <w:tcPr>
            <w:tcW w:w="9016" w:type="dxa"/>
            <w:gridSpan w:val="7"/>
            <w:tcBorders>
              <w:left w:val="nil"/>
              <w:right w:val="nil"/>
            </w:tcBorders>
          </w:tcPr>
          <w:p w14:paraId="4FE7AA10" w14:textId="77777777" w:rsidR="000A2ADC" w:rsidRPr="00083EE7" w:rsidRDefault="000A2ADC" w:rsidP="007344C2">
            <w:pPr>
              <w:rPr>
                <w:rFonts w:ascii="Verdana" w:hAnsi="Verdana"/>
                <w:b/>
                <w:sz w:val="24"/>
                <w:szCs w:val="24"/>
              </w:rPr>
            </w:pPr>
          </w:p>
        </w:tc>
      </w:tr>
      <w:tr w:rsidR="000A2ADC" w:rsidRPr="00083EE7" w14:paraId="4AB12924" w14:textId="77777777" w:rsidTr="00F00DF8">
        <w:tc>
          <w:tcPr>
            <w:tcW w:w="9016" w:type="dxa"/>
            <w:gridSpan w:val="7"/>
          </w:tcPr>
          <w:p w14:paraId="523EB4F6" w14:textId="77777777" w:rsidR="000A2ADC" w:rsidRPr="00083EE7" w:rsidRDefault="000A2ADC" w:rsidP="007344C2">
            <w:pPr>
              <w:rPr>
                <w:rFonts w:ascii="Verdana" w:hAnsi="Verdana"/>
                <w:b/>
                <w:sz w:val="24"/>
                <w:szCs w:val="24"/>
              </w:rPr>
            </w:pPr>
            <w:r w:rsidRPr="00083EE7">
              <w:rPr>
                <w:rFonts w:ascii="Verdana" w:hAnsi="Verdana"/>
                <w:b/>
                <w:sz w:val="24"/>
                <w:szCs w:val="24"/>
              </w:rPr>
              <w:t>Recommendation:</w:t>
            </w:r>
          </w:p>
        </w:tc>
      </w:tr>
      <w:tr w:rsidR="000A2ADC" w:rsidRPr="00083EE7" w14:paraId="5B52960C" w14:textId="77777777" w:rsidTr="00F00DF8">
        <w:tc>
          <w:tcPr>
            <w:tcW w:w="1848" w:type="dxa"/>
            <w:tcBorders>
              <w:bottom w:val="single" w:sz="4" w:space="0" w:color="auto"/>
            </w:tcBorders>
          </w:tcPr>
          <w:p w14:paraId="098439E0" w14:textId="77777777" w:rsidR="000A2ADC" w:rsidRPr="00083EE7" w:rsidRDefault="000A2ADC" w:rsidP="007344C2">
            <w:pPr>
              <w:jc w:val="center"/>
              <w:rPr>
                <w:rFonts w:ascii="Verdana" w:hAnsi="Verdana"/>
                <w:sz w:val="24"/>
                <w:szCs w:val="24"/>
              </w:rPr>
            </w:pPr>
            <w:r w:rsidRPr="00083EE7">
              <w:rPr>
                <w:rFonts w:ascii="Verdana" w:hAnsi="Verdana"/>
                <w:sz w:val="24"/>
                <w:szCs w:val="24"/>
              </w:rPr>
              <w:t>APPROVE</w:t>
            </w:r>
          </w:p>
          <w:p w14:paraId="30ACFA27" w14:textId="77777777" w:rsidR="000A2ADC" w:rsidRPr="00083EE7" w:rsidRDefault="00210AF6" w:rsidP="007344C2">
            <w:pPr>
              <w:jc w:val="center"/>
              <w:rPr>
                <w:rFonts w:ascii="Verdana" w:hAnsi="Verdana"/>
                <w:sz w:val="24"/>
                <w:szCs w:val="24"/>
              </w:rPr>
            </w:pPr>
            <w:r w:rsidRPr="00083EE7">
              <w:rPr>
                <w:rFonts w:ascii="Verdana" w:hAnsi="Verdana"/>
                <w:sz w:val="24"/>
                <w:szCs w:val="24"/>
              </w:rPr>
              <w:fldChar w:fldCharType="begin">
                <w:ffData>
                  <w:name w:val="Check1"/>
                  <w:enabled/>
                  <w:calcOnExit w:val="0"/>
                  <w:checkBox>
                    <w:sizeAuto/>
                    <w:default w:val="1"/>
                  </w:checkBox>
                </w:ffData>
              </w:fldChar>
            </w:r>
            <w:bookmarkStart w:id="0" w:name="Check1"/>
            <w:r w:rsidRPr="00083EE7">
              <w:rPr>
                <w:rFonts w:ascii="Verdana" w:hAnsi="Verdana"/>
                <w:sz w:val="24"/>
                <w:szCs w:val="24"/>
              </w:rPr>
              <w:instrText xml:space="preserve"> FORMCHECKBOX </w:instrText>
            </w:r>
            <w:r w:rsidR="000C689E">
              <w:rPr>
                <w:rFonts w:ascii="Verdana" w:hAnsi="Verdana"/>
                <w:sz w:val="24"/>
                <w:szCs w:val="24"/>
              </w:rPr>
            </w:r>
            <w:r w:rsidR="000C689E">
              <w:rPr>
                <w:rFonts w:ascii="Verdana" w:hAnsi="Verdana"/>
                <w:sz w:val="24"/>
                <w:szCs w:val="24"/>
              </w:rPr>
              <w:fldChar w:fldCharType="separate"/>
            </w:r>
            <w:r w:rsidRPr="00083EE7">
              <w:rPr>
                <w:rFonts w:ascii="Verdana" w:hAnsi="Verdana"/>
                <w:sz w:val="24"/>
                <w:szCs w:val="24"/>
              </w:rPr>
              <w:fldChar w:fldCharType="end"/>
            </w:r>
            <w:bookmarkEnd w:id="0"/>
          </w:p>
        </w:tc>
        <w:tc>
          <w:tcPr>
            <w:tcW w:w="1848" w:type="dxa"/>
            <w:gridSpan w:val="2"/>
            <w:tcBorders>
              <w:bottom w:val="single" w:sz="4" w:space="0" w:color="auto"/>
            </w:tcBorders>
          </w:tcPr>
          <w:p w14:paraId="77057159" w14:textId="77777777" w:rsidR="000A2ADC" w:rsidRPr="00083EE7" w:rsidRDefault="000A2ADC" w:rsidP="007344C2">
            <w:pPr>
              <w:jc w:val="center"/>
              <w:rPr>
                <w:rFonts w:ascii="Verdana" w:hAnsi="Verdana"/>
                <w:sz w:val="24"/>
                <w:szCs w:val="24"/>
              </w:rPr>
            </w:pPr>
            <w:r w:rsidRPr="00083EE7">
              <w:rPr>
                <w:rFonts w:ascii="Verdana" w:hAnsi="Verdana"/>
                <w:sz w:val="24"/>
                <w:szCs w:val="24"/>
              </w:rPr>
              <w:t>CONSIDER</w:t>
            </w:r>
          </w:p>
          <w:p w14:paraId="26DA529A" w14:textId="114CE38B" w:rsidR="000A2ADC" w:rsidRPr="00083EE7" w:rsidRDefault="00215572" w:rsidP="007344C2">
            <w:pPr>
              <w:jc w:val="center"/>
              <w:rPr>
                <w:rFonts w:ascii="Verdana" w:hAnsi="Verdana"/>
                <w:sz w:val="24"/>
                <w:szCs w:val="24"/>
              </w:rPr>
            </w:pPr>
            <w:r w:rsidRPr="00083EE7">
              <w:rPr>
                <w:rFonts w:ascii="Verdana" w:hAnsi="Verdana"/>
                <w:sz w:val="24"/>
                <w:szCs w:val="24"/>
              </w:rPr>
              <w:fldChar w:fldCharType="begin">
                <w:ffData>
                  <w:name w:val="Check2"/>
                  <w:enabled/>
                  <w:calcOnExit w:val="0"/>
                  <w:checkBox>
                    <w:sizeAuto/>
                    <w:default w:val="1"/>
                  </w:checkBox>
                </w:ffData>
              </w:fldChar>
            </w:r>
            <w:bookmarkStart w:id="1" w:name="Check2"/>
            <w:r w:rsidRPr="00083EE7">
              <w:rPr>
                <w:rFonts w:ascii="Verdana" w:hAnsi="Verdana"/>
                <w:sz w:val="24"/>
                <w:szCs w:val="24"/>
              </w:rPr>
              <w:instrText xml:space="preserve"> FORMCHECKBOX </w:instrText>
            </w:r>
            <w:r w:rsidR="000C689E">
              <w:rPr>
                <w:rFonts w:ascii="Verdana" w:hAnsi="Verdana"/>
                <w:sz w:val="24"/>
                <w:szCs w:val="24"/>
              </w:rPr>
            </w:r>
            <w:r w:rsidR="000C689E">
              <w:rPr>
                <w:rFonts w:ascii="Verdana" w:hAnsi="Verdana"/>
                <w:sz w:val="24"/>
                <w:szCs w:val="24"/>
              </w:rPr>
              <w:fldChar w:fldCharType="separate"/>
            </w:r>
            <w:r w:rsidRPr="00083EE7">
              <w:rPr>
                <w:rFonts w:ascii="Verdana" w:hAnsi="Verdana"/>
                <w:sz w:val="24"/>
                <w:szCs w:val="24"/>
              </w:rPr>
              <w:fldChar w:fldCharType="end"/>
            </w:r>
            <w:bookmarkEnd w:id="1"/>
          </w:p>
        </w:tc>
        <w:tc>
          <w:tcPr>
            <w:tcW w:w="1840" w:type="dxa"/>
            <w:gridSpan w:val="2"/>
            <w:tcBorders>
              <w:bottom w:val="single" w:sz="4" w:space="0" w:color="auto"/>
            </w:tcBorders>
          </w:tcPr>
          <w:p w14:paraId="209FADBF" w14:textId="77777777" w:rsidR="000A2ADC" w:rsidRPr="00083EE7" w:rsidRDefault="000A2ADC" w:rsidP="007344C2">
            <w:pPr>
              <w:jc w:val="center"/>
              <w:rPr>
                <w:rFonts w:ascii="Verdana" w:hAnsi="Verdana"/>
                <w:sz w:val="24"/>
                <w:szCs w:val="24"/>
              </w:rPr>
            </w:pPr>
            <w:r w:rsidRPr="00083EE7">
              <w:rPr>
                <w:rFonts w:ascii="Verdana" w:hAnsi="Verdana"/>
                <w:sz w:val="24"/>
                <w:szCs w:val="24"/>
              </w:rPr>
              <w:t>RECOMMEND</w:t>
            </w:r>
          </w:p>
          <w:p w14:paraId="28D93D06" w14:textId="77777777" w:rsidR="000A2ADC" w:rsidRPr="00083EE7" w:rsidRDefault="000A2ADC" w:rsidP="007344C2">
            <w:pPr>
              <w:jc w:val="center"/>
              <w:rPr>
                <w:rFonts w:ascii="Verdana" w:hAnsi="Verdana"/>
                <w:sz w:val="24"/>
                <w:szCs w:val="24"/>
              </w:rPr>
            </w:pPr>
            <w:r w:rsidRPr="00083EE7">
              <w:rPr>
                <w:rFonts w:ascii="Verdana" w:hAnsi="Verdana"/>
                <w:sz w:val="24"/>
                <w:szCs w:val="24"/>
              </w:rPr>
              <w:fldChar w:fldCharType="begin">
                <w:ffData>
                  <w:name w:val="Check3"/>
                  <w:enabled/>
                  <w:calcOnExit w:val="0"/>
                  <w:checkBox>
                    <w:sizeAuto/>
                    <w:default w:val="0"/>
                  </w:checkBox>
                </w:ffData>
              </w:fldChar>
            </w:r>
            <w:bookmarkStart w:id="2" w:name="Check3"/>
            <w:r w:rsidRPr="00083EE7">
              <w:rPr>
                <w:rFonts w:ascii="Verdana" w:hAnsi="Verdana"/>
                <w:sz w:val="24"/>
                <w:szCs w:val="24"/>
              </w:rPr>
              <w:instrText xml:space="preserve"> FORMCHECKBOX </w:instrText>
            </w:r>
            <w:r w:rsidR="000C689E">
              <w:rPr>
                <w:rFonts w:ascii="Verdana" w:hAnsi="Verdana"/>
                <w:sz w:val="24"/>
                <w:szCs w:val="24"/>
              </w:rPr>
            </w:r>
            <w:r w:rsidR="000C689E">
              <w:rPr>
                <w:rFonts w:ascii="Verdana" w:hAnsi="Verdana"/>
                <w:sz w:val="24"/>
                <w:szCs w:val="24"/>
              </w:rPr>
              <w:fldChar w:fldCharType="separate"/>
            </w:r>
            <w:r w:rsidRPr="00083EE7">
              <w:rPr>
                <w:rFonts w:ascii="Verdana" w:hAnsi="Verdana"/>
                <w:sz w:val="24"/>
                <w:szCs w:val="24"/>
              </w:rPr>
              <w:fldChar w:fldCharType="end"/>
            </w:r>
            <w:bookmarkEnd w:id="2"/>
          </w:p>
        </w:tc>
        <w:tc>
          <w:tcPr>
            <w:tcW w:w="1662" w:type="dxa"/>
            <w:tcBorders>
              <w:bottom w:val="single" w:sz="4" w:space="0" w:color="auto"/>
            </w:tcBorders>
          </w:tcPr>
          <w:p w14:paraId="3106D158" w14:textId="77777777" w:rsidR="000A2ADC" w:rsidRPr="00083EE7" w:rsidRDefault="000A2ADC" w:rsidP="007344C2">
            <w:pPr>
              <w:jc w:val="center"/>
              <w:rPr>
                <w:rFonts w:ascii="Verdana" w:hAnsi="Verdana"/>
                <w:sz w:val="24"/>
                <w:szCs w:val="24"/>
              </w:rPr>
            </w:pPr>
            <w:r w:rsidRPr="00083EE7">
              <w:rPr>
                <w:rFonts w:ascii="Verdana" w:hAnsi="Verdana"/>
                <w:sz w:val="24"/>
                <w:szCs w:val="24"/>
              </w:rPr>
              <w:t>ADOPT</w:t>
            </w:r>
          </w:p>
          <w:p w14:paraId="6D99DF5A" w14:textId="304478B3" w:rsidR="000A2ADC" w:rsidRPr="00083EE7" w:rsidRDefault="00AF7B80" w:rsidP="007344C2">
            <w:pPr>
              <w:jc w:val="center"/>
              <w:rPr>
                <w:rFonts w:ascii="Verdana" w:hAnsi="Verdana"/>
                <w:sz w:val="24"/>
                <w:szCs w:val="24"/>
              </w:rPr>
            </w:pPr>
            <w:r w:rsidRPr="00083EE7">
              <w:rPr>
                <w:rFonts w:ascii="Verdana" w:hAnsi="Verdana"/>
                <w:sz w:val="24"/>
                <w:szCs w:val="24"/>
              </w:rPr>
              <w:fldChar w:fldCharType="begin">
                <w:ffData>
                  <w:name w:val="Check4"/>
                  <w:enabled/>
                  <w:calcOnExit w:val="0"/>
                  <w:checkBox>
                    <w:sizeAuto/>
                    <w:default w:val="0"/>
                  </w:checkBox>
                </w:ffData>
              </w:fldChar>
            </w:r>
            <w:bookmarkStart w:id="3" w:name="Check4"/>
            <w:r w:rsidRPr="00083EE7">
              <w:rPr>
                <w:rFonts w:ascii="Verdana" w:hAnsi="Verdana"/>
                <w:sz w:val="24"/>
                <w:szCs w:val="24"/>
              </w:rPr>
              <w:instrText xml:space="preserve"> FORMCHECKBOX </w:instrText>
            </w:r>
            <w:r w:rsidR="000C689E">
              <w:rPr>
                <w:rFonts w:ascii="Verdana" w:hAnsi="Verdana"/>
                <w:sz w:val="24"/>
                <w:szCs w:val="24"/>
              </w:rPr>
            </w:r>
            <w:r w:rsidR="000C689E">
              <w:rPr>
                <w:rFonts w:ascii="Verdana" w:hAnsi="Verdana"/>
                <w:sz w:val="24"/>
                <w:szCs w:val="24"/>
              </w:rPr>
              <w:fldChar w:fldCharType="separate"/>
            </w:r>
            <w:r w:rsidRPr="00083EE7">
              <w:rPr>
                <w:rFonts w:ascii="Verdana" w:hAnsi="Verdana"/>
                <w:sz w:val="24"/>
                <w:szCs w:val="24"/>
              </w:rPr>
              <w:fldChar w:fldCharType="end"/>
            </w:r>
            <w:bookmarkEnd w:id="3"/>
          </w:p>
        </w:tc>
        <w:tc>
          <w:tcPr>
            <w:tcW w:w="1818" w:type="dxa"/>
            <w:tcBorders>
              <w:bottom w:val="single" w:sz="4" w:space="0" w:color="auto"/>
            </w:tcBorders>
          </w:tcPr>
          <w:p w14:paraId="431A7D5A" w14:textId="77777777" w:rsidR="000A2ADC" w:rsidRPr="00083EE7" w:rsidRDefault="000A2ADC" w:rsidP="007344C2">
            <w:pPr>
              <w:jc w:val="center"/>
              <w:rPr>
                <w:rFonts w:ascii="Verdana" w:hAnsi="Verdana"/>
                <w:sz w:val="24"/>
                <w:szCs w:val="24"/>
              </w:rPr>
            </w:pPr>
            <w:r w:rsidRPr="00083EE7">
              <w:rPr>
                <w:rFonts w:ascii="Verdana" w:hAnsi="Verdana"/>
                <w:sz w:val="24"/>
                <w:szCs w:val="24"/>
              </w:rPr>
              <w:t>ASSURANCE</w:t>
            </w:r>
          </w:p>
          <w:p w14:paraId="6A47B0B2" w14:textId="6CEE412A" w:rsidR="000A2ADC" w:rsidRPr="00083EE7" w:rsidRDefault="00AF7B80" w:rsidP="007344C2">
            <w:pPr>
              <w:jc w:val="center"/>
              <w:rPr>
                <w:rFonts w:ascii="Verdana" w:hAnsi="Verdana"/>
                <w:sz w:val="24"/>
                <w:szCs w:val="24"/>
              </w:rPr>
            </w:pPr>
            <w:r w:rsidRPr="00083EE7">
              <w:rPr>
                <w:rFonts w:ascii="Verdana" w:hAnsi="Verdana"/>
                <w:sz w:val="24"/>
                <w:szCs w:val="24"/>
              </w:rPr>
              <w:fldChar w:fldCharType="begin">
                <w:ffData>
                  <w:name w:val="Check5"/>
                  <w:enabled/>
                  <w:calcOnExit w:val="0"/>
                  <w:checkBox>
                    <w:sizeAuto/>
                    <w:default w:val="0"/>
                  </w:checkBox>
                </w:ffData>
              </w:fldChar>
            </w:r>
            <w:bookmarkStart w:id="4" w:name="Check5"/>
            <w:r w:rsidRPr="00083EE7">
              <w:rPr>
                <w:rFonts w:ascii="Verdana" w:hAnsi="Verdana"/>
                <w:sz w:val="24"/>
                <w:szCs w:val="24"/>
              </w:rPr>
              <w:instrText xml:space="preserve"> FORMCHECKBOX </w:instrText>
            </w:r>
            <w:r w:rsidR="000C689E">
              <w:rPr>
                <w:rFonts w:ascii="Verdana" w:hAnsi="Verdana"/>
                <w:sz w:val="24"/>
                <w:szCs w:val="24"/>
              </w:rPr>
            </w:r>
            <w:r w:rsidR="000C689E">
              <w:rPr>
                <w:rFonts w:ascii="Verdana" w:hAnsi="Verdana"/>
                <w:sz w:val="24"/>
                <w:szCs w:val="24"/>
              </w:rPr>
              <w:fldChar w:fldCharType="separate"/>
            </w:r>
            <w:r w:rsidRPr="00083EE7">
              <w:rPr>
                <w:rFonts w:ascii="Verdana" w:hAnsi="Verdana"/>
                <w:sz w:val="24"/>
                <w:szCs w:val="24"/>
              </w:rPr>
              <w:fldChar w:fldCharType="end"/>
            </w:r>
            <w:bookmarkEnd w:id="4"/>
          </w:p>
        </w:tc>
      </w:tr>
      <w:tr w:rsidR="000A2ADC" w:rsidRPr="00083EE7" w14:paraId="41C97654" w14:textId="77777777" w:rsidTr="00F00DF8">
        <w:trPr>
          <w:trHeight w:val="1349"/>
        </w:trPr>
        <w:tc>
          <w:tcPr>
            <w:tcW w:w="9016" w:type="dxa"/>
            <w:gridSpan w:val="7"/>
          </w:tcPr>
          <w:p w14:paraId="4D2225BD" w14:textId="664784BE" w:rsidR="0073207E" w:rsidRPr="00083EE7" w:rsidRDefault="00F13601" w:rsidP="00210AF6">
            <w:pPr>
              <w:rPr>
                <w:rFonts w:ascii="Verdana" w:eastAsia="Times New Roman" w:hAnsi="Verdana"/>
                <w:sz w:val="24"/>
                <w:szCs w:val="24"/>
              </w:rPr>
            </w:pPr>
            <w:r w:rsidRPr="00083EE7">
              <w:rPr>
                <w:rFonts w:ascii="Verdana" w:eastAsia="Times New Roman" w:hAnsi="Verdana"/>
                <w:sz w:val="24"/>
                <w:szCs w:val="24"/>
              </w:rPr>
              <w:t>The</w:t>
            </w:r>
            <w:r w:rsidR="00210AF6" w:rsidRPr="00083EE7">
              <w:rPr>
                <w:rFonts w:ascii="Verdana" w:eastAsia="Times New Roman" w:hAnsi="Verdana"/>
                <w:sz w:val="24"/>
                <w:szCs w:val="24"/>
              </w:rPr>
              <w:t xml:space="preserve"> Board is asked to:</w:t>
            </w:r>
          </w:p>
          <w:p w14:paraId="31C5E9BC" w14:textId="77777777" w:rsidR="00AF7B80" w:rsidRPr="00083EE7" w:rsidRDefault="00AF7B80" w:rsidP="00210AF6">
            <w:pPr>
              <w:rPr>
                <w:rFonts w:ascii="Verdana" w:eastAsia="Times New Roman" w:hAnsi="Verdana"/>
                <w:sz w:val="24"/>
                <w:szCs w:val="24"/>
              </w:rPr>
            </w:pPr>
          </w:p>
          <w:p w14:paraId="5998DAF1" w14:textId="30E564E9" w:rsidR="002119CD" w:rsidRPr="002119CD" w:rsidRDefault="00AF7B80" w:rsidP="00DB589B">
            <w:pPr>
              <w:pStyle w:val="ListParagraph"/>
              <w:numPr>
                <w:ilvl w:val="0"/>
                <w:numId w:val="2"/>
              </w:numPr>
              <w:rPr>
                <w:rFonts w:ascii="Verdana" w:eastAsia="Times New Roman" w:hAnsi="Verdana"/>
                <w:b/>
              </w:rPr>
            </w:pPr>
            <w:r w:rsidRPr="00083EE7">
              <w:rPr>
                <w:rFonts w:ascii="Verdana" w:eastAsia="Times New Roman" w:hAnsi="Verdana"/>
                <w:b/>
              </w:rPr>
              <w:t>Consider and a</w:t>
            </w:r>
            <w:r w:rsidR="000C2256" w:rsidRPr="00083EE7">
              <w:rPr>
                <w:rFonts w:ascii="Verdana" w:eastAsia="Times New Roman" w:hAnsi="Verdana"/>
                <w:b/>
              </w:rPr>
              <w:t xml:space="preserve">pprove </w:t>
            </w:r>
            <w:r w:rsidR="000C2256" w:rsidRPr="00083EE7">
              <w:rPr>
                <w:rFonts w:ascii="Verdana" w:eastAsia="Times New Roman" w:hAnsi="Verdana"/>
              </w:rPr>
              <w:t>the variations to the Board and Committee schedule</w:t>
            </w:r>
            <w:r w:rsidR="000C43F0">
              <w:rPr>
                <w:rFonts w:ascii="Verdana" w:eastAsia="Times New Roman" w:hAnsi="Verdana"/>
              </w:rPr>
              <w:t>,</w:t>
            </w:r>
            <w:r w:rsidR="000C2256" w:rsidRPr="00083EE7">
              <w:rPr>
                <w:rFonts w:ascii="Verdana" w:eastAsia="Times New Roman" w:hAnsi="Verdana"/>
              </w:rPr>
              <w:t xml:space="preserve"> as outlined</w:t>
            </w:r>
            <w:r w:rsidR="000C43F0">
              <w:rPr>
                <w:rFonts w:ascii="Verdana" w:eastAsia="Times New Roman" w:hAnsi="Verdana"/>
              </w:rPr>
              <w:t>,</w:t>
            </w:r>
            <w:r w:rsidR="00BA6FDA">
              <w:rPr>
                <w:rFonts w:ascii="Verdana" w:eastAsia="Times New Roman" w:hAnsi="Verdana"/>
              </w:rPr>
              <w:t xml:space="preserve"> to take </w:t>
            </w:r>
            <w:r w:rsidR="00DB589B" w:rsidRPr="00DB589B">
              <w:rPr>
                <w:rFonts w:ascii="Verdana" w:eastAsia="Times New Roman" w:hAnsi="Verdana"/>
              </w:rPr>
              <w:t>effect from</w:t>
            </w:r>
            <w:r w:rsidR="002119CD">
              <w:rPr>
                <w:rFonts w:ascii="Verdana" w:eastAsia="Times New Roman" w:hAnsi="Verdana"/>
              </w:rPr>
              <w:t xml:space="preserve"> 1 April 2021</w:t>
            </w:r>
            <w:r w:rsidR="00D25EC8">
              <w:rPr>
                <w:rFonts w:ascii="Verdana" w:eastAsia="Times New Roman" w:hAnsi="Verdana"/>
              </w:rPr>
              <w:t>, with a subsequent review in July</w:t>
            </w:r>
            <w:r w:rsidR="00A845BA">
              <w:rPr>
                <w:rFonts w:ascii="Verdana" w:eastAsia="Times New Roman" w:hAnsi="Verdana"/>
              </w:rPr>
              <w:t xml:space="preserve"> </w:t>
            </w:r>
            <w:r w:rsidR="00D25EC8">
              <w:rPr>
                <w:rFonts w:ascii="Verdana" w:eastAsia="Times New Roman" w:hAnsi="Verdana"/>
              </w:rPr>
              <w:t>2021.</w:t>
            </w:r>
          </w:p>
          <w:p w14:paraId="248FF57D" w14:textId="6A8B885F" w:rsidR="00DB589B" w:rsidRPr="005067B6" w:rsidRDefault="00DB589B" w:rsidP="005067B6">
            <w:pPr>
              <w:rPr>
                <w:rFonts w:ascii="Verdana" w:eastAsia="Times New Roman" w:hAnsi="Verdana"/>
              </w:rPr>
            </w:pPr>
          </w:p>
        </w:tc>
      </w:tr>
      <w:tr w:rsidR="007D3BC3" w:rsidRPr="00083EE7" w14:paraId="613388E9" w14:textId="77777777" w:rsidTr="00D350C4">
        <w:trPr>
          <w:trHeight w:val="834"/>
        </w:trPr>
        <w:tc>
          <w:tcPr>
            <w:tcW w:w="9016" w:type="dxa"/>
            <w:gridSpan w:val="7"/>
          </w:tcPr>
          <w:p w14:paraId="35E3F046" w14:textId="5D320EBD" w:rsidR="00D350C4" w:rsidRPr="00083EE7" w:rsidRDefault="007D3BC3" w:rsidP="00210AF6">
            <w:pPr>
              <w:rPr>
                <w:rFonts w:ascii="Verdana" w:eastAsia="Times New Roman" w:hAnsi="Verdana"/>
                <w:sz w:val="24"/>
                <w:szCs w:val="24"/>
              </w:rPr>
            </w:pPr>
            <w:r w:rsidRPr="00083EE7">
              <w:rPr>
                <w:rFonts w:ascii="Verdana" w:eastAsia="Times New Roman" w:hAnsi="Verdana"/>
                <w:sz w:val="24"/>
                <w:szCs w:val="24"/>
              </w:rPr>
              <w:t>Appendices and Attachments:</w:t>
            </w:r>
          </w:p>
          <w:p w14:paraId="646C4E09" w14:textId="77777777" w:rsidR="00D350C4" w:rsidRPr="00083EE7" w:rsidRDefault="00D350C4" w:rsidP="00210AF6">
            <w:pPr>
              <w:rPr>
                <w:rFonts w:ascii="Verdana" w:eastAsia="Times New Roman" w:hAnsi="Verdana"/>
                <w:sz w:val="24"/>
                <w:szCs w:val="24"/>
              </w:rPr>
            </w:pPr>
          </w:p>
          <w:p w14:paraId="556921F8" w14:textId="77777777" w:rsidR="007D3BC3" w:rsidRDefault="007D3BC3" w:rsidP="00AF7B80">
            <w:pPr>
              <w:pStyle w:val="ListParagraph"/>
              <w:numPr>
                <w:ilvl w:val="0"/>
                <w:numId w:val="39"/>
              </w:numPr>
              <w:rPr>
                <w:rFonts w:ascii="Verdana" w:eastAsia="Times New Roman" w:hAnsi="Verdana"/>
              </w:rPr>
            </w:pPr>
            <w:r w:rsidRPr="00083EE7">
              <w:rPr>
                <w:rFonts w:ascii="Verdana" w:eastAsia="Times New Roman" w:hAnsi="Verdana"/>
              </w:rPr>
              <w:t xml:space="preserve">Appendix 1 – </w:t>
            </w:r>
            <w:r w:rsidR="00D350C4" w:rsidRPr="00083EE7">
              <w:rPr>
                <w:rFonts w:ascii="Verdana" w:eastAsia="Times New Roman" w:hAnsi="Verdana"/>
              </w:rPr>
              <w:t>Proposed Board and Committee Schedule 2021/22</w:t>
            </w:r>
          </w:p>
          <w:p w14:paraId="32C2408F" w14:textId="32E9FBAE" w:rsidR="005067B6" w:rsidRPr="00083EE7" w:rsidRDefault="005067B6" w:rsidP="005067B6">
            <w:pPr>
              <w:pStyle w:val="ListParagraph"/>
              <w:rPr>
                <w:rFonts w:ascii="Verdana" w:eastAsia="Times New Roman" w:hAnsi="Verdana"/>
              </w:rPr>
            </w:pPr>
          </w:p>
        </w:tc>
      </w:tr>
    </w:tbl>
    <w:p w14:paraId="7641B478" w14:textId="77777777" w:rsidR="000A2ADC" w:rsidRPr="00083EE7" w:rsidRDefault="000A2ADC" w:rsidP="00210AF6">
      <w:pPr>
        <w:spacing w:after="0" w:line="240" w:lineRule="auto"/>
        <w:rPr>
          <w:rFonts w:ascii="Verdana" w:hAnsi="Verdana"/>
          <w:sz w:val="24"/>
          <w:szCs w:val="24"/>
        </w:rPr>
        <w:sectPr w:rsidR="000A2ADC" w:rsidRPr="00083EE7" w:rsidSect="008F2049">
          <w:footerReference w:type="default" r:id="rId12"/>
          <w:pgSz w:w="11906" w:h="16838"/>
          <w:pgMar w:top="1440" w:right="1440" w:bottom="1440" w:left="1440" w:header="708" w:footer="708" w:gutter="0"/>
          <w:cols w:space="708"/>
          <w:docGrid w:linePitch="360"/>
        </w:sectPr>
      </w:pPr>
    </w:p>
    <w:p w14:paraId="51B555C1" w14:textId="1D317257" w:rsidR="00556F06" w:rsidRPr="00083EE7" w:rsidRDefault="00556F06" w:rsidP="00FC000B">
      <w:pPr>
        <w:pStyle w:val="ListParagraph"/>
        <w:numPr>
          <w:ilvl w:val="0"/>
          <w:numId w:val="43"/>
        </w:numPr>
        <w:contextualSpacing w:val="0"/>
        <w:rPr>
          <w:rFonts w:ascii="Verdana" w:eastAsia="Times New Roman" w:hAnsi="Verdana"/>
          <w:b/>
          <w:u w:val="single"/>
        </w:rPr>
      </w:pPr>
      <w:r w:rsidRPr="00083EE7">
        <w:rPr>
          <w:rFonts w:ascii="Verdana" w:eastAsia="Times New Roman" w:hAnsi="Verdana"/>
          <w:b/>
          <w:u w:val="single"/>
        </w:rPr>
        <w:lastRenderedPageBreak/>
        <w:t xml:space="preserve">Introduction </w:t>
      </w:r>
    </w:p>
    <w:p w14:paraId="34A7B830" w14:textId="28D0BA52" w:rsidR="00556F06" w:rsidRDefault="001207C1" w:rsidP="005067B6">
      <w:pPr>
        <w:spacing w:after="0"/>
        <w:jc w:val="both"/>
        <w:rPr>
          <w:rFonts w:ascii="Verdana" w:eastAsia="Times New Roman" w:hAnsi="Verdana"/>
          <w:sz w:val="24"/>
          <w:szCs w:val="24"/>
        </w:rPr>
      </w:pPr>
      <w:r>
        <w:rPr>
          <w:rFonts w:ascii="Verdana" w:eastAsia="Times New Roman" w:hAnsi="Verdana"/>
          <w:sz w:val="24"/>
          <w:szCs w:val="24"/>
        </w:rPr>
        <w:t>Throughout the last twelve months, the Board has reviewed its governance arrangements</w:t>
      </w:r>
      <w:r w:rsidR="001947B5">
        <w:rPr>
          <w:rFonts w:ascii="Verdana" w:eastAsia="Times New Roman" w:hAnsi="Verdana"/>
          <w:sz w:val="24"/>
          <w:szCs w:val="24"/>
        </w:rPr>
        <w:t xml:space="preserve"> and </w:t>
      </w:r>
      <w:r w:rsidR="003D4B31">
        <w:rPr>
          <w:rFonts w:ascii="Verdana" w:eastAsia="Times New Roman" w:hAnsi="Verdana"/>
          <w:sz w:val="24"/>
          <w:szCs w:val="24"/>
        </w:rPr>
        <w:t>has ma</w:t>
      </w:r>
      <w:r w:rsidR="00C3099A">
        <w:rPr>
          <w:rFonts w:ascii="Verdana" w:eastAsia="Times New Roman" w:hAnsi="Verdana"/>
          <w:sz w:val="24"/>
          <w:szCs w:val="24"/>
        </w:rPr>
        <w:t>de</w:t>
      </w:r>
      <w:r w:rsidR="00556F06" w:rsidRPr="00083EE7">
        <w:rPr>
          <w:rFonts w:ascii="Verdana" w:eastAsia="Times New Roman" w:hAnsi="Verdana"/>
          <w:sz w:val="24"/>
          <w:szCs w:val="24"/>
        </w:rPr>
        <w:t xml:space="preserve"> a number of </w:t>
      </w:r>
      <w:r w:rsidR="0034404B">
        <w:rPr>
          <w:rFonts w:ascii="Verdana" w:eastAsia="Times New Roman" w:hAnsi="Verdana"/>
          <w:sz w:val="24"/>
          <w:szCs w:val="24"/>
        </w:rPr>
        <w:t xml:space="preserve">changes to its way of working. </w:t>
      </w:r>
    </w:p>
    <w:p w14:paraId="6A88B613" w14:textId="77777777" w:rsidR="00FC000B" w:rsidRPr="00083EE7" w:rsidRDefault="00FC000B" w:rsidP="005067B6">
      <w:pPr>
        <w:spacing w:after="0"/>
        <w:jc w:val="both"/>
        <w:rPr>
          <w:rFonts w:ascii="Verdana" w:eastAsia="Times New Roman" w:hAnsi="Verdana"/>
          <w:sz w:val="24"/>
          <w:szCs w:val="24"/>
        </w:rPr>
      </w:pPr>
    </w:p>
    <w:p w14:paraId="2151D292" w14:textId="77777777" w:rsidR="00556F06" w:rsidRPr="00083EE7" w:rsidRDefault="00556F06" w:rsidP="005067B6">
      <w:pPr>
        <w:spacing w:after="0"/>
        <w:jc w:val="both"/>
        <w:rPr>
          <w:rFonts w:ascii="Verdana" w:eastAsia="Times New Roman" w:hAnsi="Verdana"/>
          <w:sz w:val="24"/>
          <w:szCs w:val="24"/>
        </w:rPr>
      </w:pPr>
      <w:r w:rsidRPr="00083EE7">
        <w:rPr>
          <w:rFonts w:ascii="Verdana" w:eastAsia="Times New Roman" w:hAnsi="Verdana"/>
          <w:sz w:val="24"/>
          <w:szCs w:val="24"/>
        </w:rPr>
        <w:t>For ease of reference, the changes made in recent months are available to view in the following papers:</w:t>
      </w:r>
    </w:p>
    <w:p w14:paraId="5B07E94E" w14:textId="77777777" w:rsidR="00556F06" w:rsidRPr="00083EE7" w:rsidRDefault="000C689E" w:rsidP="005067B6">
      <w:pPr>
        <w:pStyle w:val="ListParagraph"/>
        <w:numPr>
          <w:ilvl w:val="0"/>
          <w:numId w:val="18"/>
        </w:numPr>
        <w:contextualSpacing w:val="0"/>
        <w:jc w:val="both"/>
        <w:rPr>
          <w:rFonts w:ascii="Verdana" w:eastAsia="Times New Roman" w:hAnsi="Verdana"/>
        </w:rPr>
      </w:pPr>
      <w:hyperlink r:id="rId13" w:history="1">
        <w:r w:rsidR="00556F06" w:rsidRPr="00083EE7">
          <w:rPr>
            <w:rStyle w:val="Hyperlink"/>
            <w:rFonts w:ascii="Verdana" w:eastAsia="Times New Roman" w:hAnsi="Verdana"/>
          </w:rPr>
          <w:t>Board Governance changes, 26 March 2020</w:t>
        </w:r>
      </w:hyperlink>
      <w:r w:rsidR="009E3ECE" w:rsidRPr="00083EE7">
        <w:rPr>
          <w:rFonts w:ascii="Verdana" w:eastAsia="Times New Roman" w:hAnsi="Verdana"/>
        </w:rPr>
        <w:t xml:space="preserve"> </w:t>
      </w:r>
    </w:p>
    <w:p w14:paraId="35FACB1F" w14:textId="157029B0" w:rsidR="004524F2" w:rsidRPr="00083EE7" w:rsidRDefault="000C689E" w:rsidP="005067B6">
      <w:pPr>
        <w:pStyle w:val="ListParagraph"/>
        <w:numPr>
          <w:ilvl w:val="0"/>
          <w:numId w:val="18"/>
        </w:numPr>
        <w:contextualSpacing w:val="0"/>
        <w:jc w:val="both"/>
        <w:rPr>
          <w:rFonts w:ascii="Verdana" w:eastAsia="Times New Roman" w:hAnsi="Verdana"/>
        </w:rPr>
      </w:pPr>
      <w:hyperlink r:id="rId14" w:history="1">
        <w:r w:rsidR="00556F06" w:rsidRPr="00083EE7">
          <w:rPr>
            <w:rStyle w:val="Hyperlink"/>
            <w:rFonts w:ascii="Verdana" w:eastAsia="Times New Roman" w:hAnsi="Verdana"/>
          </w:rPr>
          <w:t>Board Governance changes, 30 April</w:t>
        </w:r>
        <w:r w:rsidR="009E3ECE" w:rsidRPr="00083EE7">
          <w:rPr>
            <w:rStyle w:val="Hyperlink"/>
            <w:rFonts w:ascii="Verdana" w:eastAsia="Times New Roman" w:hAnsi="Verdana"/>
          </w:rPr>
          <w:t xml:space="preserve"> 2020</w:t>
        </w:r>
      </w:hyperlink>
      <w:r w:rsidR="00556F06" w:rsidRPr="00083EE7">
        <w:rPr>
          <w:rFonts w:ascii="Verdana" w:eastAsia="Times New Roman" w:hAnsi="Verdana"/>
        </w:rPr>
        <w:t xml:space="preserve"> </w:t>
      </w:r>
    </w:p>
    <w:p w14:paraId="0B50B34E" w14:textId="2A14A4B3" w:rsidR="0073207E" w:rsidRPr="00083EE7" w:rsidRDefault="000C689E" w:rsidP="005067B6">
      <w:pPr>
        <w:pStyle w:val="ListParagraph"/>
        <w:numPr>
          <w:ilvl w:val="0"/>
          <w:numId w:val="18"/>
        </w:numPr>
        <w:contextualSpacing w:val="0"/>
        <w:jc w:val="both"/>
        <w:rPr>
          <w:rStyle w:val="Hyperlink"/>
          <w:rFonts w:ascii="Verdana" w:eastAsia="Times New Roman" w:hAnsi="Verdana"/>
          <w:color w:val="auto"/>
          <w:u w:val="none"/>
        </w:rPr>
      </w:pPr>
      <w:hyperlink r:id="rId15" w:history="1">
        <w:r w:rsidR="004524F2" w:rsidRPr="00083EE7">
          <w:rPr>
            <w:rStyle w:val="Hyperlink"/>
            <w:rFonts w:ascii="Verdana" w:eastAsia="Times New Roman" w:hAnsi="Verdana"/>
          </w:rPr>
          <w:t>Board Governance changes, 30 July 2020</w:t>
        </w:r>
      </w:hyperlink>
    </w:p>
    <w:p w14:paraId="74FF33FA" w14:textId="004119BB" w:rsidR="00AF7B80" w:rsidRPr="005067B6" w:rsidRDefault="000C689E" w:rsidP="005067B6">
      <w:pPr>
        <w:pStyle w:val="ListParagraph"/>
        <w:numPr>
          <w:ilvl w:val="0"/>
          <w:numId w:val="18"/>
        </w:numPr>
        <w:contextualSpacing w:val="0"/>
        <w:jc w:val="both"/>
        <w:rPr>
          <w:rStyle w:val="Hyperlink"/>
          <w:rFonts w:ascii="Verdana" w:eastAsia="Times New Roman" w:hAnsi="Verdana"/>
          <w:color w:val="auto"/>
          <w:u w:val="none"/>
        </w:rPr>
      </w:pPr>
      <w:hyperlink r:id="rId16" w:history="1">
        <w:r w:rsidR="005067B6" w:rsidRPr="005067B6">
          <w:rPr>
            <w:rStyle w:val="Hyperlink"/>
            <w:rFonts w:ascii="Verdana" w:eastAsia="Times New Roman" w:hAnsi="Verdana"/>
          </w:rPr>
          <w:t>Board Governance changes, 29 October 2020</w:t>
        </w:r>
      </w:hyperlink>
      <w:r w:rsidR="005067B6" w:rsidRPr="005067B6">
        <w:rPr>
          <w:rStyle w:val="Hyperlink"/>
          <w:rFonts w:ascii="Verdana" w:eastAsia="Times New Roman" w:hAnsi="Verdana"/>
          <w:color w:val="auto"/>
          <w:u w:val="none"/>
        </w:rPr>
        <w:t xml:space="preserve"> </w:t>
      </w:r>
    </w:p>
    <w:p w14:paraId="758A6EF7" w14:textId="77777777" w:rsidR="00E5287C" w:rsidRPr="00083EE7" w:rsidRDefault="00E5287C" w:rsidP="005067B6">
      <w:pPr>
        <w:tabs>
          <w:tab w:val="left" w:pos="6379"/>
        </w:tabs>
        <w:spacing w:after="0"/>
        <w:jc w:val="both"/>
        <w:rPr>
          <w:rFonts w:ascii="Verdana" w:eastAsia="Times New Roman" w:hAnsi="Verdana"/>
          <w:sz w:val="24"/>
          <w:szCs w:val="24"/>
        </w:rPr>
      </w:pPr>
    </w:p>
    <w:p w14:paraId="34E4D161" w14:textId="1F97803F" w:rsidR="00556F06" w:rsidRDefault="00C14832" w:rsidP="005067B6">
      <w:pPr>
        <w:spacing w:after="0"/>
        <w:jc w:val="both"/>
        <w:rPr>
          <w:rFonts w:ascii="Verdana" w:eastAsia="Times New Roman" w:hAnsi="Verdana"/>
          <w:sz w:val="24"/>
          <w:szCs w:val="24"/>
        </w:rPr>
      </w:pPr>
      <w:r>
        <w:rPr>
          <w:rFonts w:ascii="Verdana" w:eastAsia="Times New Roman" w:hAnsi="Verdana"/>
          <w:sz w:val="24"/>
          <w:szCs w:val="24"/>
        </w:rPr>
        <w:t>The ongo</w:t>
      </w:r>
      <w:r w:rsidR="00486C74">
        <w:rPr>
          <w:rFonts w:ascii="Verdana" w:eastAsia="Times New Roman" w:hAnsi="Verdana"/>
          <w:sz w:val="24"/>
          <w:szCs w:val="24"/>
        </w:rPr>
        <w:t xml:space="preserve">ing organisational </w:t>
      </w:r>
      <w:r w:rsidR="001D0A6A">
        <w:rPr>
          <w:rFonts w:ascii="Verdana" w:eastAsia="Times New Roman" w:hAnsi="Verdana"/>
          <w:sz w:val="24"/>
          <w:szCs w:val="24"/>
        </w:rPr>
        <w:t>mobilisation in response to COVID-19</w:t>
      </w:r>
      <w:r w:rsidR="00D233CF">
        <w:rPr>
          <w:rFonts w:ascii="Verdana" w:eastAsia="Times New Roman" w:hAnsi="Verdana"/>
          <w:sz w:val="24"/>
          <w:szCs w:val="24"/>
        </w:rPr>
        <w:t>,</w:t>
      </w:r>
      <w:r w:rsidR="00C01FD7">
        <w:rPr>
          <w:rFonts w:ascii="Verdana" w:eastAsia="Times New Roman" w:hAnsi="Verdana"/>
          <w:sz w:val="24"/>
          <w:szCs w:val="24"/>
        </w:rPr>
        <w:t xml:space="preserve"> </w:t>
      </w:r>
      <w:r w:rsidR="00DE6CAD">
        <w:rPr>
          <w:rFonts w:ascii="Verdana" w:eastAsia="Times New Roman" w:hAnsi="Verdana"/>
          <w:sz w:val="24"/>
          <w:szCs w:val="24"/>
        </w:rPr>
        <w:t>coupled with other priority</w:t>
      </w:r>
      <w:r w:rsidR="00C01FD7">
        <w:rPr>
          <w:rFonts w:ascii="Verdana" w:eastAsia="Times New Roman" w:hAnsi="Verdana"/>
          <w:sz w:val="24"/>
          <w:szCs w:val="24"/>
        </w:rPr>
        <w:t xml:space="preserve"> areas</w:t>
      </w:r>
      <w:r w:rsidR="00DE6CAD">
        <w:rPr>
          <w:rFonts w:ascii="Verdana" w:eastAsia="Times New Roman" w:hAnsi="Verdana"/>
          <w:sz w:val="24"/>
          <w:szCs w:val="24"/>
        </w:rPr>
        <w:t>, make it timely to review the arrangements again, prior to the start of the 2021/22 financial year.</w:t>
      </w:r>
      <w:r w:rsidR="00C01FD7">
        <w:rPr>
          <w:rFonts w:ascii="Verdana" w:eastAsia="Times New Roman" w:hAnsi="Verdana"/>
          <w:sz w:val="24"/>
          <w:szCs w:val="24"/>
        </w:rPr>
        <w:t xml:space="preserve"> This paper s</w:t>
      </w:r>
      <w:r w:rsidR="00DE6CAD">
        <w:rPr>
          <w:rFonts w:ascii="Verdana" w:eastAsia="Times New Roman" w:hAnsi="Verdana"/>
          <w:sz w:val="24"/>
          <w:szCs w:val="24"/>
        </w:rPr>
        <w:t>ets out some r</w:t>
      </w:r>
      <w:r w:rsidR="00083EE7">
        <w:rPr>
          <w:rFonts w:ascii="Verdana" w:eastAsia="Times New Roman" w:hAnsi="Verdana"/>
          <w:sz w:val="24"/>
          <w:szCs w:val="24"/>
        </w:rPr>
        <w:t xml:space="preserve">ecommendations for Board </w:t>
      </w:r>
      <w:r w:rsidR="00FC000B" w:rsidRPr="00083EE7">
        <w:rPr>
          <w:rFonts w:ascii="Verdana" w:eastAsia="Times New Roman" w:hAnsi="Verdana"/>
          <w:sz w:val="24"/>
          <w:szCs w:val="24"/>
        </w:rPr>
        <w:t>consideration</w:t>
      </w:r>
      <w:r w:rsidR="00FC000B">
        <w:rPr>
          <w:rFonts w:ascii="Verdana" w:eastAsia="Times New Roman" w:hAnsi="Verdana"/>
          <w:sz w:val="24"/>
          <w:szCs w:val="24"/>
        </w:rPr>
        <w:t>,</w:t>
      </w:r>
      <w:r w:rsidR="00C01FD7">
        <w:rPr>
          <w:rFonts w:ascii="Verdana" w:eastAsia="Times New Roman" w:hAnsi="Verdana"/>
          <w:sz w:val="24"/>
          <w:szCs w:val="24"/>
        </w:rPr>
        <w:t xml:space="preserve"> </w:t>
      </w:r>
      <w:r w:rsidR="00DE6CAD">
        <w:rPr>
          <w:rFonts w:ascii="Verdana" w:eastAsia="Times New Roman" w:hAnsi="Verdana"/>
          <w:sz w:val="24"/>
          <w:szCs w:val="24"/>
        </w:rPr>
        <w:t xml:space="preserve">to take effect </w:t>
      </w:r>
      <w:r w:rsidR="005067B6">
        <w:rPr>
          <w:rFonts w:ascii="Verdana" w:eastAsia="Times New Roman" w:hAnsi="Verdana"/>
          <w:sz w:val="24"/>
          <w:szCs w:val="24"/>
        </w:rPr>
        <w:t>from 1 </w:t>
      </w:r>
      <w:r w:rsidR="00AF7B80" w:rsidRPr="00083EE7">
        <w:rPr>
          <w:rFonts w:ascii="Verdana" w:eastAsia="Times New Roman" w:hAnsi="Verdana"/>
          <w:sz w:val="24"/>
          <w:szCs w:val="24"/>
        </w:rPr>
        <w:t>April</w:t>
      </w:r>
      <w:r w:rsidR="005067B6">
        <w:rPr>
          <w:rFonts w:ascii="Verdana" w:eastAsia="Times New Roman" w:hAnsi="Verdana"/>
          <w:sz w:val="24"/>
          <w:szCs w:val="24"/>
        </w:rPr>
        <w:t> </w:t>
      </w:r>
      <w:r w:rsidR="00AF7B80" w:rsidRPr="00083EE7">
        <w:rPr>
          <w:rFonts w:ascii="Verdana" w:eastAsia="Times New Roman" w:hAnsi="Verdana"/>
          <w:sz w:val="24"/>
          <w:szCs w:val="24"/>
        </w:rPr>
        <w:t>2021</w:t>
      </w:r>
      <w:r w:rsidR="0073207E" w:rsidRPr="00083EE7">
        <w:rPr>
          <w:rFonts w:ascii="Verdana" w:eastAsia="Times New Roman" w:hAnsi="Verdana"/>
          <w:sz w:val="24"/>
          <w:szCs w:val="24"/>
        </w:rPr>
        <w:t xml:space="preserve">/22. </w:t>
      </w:r>
    </w:p>
    <w:p w14:paraId="661F4577" w14:textId="77777777" w:rsidR="00FC000B" w:rsidRPr="00083EE7" w:rsidRDefault="00FC000B" w:rsidP="005067B6">
      <w:pPr>
        <w:spacing w:after="0"/>
        <w:jc w:val="both"/>
        <w:rPr>
          <w:rFonts w:ascii="Verdana" w:eastAsia="Times New Roman" w:hAnsi="Verdana"/>
          <w:sz w:val="24"/>
          <w:szCs w:val="24"/>
        </w:rPr>
      </w:pPr>
    </w:p>
    <w:p w14:paraId="7AA31960" w14:textId="254ABD54" w:rsidR="00246D11" w:rsidRPr="00083EE7" w:rsidRDefault="00AF7B80" w:rsidP="005067B6">
      <w:pPr>
        <w:pStyle w:val="ListParagraph"/>
        <w:numPr>
          <w:ilvl w:val="0"/>
          <w:numId w:val="43"/>
        </w:numPr>
        <w:contextualSpacing w:val="0"/>
        <w:jc w:val="both"/>
        <w:rPr>
          <w:rFonts w:ascii="Verdana" w:eastAsia="Times New Roman" w:hAnsi="Verdana"/>
          <w:b/>
          <w:u w:val="single"/>
        </w:rPr>
      </w:pPr>
      <w:r w:rsidRPr="00083EE7">
        <w:rPr>
          <w:rFonts w:ascii="Verdana" w:eastAsia="Times New Roman" w:hAnsi="Verdana"/>
          <w:b/>
          <w:u w:val="single"/>
        </w:rPr>
        <w:t>Context</w:t>
      </w:r>
    </w:p>
    <w:p w14:paraId="62ADFD62" w14:textId="22007989" w:rsidR="00FC000B" w:rsidRDefault="00C01FD7" w:rsidP="005067B6">
      <w:pPr>
        <w:spacing w:after="0"/>
        <w:jc w:val="both"/>
        <w:rPr>
          <w:rFonts w:ascii="Verdana" w:hAnsi="Verdana"/>
          <w:sz w:val="24"/>
          <w:szCs w:val="24"/>
        </w:rPr>
      </w:pPr>
      <w:r>
        <w:rPr>
          <w:rFonts w:ascii="Verdana" w:hAnsi="Verdana"/>
          <w:sz w:val="24"/>
          <w:szCs w:val="24"/>
        </w:rPr>
        <w:t xml:space="preserve">COVID-19 mobilisation remains the highest priority for the organisation; yet other priorities, including focus on the broader harms, mean that the Board needs to balance its oversight of COVID-19 delivery against a focus on other aspects of the Operational Plan and key strategic development work, including a refresh of the Long Term Strategy 2018-2030. </w:t>
      </w:r>
    </w:p>
    <w:p w14:paraId="7EC0AD17" w14:textId="77777777" w:rsidR="00FC000B" w:rsidRDefault="00FC000B" w:rsidP="005067B6">
      <w:pPr>
        <w:spacing w:after="0"/>
        <w:jc w:val="both"/>
        <w:rPr>
          <w:rFonts w:ascii="Verdana" w:hAnsi="Verdana"/>
          <w:sz w:val="24"/>
          <w:szCs w:val="24"/>
        </w:rPr>
      </w:pPr>
    </w:p>
    <w:p w14:paraId="44A70662" w14:textId="2116B23E" w:rsidR="00301DE2" w:rsidRPr="00083EE7" w:rsidRDefault="00C01FD7" w:rsidP="005067B6">
      <w:pPr>
        <w:spacing w:after="0"/>
        <w:jc w:val="both"/>
        <w:rPr>
          <w:rFonts w:ascii="Verdana" w:hAnsi="Verdana"/>
          <w:sz w:val="24"/>
          <w:szCs w:val="24"/>
        </w:rPr>
      </w:pPr>
      <w:r>
        <w:rPr>
          <w:rFonts w:ascii="Verdana" w:hAnsi="Verdana"/>
          <w:sz w:val="24"/>
          <w:szCs w:val="24"/>
        </w:rPr>
        <w:t xml:space="preserve">Above all, the Board needs to </w:t>
      </w:r>
      <w:r w:rsidR="00D350C4" w:rsidRPr="00083EE7">
        <w:rPr>
          <w:rFonts w:ascii="Verdana" w:hAnsi="Verdana"/>
          <w:sz w:val="24"/>
          <w:szCs w:val="24"/>
        </w:rPr>
        <w:t>ensure the following:</w:t>
      </w:r>
    </w:p>
    <w:p w14:paraId="5039E7CA" w14:textId="338EBCB0" w:rsidR="00D350C4" w:rsidRDefault="00D350C4" w:rsidP="005067B6">
      <w:pPr>
        <w:pStyle w:val="ListParagraph"/>
        <w:numPr>
          <w:ilvl w:val="0"/>
          <w:numId w:val="41"/>
        </w:numPr>
        <w:ind w:left="426"/>
        <w:contextualSpacing w:val="0"/>
        <w:jc w:val="both"/>
        <w:rPr>
          <w:rFonts w:ascii="Verdana" w:eastAsia="Times New Roman" w:hAnsi="Verdana"/>
        </w:rPr>
      </w:pPr>
      <w:r w:rsidRPr="00083EE7">
        <w:rPr>
          <w:rFonts w:ascii="Verdana" w:eastAsia="Times New Roman" w:hAnsi="Verdana"/>
        </w:rPr>
        <w:t>that the right tou</w:t>
      </w:r>
      <w:r w:rsidR="00C01FD7">
        <w:rPr>
          <w:rFonts w:ascii="Verdana" w:eastAsia="Times New Roman" w:hAnsi="Verdana"/>
        </w:rPr>
        <w:t>ch governance principles remain</w:t>
      </w:r>
      <w:r w:rsidRPr="00083EE7">
        <w:rPr>
          <w:rFonts w:ascii="Verdana" w:eastAsia="Times New Roman" w:hAnsi="Verdana"/>
        </w:rPr>
        <w:t xml:space="preserve"> in place for 2021/22</w:t>
      </w:r>
      <w:r w:rsidR="00C01FD7">
        <w:rPr>
          <w:rFonts w:ascii="Verdana" w:eastAsia="Times New Roman" w:hAnsi="Verdana"/>
        </w:rPr>
        <w:t>, to facilitate effective Board leadership, oversight and assurance;</w:t>
      </w:r>
    </w:p>
    <w:p w14:paraId="4A5E22D3" w14:textId="77777777" w:rsidR="00C131E1" w:rsidRPr="00083EE7" w:rsidRDefault="00C131E1" w:rsidP="005067B6">
      <w:pPr>
        <w:pStyle w:val="ListParagraph"/>
        <w:ind w:left="426"/>
        <w:contextualSpacing w:val="0"/>
        <w:jc w:val="both"/>
        <w:rPr>
          <w:rFonts w:ascii="Verdana" w:eastAsia="Times New Roman" w:hAnsi="Verdana"/>
        </w:rPr>
      </w:pPr>
    </w:p>
    <w:p w14:paraId="2378DC1F" w14:textId="22816DB4" w:rsidR="00C131E1" w:rsidRPr="00C131E1" w:rsidRDefault="00C131E1" w:rsidP="005067B6">
      <w:pPr>
        <w:pStyle w:val="ListParagraph"/>
        <w:numPr>
          <w:ilvl w:val="0"/>
          <w:numId w:val="41"/>
        </w:numPr>
        <w:ind w:left="426"/>
        <w:contextualSpacing w:val="0"/>
        <w:jc w:val="both"/>
        <w:rPr>
          <w:rFonts w:ascii="Verdana" w:eastAsia="Times New Roman" w:hAnsi="Verdana"/>
        </w:rPr>
      </w:pPr>
      <w:proofErr w:type="gramStart"/>
      <w:r>
        <w:rPr>
          <w:rFonts w:ascii="Verdana" w:eastAsia="Times New Roman" w:hAnsi="Verdana"/>
        </w:rPr>
        <w:t>that</w:t>
      </w:r>
      <w:proofErr w:type="gramEnd"/>
      <w:r>
        <w:rPr>
          <w:rFonts w:ascii="Verdana" w:eastAsia="Times New Roman" w:hAnsi="Verdana"/>
        </w:rPr>
        <w:t xml:space="preserve"> the executive team has</w:t>
      </w:r>
      <w:r w:rsidR="00D350C4" w:rsidRPr="00083EE7">
        <w:rPr>
          <w:rFonts w:ascii="Verdana" w:eastAsia="Times New Roman" w:hAnsi="Verdana"/>
        </w:rPr>
        <w:t xml:space="preserve"> the a</w:t>
      </w:r>
      <w:r>
        <w:rPr>
          <w:rFonts w:ascii="Verdana" w:eastAsia="Times New Roman" w:hAnsi="Verdana"/>
        </w:rPr>
        <w:t xml:space="preserve">ppropriate time and space to continue meeting the </w:t>
      </w:r>
      <w:r w:rsidR="000C689E">
        <w:rPr>
          <w:rFonts w:ascii="Verdana" w:eastAsia="Times New Roman" w:hAnsi="Verdana"/>
        </w:rPr>
        <w:t>health protection</w:t>
      </w:r>
      <w:r>
        <w:rPr>
          <w:rFonts w:ascii="Verdana" w:eastAsia="Times New Roman" w:hAnsi="Verdana"/>
        </w:rPr>
        <w:t xml:space="preserve"> response, </w:t>
      </w:r>
      <w:r w:rsidR="00D350C4" w:rsidRPr="00083EE7">
        <w:rPr>
          <w:rFonts w:ascii="Verdana" w:eastAsia="Times New Roman" w:hAnsi="Verdana"/>
        </w:rPr>
        <w:t>whilst also focus</w:t>
      </w:r>
      <w:r>
        <w:rPr>
          <w:rFonts w:ascii="Verdana" w:eastAsia="Times New Roman" w:hAnsi="Verdana"/>
        </w:rPr>
        <w:t>sing on other key areas of work, as set out in the Operational Plan 2020-22. These include the further transformation of health protection services, a major focus on the broader harms resulting from COVID-19, and that have exacerbated long–standing health inequalities, and the reactivation of agreed services</w:t>
      </w:r>
      <w:r w:rsidR="00FC000B">
        <w:rPr>
          <w:rFonts w:ascii="Verdana" w:eastAsia="Times New Roman" w:hAnsi="Verdana"/>
        </w:rPr>
        <w:t>; and</w:t>
      </w:r>
    </w:p>
    <w:p w14:paraId="55FA6CF9" w14:textId="77777777" w:rsidR="00C131E1" w:rsidRPr="00C131E1" w:rsidRDefault="00C131E1" w:rsidP="005067B6">
      <w:pPr>
        <w:spacing w:after="0"/>
        <w:ind w:left="426"/>
        <w:jc w:val="both"/>
        <w:rPr>
          <w:rFonts w:ascii="Verdana" w:eastAsia="Times New Roman" w:hAnsi="Verdana"/>
        </w:rPr>
      </w:pPr>
    </w:p>
    <w:p w14:paraId="67CA465E" w14:textId="54BBE147" w:rsidR="00C131E1" w:rsidRDefault="00C131E1" w:rsidP="005067B6">
      <w:pPr>
        <w:pStyle w:val="ListParagraph"/>
        <w:numPr>
          <w:ilvl w:val="0"/>
          <w:numId w:val="41"/>
        </w:numPr>
        <w:ind w:left="426"/>
        <w:contextualSpacing w:val="0"/>
        <w:jc w:val="both"/>
        <w:rPr>
          <w:rFonts w:ascii="Verdana" w:eastAsia="Times New Roman" w:hAnsi="Verdana"/>
        </w:rPr>
      </w:pPr>
      <w:proofErr w:type="gramStart"/>
      <w:r>
        <w:rPr>
          <w:rFonts w:ascii="Verdana" w:eastAsia="Times New Roman" w:hAnsi="Verdana"/>
        </w:rPr>
        <w:t>that</w:t>
      </w:r>
      <w:proofErr w:type="gramEnd"/>
      <w:r>
        <w:rPr>
          <w:rFonts w:ascii="Verdana" w:eastAsia="Times New Roman" w:hAnsi="Verdana"/>
        </w:rPr>
        <w:t xml:space="preserve"> the full Board has the time and space to return to the strategy development work that had been a key feature, prior to 2020.</w:t>
      </w:r>
    </w:p>
    <w:p w14:paraId="114038A8" w14:textId="77777777" w:rsidR="00C131E1" w:rsidRPr="00C131E1" w:rsidRDefault="00C131E1" w:rsidP="005067B6">
      <w:pPr>
        <w:pStyle w:val="ListParagraph"/>
        <w:ind w:left="770"/>
        <w:contextualSpacing w:val="0"/>
        <w:jc w:val="both"/>
        <w:rPr>
          <w:rFonts w:ascii="Verdana" w:eastAsia="Times New Roman" w:hAnsi="Verdana"/>
        </w:rPr>
      </w:pPr>
    </w:p>
    <w:p w14:paraId="51C5B5A7" w14:textId="68E209A2" w:rsidR="00205201" w:rsidRPr="00083EE7" w:rsidRDefault="00205201" w:rsidP="005067B6">
      <w:pPr>
        <w:pStyle w:val="ListParagraph"/>
        <w:numPr>
          <w:ilvl w:val="0"/>
          <w:numId w:val="43"/>
        </w:numPr>
        <w:contextualSpacing w:val="0"/>
        <w:jc w:val="both"/>
        <w:rPr>
          <w:rFonts w:ascii="Verdana" w:eastAsia="Times New Roman" w:hAnsi="Verdana"/>
          <w:b/>
        </w:rPr>
      </w:pPr>
      <w:r w:rsidRPr="00083EE7">
        <w:rPr>
          <w:rFonts w:ascii="Verdana" w:eastAsia="Times New Roman" w:hAnsi="Verdana"/>
          <w:b/>
          <w:u w:val="single"/>
        </w:rPr>
        <w:t>Bo</w:t>
      </w:r>
      <w:r w:rsidR="00083EE7">
        <w:rPr>
          <w:rFonts w:ascii="Verdana" w:eastAsia="Times New Roman" w:hAnsi="Verdana"/>
          <w:b/>
          <w:u w:val="single"/>
        </w:rPr>
        <w:t>ard and Board Committee meeting schedule</w:t>
      </w:r>
    </w:p>
    <w:p w14:paraId="5148793E" w14:textId="53932001" w:rsidR="00205201" w:rsidRPr="005067B6" w:rsidRDefault="00205201" w:rsidP="00676953">
      <w:pPr>
        <w:pStyle w:val="ListParagraph"/>
        <w:numPr>
          <w:ilvl w:val="0"/>
          <w:numId w:val="18"/>
        </w:numPr>
        <w:contextualSpacing w:val="0"/>
        <w:jc w:val="both"/>
        <w:rPr>
          <w:rStyle w:val="Hyperlink"/>
          <w:rFonts w:ascii="Verdana" w:eastAsia="Times New Roman" w:hAnsi="Verdana"/>
          <w:color w:val="auto"/>
          <w:u w:val="none"/>
        </w:rPr>
      </w:pPr>
      <w:r w:rsidRPr="005067B6">
        <w:rPr>
          <w:rFonts w:ascii="Verdana" w:eastAsia="Times New Roman" w:hAnsi="Verdana"/>
        </w:rPr>
        <w:t>The Board has met monthly since the 26 March</w:t>
      </w:r>
      <w:r w:rsidR="00083EE7" w:rsidRPr="005067B6">
        <w:rPr>
          <w:rFonts w:ascii="Verdana" w:eastAsia="Times New Roman" w:hAnsi="Verdana"/>
        </w:rPr>
        <w:t xml:space="preserve"> 2020</w:t>
      </w:r>
      <w:r w:rsidR="0073207E" w:rsidRPr="005067B6">
        <w:rPr>
          <w:rFonts w:ascii="Verdana" w:eastAsia="Times New Roman" w:hAnsi="Verdana"/>
        </w:rPr>
        <w:t>,</w:t>
      </w:r>
      <w:r w:rsidRPr="005067B6">
        <w:rPr>
          <w:rFonts w:ascii="Verdana" w:eastAsia="Times New Roman" w:hAnsi="Verdana"/>
        </w:rPr>
        <w:t xml:space="preserve"> whilst Board Committees have seen </w:t>
      </w:r>
      <w:r w:rsidR="004524F2" w:rsidRPr="005067B6">
        <w:rPr>
          <w:rFonts w:ascii="Verdana" w:eastAsia="Times New Roman" w:hAnsi="Verdana"/>
        </w:rPr>
        <w:t xml:space="preserve">a number of changes. The changes are outlined in the </w:t>
      </w:r>
      <w:hyperlink r:id="rId17" w:history="1">
        <w:r w:rsidR="004524F2" w:rsidRPr="005067B6">
          <w:rPr>
            <w:rStyle w:val="Hyperlink"/>
            <w:rFonts w:ascii="Verdana" w:eastAsia="Times New Roman" w:hAnsi="Verdana"/>
          </w:rPr>
          <w:t>Board Governance paper, 30 July 2020</w:t>
        </w:r>
      </w:hyperlink>
      <w:r w:rsidR="00AF7B80" w:rsidRPr="005067B6">
        <w:rPr>
          <w:rStyle w:val="Hyperlink"/>
          <w:rFonts w:ascii="Verdana" w:eastAsia="Times New Roman" w:hAnsi="Verdana"/>
        </w:rPr>
        <w:t xml:space="preserve"> </w:t>
      </w:r>
      <w:r w:rsidR="005067B6" w:rsidRPr="005067B6">
        <w:rPr>
          <w:rStyle w:val="Hyperlink"/>
          <w:rFonts w:ascii="Verdana" w:eastAsia="Times New Roman" w:hAnsi="Verdana"/>
          <w:color w:val="auto"/>
          <w:u w:val="none"/>
        </w:rPr>
        <w:t>and</w:t>
      </w:r>
      <w:r w:rsidR="00AF7B80" w:rsidRPr="005067B6">
        <w:rPr>
          <w:rStyle w:val="Hyperlink"/>
          <w:rFonts w:ascii="Verdana" w:eastAsia="Times New Roman" w:hAnsi="Verdana"/>
          <w:color w:val="auto"/>
          <w:u w:val="none"/>
        </w:rPr>
        <w:t xml:space="preserve"> </w:t>
      </w:r>
      <w:hyperlink r:id="rId18" w:history="1">
        <w:r w:rsidR="005067B6" w:rsidRPr="005067B6">
          <w:rPr>
            <w:rStyle w:val="Hyperlink"/>
            <w:rFonts w:ascii="Verdana" w:eastAsia="Times New Roman" w:hAnsi="Verdana"/>
          </w:rPr>
          <w:t>Board and Committee Governance changes Paper, 29 October 2020</w:t>
        </w:r>
      </w:hyperlink>
      <w:r w:rsidR="005067B6">
        <w:rPr>
          <w:rStyle w:val="Hyperlink"/>
          <w:rFonts w:ascii="Verdana" w:eastAsia="Times New Roman" w:hAnsi="Verdana"/>
          <w:color w:val="auto"/>
          <w:u w:val="none"/>
        </w:rPr>
        <w:t xml:space="preserve"> </w:t>
      </w:r>
      <w:r w:rsidR="00083EE7" w:rsidRPr="005067B6">
        <w:rPr>
          <w:rStyle w:val="Hyperlink"/>
          <w:rFonts w:ascii="Verdana" w:eastAsia="Times New Roman" w:hAnsi="Verdana"/>
          <w:color w:val="auto"/>
          <w:u w:val="none"/>
        </w:rPr>
        <w:t xml:space="preserve">for reference. </w:t>
      </w:r>
    </w:p>
    <w:p w14:paraId="05DD86B3" w14:textId="7E0E474D" w:rsidR="00AF7B80" w:rsidRPr="00083EE7" w:rsidRDefault="00AF7B80" w:rsidP="00FC000B">
      <w:pPr>
        <w:spacing w:after="0"/>
        <w:rPr>
          <w:rFonts w:ascii="Verdana" w:eastAsia="Times New Roman" w:hAnsi="Verdana"/>
          <w:sz w:val="24"/>
          <w:szCs w:val="24"/>
        </w:rPr>
      </w:pPr>
      <w:r w:rsidRPr="00083EE7">
        <w:rPr>
          <w:rFonts w:ascii="Verdana" w:eastAsia="Times New Roman" w:hAnsi="Verdana"/>
          <w:sz w:val="24"/>
          <w:szCs w:val="24"/>
        </w:rPr>
        <w:t xml:space="preserve">Following ongoing </w:t>
      </w:r>
      <w:r w:rsidR="00083EE7">
        <w:rPr>
          <w:rFonts w:ascii="Verdana" w:eastAsia="Times New Roman" w:hAnsi="Verdana"/>
          <w:sz w:val="24"/>
          <w:szCs w:val="24"/>
        </w:rPr>
        <w:t>r</w:t>
      </w:r>
      <w:r w:rsidR="00C131E1">
        <w:rPr>
          <w:rFonts w:ascii="Verdana" w:eastAsia="Times New Roman" w:hAnsi="Verdana"/>
          <w:sz w:val="24"/>
          <w:szCs w:val="24"/>
        </w:rPr>
        <w:t xml:space="preserve">eview, feedback and discussion the table below sets out the proposed arrangements </w:t>
      </w:r>
      <w:r w:rsidRPr="00083EE7">
        <w:rPr>
          <w:rFonts w:ascii="Verdana" w:eastAsia="Times New Roman" w:hAnsi="Verdana"/>
          <w:sz w:val="24"/>
          <w:szCs w:val="24"/>
        </w:rPr>
        <w:t>from 1 April 2021:</w:t>
      </w:r>
    </w:p>
    <w:tbl>
      <w:tblPr>
        <w:tblStyle w:val="TableGrid"/>
        <w:tblW w:w="0" w:type="auto"/>
        <w:tblLook w:val="04A0" w:firstRow="1" w:lastRow="0" w:firstColumn="1" w:lastColumn="0" w:noHBand="0" w:noVBand="1"/>
      </w:tblPr>
      <w:tblGrid>
        <w:gridCol w:w="3397"/>
        <w:gridCol w:w="5619"/>
      </w:tblGrid>
      <w:tr w:rsidR="00CC347E" w:rsidRPr="00083EE7" w14:paraId="4DD5BC4C" w14:textId="77777777" w:rsidTr="005067B6">
        <w:tc>
          <w:tcPr>
            <w:tcW w:w="3397" w:type="dxa"/>
          </w:tcPr>
          <w:p w14:paraId="77CCD016" w14:textId="6273EF4C"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Board</w:t>
            </w:r>
          </w:p>
        </w:tc>
        <w:tc>
          <w:tcPr>
            <w:tcW w:w="5619" w:type="dxa"/>
          </w:tcPr>
          <w:p w14:paraId="51943211" w14:textId="1CD86F46" w:rsidR="00CC347E" w:rsidRPr="00083EE7" w:rsidRDefault="00C131E1"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 xml:space="preserve">Reinstatement of bi-monthly meetings </w:t>
            </w:r>
            <w:r w:rsidR="00CC347E" w:rsidRPr="00083EE7">
              <w:rPr>
                <w:rFonts w:ascii="Verdana" w:eastAsia="Times New Roman" w:hAnsi="Verdana"/>
              </w:rPr>
              <w:t xml:space="preserve"> (May, July, Sept, Nov, Jan, March)</w:t>
            </w:r>
          </w:p>
          <w:p w14:paraId="0757C964" w14:textId="6630D1A3" w:rsidR="00CC347E" w:rsidRPr="00083EE7" w:rsidRDefault="00C131E1"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 xml:space="preserve">Scheduling of </w:t>
            </w:r>
            <w:r w:rsidR="00CC347E" w:rsidRPr="00083EE7">
              <w:rPr>
                <w:rFonts w:ascii="Verdana" w:eastAsia="Times New Roman" w:hAnsi="Verdana"/>
              </w:rPr>
              <w:t>Boa</w:t>
            </w:r>
            <w:r>
              <w:rPr>
                <w:rFonts w:ascii="Verdana" w:eastAsia="Times New Roman" w:hAnsi="Verdana"/>
              </w:rPr>
              <w:t xml:space="preserve">rd meetings from </w:t>
            </w:r>
            <w:r w:rsidR="00CC347E" w:rsidRPr="00083EE7">
              <w:rPr>
                <w:rFonts w:ascii="Verdana" w:eastAsia="Times New Roman" w:hAnsi="Verdana"/>
              </w:rPr>
              <w:t>10am to 2pm</w:t>
            </w:r>
            <w:r>
              <w:rPr>
                <w:rFonts w:ascii="Verdana" w:eastAsia="Times New Roman" w:hAnsi="Verdana"/>
              </w:rPr>
              <w:t>, to include open and closed sessions.</w:t>
            </w:r>
          </w:p>
        </w:tc>
      </w:tr>
      <w:tr w:rsidR="00CC347E" w:rsidRPr="00083EE7" w14:paraId="483407E6" w14:textId="77777777" w:rsidTr="005067B6">
        <w:tc>
          <w:tcPr>
            <w:tcW w:w="3397" w:type="dxa"/>
          </w:tcPr>
          <w:p w14:paraId="1BA58794" w14:textId="3751D6ED"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Board Development</w:t>
            </w:r>
          </w:p>
        </w:tc>
        <w:tc>
          <w:tcPr>
            <w:tcW w:w="5619" w:type="dxa"/>
          </w:tcPr>
          <w:p w14:paraId="0F918A9C" w14:textId="389F70CF" w:rsidR="00CC347E" w:rsidRPr="00083EE7" w:rsidRDefault="0015756F"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Reinstatement of bi</w:t>
            </w:r>
            <w:r w:rsidR="00CC347E" w:rsidRPr="00083EE7">
              <w:rPr>
                <w:rFonts w:ascii="Verdana" w:eastAsia="Times New Roman" w:hAnsi="Verdana"/>
              </w:rPr>
              <w:t>-monthly Board development sessions reinstated (April, June, Aug, Oct, Dec, Feb)</w:t>
            </w:r>
            <w:r w:rsidR="00083EE7" w:rsidRPr="00083EE7">
              <w:rPr>
                <w:rFonts w:ascii="Verdana" w:eastAsia="Times New Roman" w:hAnsi="Verdana"/>
              </w:rPr>
              <w:t xml:space="preserve"> – focussing on key strategic issues</w:t>
            </w:r>
          </w:p>
          <w:p w14:paraId="384EF5AF" w14:textId="0B5198CF" w:rsidR="00CC347E" w:rsidRPr="00083EE7" w:rsidRDefault="0015756F"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Scheduling of Board development sessions for</w:t>
            </w:r>
            <w:r w:rsidR="00CC347E" w:rsidRPr="00083EE7">
              <w:rPr>
                <w:rFonts w:ascii="Verdana" w:eastAsia="Times New Roman" w:hAnsi="Verdana"/>
              </w:rPr>
              <w:t xml:space="preserve"> 2 hours</w:t>
            </w:r>
            <w:r>
              <w:rPr>
                <w:rFonts w:ascii="Verdana" w:eastAsia="Times New Roman" w:hAnsi="Verdana"/>
              </w:rPr>
              <w:t xml:space="preserve"> whilst virtual working continues. This will be reviewed following the resumption of physical meetings.</w:t>
            </w:r>
            <w:r w:rsidR="00CC347E" w:rsidRPr="00083EE7">
              <w:rPr>
                <w:rFonts w:ascii="Verdana" w:eastAsia="Times New Roman" w:hAnsi="Verdana"/>
              </w:rPr>
              <w:t xml:space="preserve"> </w:t>
            </w:r>
          </w:p>
        </w:tc>
      </w:tr>
      <w:tr w:rsidR="003A60E3" w:rsidRPr="00083EE7" w14:paraId="7A59E1CD" w14:textId="77777777" w:rsidTr="005067B6">
        <w:tc>
          <w:tcPr>
            <w:tcW w:w="3397" w:type="dxa"/>
          </w:tcPr>
          <w:p w14:paraId="60D23D11" w14:textId="37F250CF" w:rsidR="003A60E3" w:rsidRPr="00083EE7" w:rsidRDefault="003A60E3" w:rsidP="00FC000B">
            <w:pPr>
              <w:rPr>
                <w:rFonts w:ascii="Verdana" w:eastAsia="Times New Roman" w:hAnsi="Verdana"/>
                <w:sz w:val="24"/>
                <w:szCs w:val="24"/>
              </w:rPr>
            </w:pPr>
            <w:r w:rsidRPr="00083EE7">
              <w:rPr>
                <w:rFonts w:ascii="Verdana" w:eastAsia="Times New Roman" w:hAnsi="Verdana"/>
                <w:sz w:val="24"/>
                <w:szCs w:val="24"/>
              </w:rPr>
              <w:t>Board Briefings</w:t>
            </w:r>
          </w:p>
        </w:tc>
        <w:tc>
          <w:tcPr>
            <w:tcW w:w="5619" w:type="dxa"/>
          </w:tcPr>
          <w:p w14:paraId="6560A757" w14:textId="50419E99" w:rsidR="003A60E3" w:rsidRPr="00083EE7" w:rsidRDefault="00FC000B"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Substitution</w:t>
            </w:r>
            <w:r w:rsidR="0015756F">
              <w:rPr>
                <w:rFonts w:ascii="Verdana" w:eastAsia="Times New Roman" w:hAnsi="Verdana"/>
              </w:rPr>
              <w:t xml:space="preserve"> of written Board Briefing Notes for mid-monthly briefing sessions</w:t>
            </w:r>
          </w:p>
          <w:p w14:paraId="7C7D9F6C" w14:textId="561AC600" w:rsidR="00083EE7" w:rsidRPr="005067B6" w:rsidRDefault="0015756F" w:rsidP="005067B6">
            <w:pPr>
              <w:pStyle w:val="ListParagraph"/>
              <w:numPr>
                <w:ilvl w:val="0"/>
                <w:numId w:val="44"/>
              </w:numPr>
              <w:ind w:left="456" w:hanging="425"/>
              <w:contextualSpacing w:val="0"/>
              <w:rPr>
                <w:rFonts w:ascii="Verdana" w:eastAsia="Times New Roman" w:hAnsi="Verdana"/>
              </w:rPr>
            </w:pPr>
            <w:r>
              <w:rPr>
                <w:rFonts w:ascii="Verdana" w:eastAsia="Times New Roman" w:hAnsi="Verdana"/>
              </w:rPr>
              <w:t>Continuation of the daily and weekly updates, together with Advice Notes, and other key briefing materials as required</w:t>
            </w:r>
            <w:r w:rsidR="00F12B63">
              <w:rPr>
                <w:rFonts w:ascii="Verdana" w:eastAsia="Times New Roman" w:hAnsi="Verdana"/>
              </w:rPr>
              <w:t xml:space="preserve"> </w:t>
            </w:r>
          </w:p>
        </w:tc>
      </w:tr>
      <w:tr w:rsidR="00CC347E" w:rsidRPr="00083EE7" w14:paraId="13BA1FD0" w14:textId="77777777" w:rsidTr="005067B6">
        <w:tc>
          <w:tcPr>
            <w:tcW w:w="3397" w:type="dxa"/>
          </w:tcPr>
          <w:p w14:paraId="0F1FEDC8" w14:textId="3C72D263"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 xml:space="preserve">Audit and Corporate Governance Committee </w:t>
            </w:r>
          </w:p>
        </w:tc>
        <w:tc>
          <w:tcPr>
            <w:tcW w:w="5619" w:type="dxa"/>
          </w:tcPr>
          <w:p w14:paraId="56F1C25C" w14:textId="5A72848D" w:rsidR="00CC347E" w:rsidRPr="00DE126E" w:rsidRDefault="00DE126E" w:rsidP="00FC000B">
            <w:pPr>
              <w:pStyle w:val="ListParagraph"/>
              <w:numPr>
                <w:ilvl w:val="0"/>
                <w:numId w:val="46"/>
              </w:numPr>
              <w:ind w:left="456" w:hanging="425"/>
              <w:contextualSpacing w:val="0"/>
              <w:rPr>
                <w:rFonts w:ascii="Verdana" w:eastAsia="Times New Roman" w:hAnsi="Verdana"/>
              </w:rPr>
            </w:pPr>
            <w:r>
              <w:rPr>
                <w:rFonts w:ascii="Verdana" w:eastAsia="Times New Roman" w:hAnsi="Verdana"/>
              </w:rPr>
              <w:t>Reinstatement of 5 meetings per annum</w:t>
            </w:r>
          </w:p>
        </w:tc>
      </w:tr>
      <w:tr w:rsidR="00CC347E" w:rsidRPr="00083EE7" w14:paraId="5207CCCD" w14:textId="77777777" w:rsidTr="005067B6">
        <w:tc>
          <w:tcPr>
            <w:tcW w:w="3397" w:type="dxa"/>
          </w:tcPr>
          <w:p w14:paraId="6663209D" w14:textId="52B053D2"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Quality, Safety and Improvement Committee</w:t>
            </w:r>
          </w:p>
        </w:tc>
        <w:tc>
          <w:tcPr>
            <w:tcW w:w="5619" w:type="dxa"/>
          </w:tcPr>
          <w:p w14:paraId="03E70DC4" w14:textId="13812468" w:rsidR="00CC347E" w:rsidRPr="00083EE7" w:rsidRDefault="00DE126E"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Retention of approximately 8 weekly meeting cycle</w:t>
            </w:r>
          </w:p>
        </w:tc>
      </w:tr>
      <w:tr w:rsidR="00CC347E" w:rsidRPr="00083EE7" w14:paraId="4156D90A" w14:textId="77777777" w:rsidTr="005067B6">
        <w:tc>
          <w:tcPr>
            <w:tcW w:w="3397" w:type="dxa"/>
          </w:tcPr>
          <w:p w14:paraId="1048C1F2" w14:textId="3B918C08"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People and Organisational Development Committee</w:t>
            </w:r>
            <w:r w:rsidR="00D350C4" w:rsidRPr="00083EE7">
              <w:rPr>
                <w:rFonts w:ascii="Verdana" w:eastAsia="Times New Roman" w:hAnsi="Verdana"/>
                <w:sz w:val="24"/>
                <w:szCs w:val="24"/>
              </w:rPr>
              <w:t xml:space="preserve"> / People Advisory Group</w:t>
            </w:r>
          </w:p>
        </w:tc>
        <w:tc>
          <w:tcPr>
            <w:tcW w:w="5619" w:type="dxa"/>
          </w:tcPr>
          <w:p w14:paraId="524522DA" w14:textId="22E96450" w:rsidR="00CC347E" w:rsidRPr="00083EE7" w:rsidRDefault="00DE126E"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 xml:space="preserve">Resumption of the </w:t>
            </w:r>
            <w:r w:rsidR="00D350C4" w:rsidRPr="00083EE7">
              <w:rPr>
                <w:rFonts w:ascii="Verdana" w:eastAsia="Times New Roman" w:hAnsi="Verdana"/>
              </w:rPr>
              <w:t xml:space="preserve"> full People and OD </w:t>
            </w:r>
            <w:r>
              <w:rPr>
                <w:rFonts w:ascii="Verdana" w:eastAsia="Times New Roman" w:hAnsi="Verdana"/>
              </w:rPr>
              <w:t xml:space="preserve">Committee </w:t>
            </w:r>
            <w:r w:rsidR="00CC347E" w:rsidRPr="00083EE7">
              <w:rPr>
                <w:rFonts w:ascii="Verdana" w:eastAsia="Times New Roman" w:hAnsi="Verdana"/>
              </w:rPr>
              <w:t xml:space="preserve"> from April 2021, on a quarterly basis, wit</w:t>
            </w:r>
            <w:r w:rsidR="00A845BA">
              <w:rPr>
                <w:rFonts w:ascii="Verdana" w:eastAsia="Times New Roman" w:hAnsi="Verdana"/>
              </w:rPr>
              <w:t xml:space="preserve">h a focussed, risk based agenda, </w:t>
            </w:r>
            <w:r w:rsidR="00CC347E" w:rsidRPr="00083EE7">
              <w:rPr>
                <w:rFonts w:ascii="Verdana" w:eastAsia="Times New Roman" w:hAnsi="Verdana"/>
              </w:rPr>
              <w:t xml:space="preserve">but with </w:t>
            </w:r>
            <w:r>
              <w:rPr>
                <w:rFonts w:ascii="Verdana" w:eastAsia="Times New Roman" w:hAnsi="Verdana"/>
              </w:rPr>
              <w:t xml:space="preserve"> full delegated powers  in line with</w:t>
            </w:r>
            <w:r w:rsidR="00A845BA">
              <w:rPr>
                <w:rFonts w:ascii="Verdana" w:eastAsia="Times New Roman" w:hAnsi="Verdana"/>
              </w:rPr>
              <w:t xml:space="preserve"> the Terms of Reference</w:t>
            </w:r>
            <w:r>
              <w:rPr>
                <w:rFonts w:ascii="Verdana" w:eastAsia="Times New Roman" w:hAnsi="Verdana"/>
              </w:rPr>
              <w:t>. This enables the People Advisory Group to stand down.</w:t>
            </w:r>
          </w:p>
        </w:tc>
      </w:tr>
      <w:tr w:rsidR="00CC347E" w:rsidRPr="00083EE7" w14:paraId="33B08E8E" w14:textId="77777777" w:rsidTr="005067B6">
        <w:tc>
          <w:tcPr>
            <w:tcW w:w="3397" w:type="dxa"/>
          </w:tcPr>
          <w:p w14:paraId="3BD1384A" w14:textId="4770A018" w:rsidR="00CC347E" w:rsidRPr="00083EE7" w:rsidRDefault="00CC347E" w:rsidP="00FC000B">
            <w:pPr>
              <w:rPr>
                <w:rFonts w:ascii="Verdana" w:eastAsia="Times New Roman" w:hAnsi="Verdana"/>
                <w:sz w:val="24"/>
                <w:szCs w:val="24"/>
              </w:rPr>
            </w:pPr>
            <w:r w:rsidRPr="00083EE7">
              <w:rPr>
                <w:rFonts w:ascii="Verdana" w:eastAsia="Times New Roman" w:hAnsi="Verdana"/>
                <w:sz w:val="24"/>
                <w:szCs w:val="24"/>
              </w:rPr>
              <w:t xml:space="preserve">Knowledge, Research and Information Committee </w:t>
            </w:r>
          </w:p>
        </w:tc>
        <w:tc>
          <w:tcPr>
            <w:tcW w:w="5619" w:type="dxa"/>
          </w:tcPr>
          <w:p w14:paraId="0A1F6168" w14:textId="7F42713C" w:rsidR="00CC347E" w:rsidRPr="00083EE7" w:rsidRDefault="00A845BA"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Resumption in the Autumn of</w:t>
            </w:r>
            <w:r w:rsidR="00DE126E">
              <w:rPr>
                <w:rFonts w:ascii="Verdana" w:eastAsia="Times New Roman" w:hAnsi="Verdana"/>
              </w:rPr>
              <w:t xml:space="preserve"> 2021</w:t>
            </w:r>
          </w:p>
          <w:p w14:paraId="646938AF" w14:textId="7207F20C" w:rsidR="00CC347E" w:rsidRPr="00083EE7" w:rsidRDefault="00DE126E" w:rsidP="00FC000B">
            <w:pPr>
              <w:pStyle w:val="ListParagraph"/>
              <w:numPr>
                <w:ilvl w:val="0"/>
                <w:numId w:val="44"/>
              </w:numPr>
              <w:ind w:left="456" w:hanging="425"/>
              <w:contextualSpacing w:val="0"/>
              <w:rPr>
                <w:rFonts w:ascii="Verdana" w:eastAsia="Times New Roman" w:hAnsi="Verdana"/>
              </w:rPr>
            </w:pPr>
            <w:r>
              <w:rPr>
                <w:rFonts w:ascii="Verdana" w:eastAsia="Times New Roman" w:hAnsi="Verdana"/>
              </w:rPr>
              <w:t>Scheduling of an informal meeting in  March 2021, to receive a repor</w:t>
            </w:r>
            <w:r w:rsidR="005512EB">
              <w:rPr>
                <w:rFonts w:ascii="Verdana" w:eastAsia="Times New Roman" w:hAnsi="Verdana"/>
              </w:rPr>
              <w:t xml:space="preserve">t from the Transition Director that will inform the Committee’s subsequent work programme </w:t>
            </w:r>
          </w:p>
        </w:tc>
      </w:tr>
    </w:tbl>
    <w:p w14:paraId="35473FB7" w14:textId="77777777" w:rsidR="00F12B63" w:rsidRPr="00083EE7" w:rsidRDefault="00F12B63" w:rsidP="00FC000B">
      <w:pPr>
        <w:spacing w:after="0"/>
        <w:rPr>
          <w:rFonts w:ascii="Verdana" w:eastAsia="Times New Roman" w:hAnsi="Verdana"/>
          <w:sz w:val="24"/>
          <w:szCs w:val="24"/>
        </w:rPr>
      </w:pPr>
    </w:p>
    <w:p w14:paraId="7565DFBD" w14:textId="5DEABD3E" w:rsidR="005512EB" w:rsidRPr="00083EE7" w:rsidRDefault="00CC347E" w:rsidP="00FC000B">
      <w:pPr>
        <w:spacing w:after="0"/>
        <w:rPr>
          <w:rFonts w:ascii="Verdana" w:eastAsia="Times New Roman" w:hAnsi="Verdana"/>
          <w:sz w:val="24"/>
          <w:szCs w:val="24"/>
        </w:rPr>
      </w:pPr>
      <w:r w:rsidRPr="00083EE7">
        <w:rPr>
          <w:rFonts w:ascii="Verdana" w:eastAsia="Times New Roman" w:hAnsi="Verdana"/>
          <w:sz w:val="24"/>
          <w:szCs w:val="24"/>
        </w:rPr>
        <w:t>The following principles</w:t>
      </w:r>
      <w:r w:rsidR="005512EB">
        <w:rPr>
          <w:rFonts w:ascii="Verdana" w:eastAsia="Times New Roman" w:hAnsi="Verdana"/>
          <w:sz w:val="24"/>
          <w:szCs w:val="24"/>
        </w:rPr>
        <w:t xml:space="preserve"> continue unchanged</w:t>
      </w:r>
      <w:r w:rsidR="00083EE7" w:rsidRPr="00083EE7">
        <w:rPr>
          <w:rFonts w:ascii="Verdana" w:eastAsia="Times New Roman" w:hAnsi="Verdana"/>
          <w:sz w:val="24"/>
          <w:szCs w:val="24"/>
        </w:rPr>
        <w:t>:</w:t>
      </w:r>
      <w:r w:rsidR="005512EB">
        <w:rPr>
          <w:rFonts w:ascii="Verdana" w:eastAsia="Times New Roman" w:hAnsi="Verdana"/>
          <w:sz w:val="24"/>
          <w:szCs w:val="24"/>
        </w:rPr>
        <w:t>-</w:t>
      </w:r>
    </w:p>
    <w:p w14:paraId="1B3EFD06" w14:textId="676D8EE0" w:rsidR="00CC347E" w:rsidRPr="00083EE7" w:rsidRDefault="00CC347E" w:rsidP="005067B6">
      <w:pPr>
        <w:pStyle w:val="ListParagraph"/>
        <w:numPr>
          <w:ilvl w:val="0"/>
          <w:numId w:val="41"/>
        </w:numPr>
        <w:contextualSpacing w:val="0"/>
        <w:jc w:val="both"/>
        <w:rPr>
          <w:rFonts w:ascii="Verdana" w:eastAsia="Times New Roman" w:hAnsi="Verdana"/>
        </w:rPr>
      </w:pPr>
      <w:r w:rsidRPr="00083EE7">
        <w:rPr>
          <w:rFonts w:ascii="Verdana" w:eastAsia="Times New Roman" w:hAnsi="Verdana"/>
        </w:rPr>
        <w:t xml:space="preserve">the construct of Board </w:t>
      </w:r>
      <w:r w:rsidR="005512EB">
        <w:rPr>
          <w:rFonts w:ascii="Verdana" w:eastAsia="Times New Roman" w:hAnsi="Verdana"/>
        </w:rPr>
        <w:t>and Committee meeting agendas to reflect and agile and</w:t>
      </w:r>
      <w:r w:rsidRPr="00083EE7">
        <w:rPr>
          <w:rFonts w:ascii="Verdana" w:eastAsia="Times New Roman" w:hAnsi="Verdana"/>
        </w:rPr>
        <w:t xml:space="preserve"> risk</w:t>
      </w:r>
      <w:r w:rsidR="005512EB">
        <w:rPr>
          <w:rFonts w:ascii="Verdana" w:eastAsia="Times New Roman" w:hAnsi="Verdana"/>
        </w:rPr>
        <w:t>-</w:t>
      </w:r>
      <w:r w:rsidRPr="00083EE7">
        <w:rPr>
          <w:rFonts w:ascii="Verdana" w:eastAsia="Times New Roman" w:hAnsi="Verdana"/>
        </w:rPr>
        <w:t xml:space="preserve"> based approach to the selection of agenda items; </w:t>
      </w:r>
    </w:p>
    <w:p w14:paraId="5A7D80EE" w14:textId="3F7391BF" w:rsidR="00CC347E" w:rsidRDefault="00CC347E" w:rsidP="005067B6">
      <w:pPr>
        <w:pStyle w:val="ListParagraph"/>
        <w:numPr>
          <w:ilvl w:val="0"/>
          <w:numId w:val="41"/>
        </w:numPr>
        <w:contextualSpacing w:val="0"/>
        <w:jc w:val="both"/>
        <w:rPr>
          <w:rFonts w:ascii="Verdana" w:eastAsia="Times New Roman" w:hAnsi="Verdana"/>
        </w:rPr>
      </w:pPr>
      <w:proofErr w:type="gramStart"/>
      <w:r w:rsidRPr="00083EE7">
        <w:rPr>
          <w:rFonts w:ascii="Verdana" w:eastAsia="Times New Roman" w:hAnsi="Verdana"/>
        </w:rPr>
        <w:t>the</w:t>
      </w:r>
      <w:proofErr w:type="gramEnd"/>
      <w:r w:rsidRPr="00083EE7">
        <w:rPr>
          <w:rFonts w:ascii="Verdana" w:eastAsia="Times New Roman" w:hAnsi="Verdana"/>
        </w:rPr>
        <w:t xml:space="preserve"> use of means other than formal pap</w:t>
      </w:r>
      <w:r w:rsidR="005512EB">
        <w:rPr>
          <w:rFonts w:ascii="Verdana" w:eastAsia="Times New Roman" w:hAnsi="Verdana"/>
        </w:rPr>
        <w:t xml:space="preserve">ers to assist flexibility and ease the administrative burden. These means </w:t>
      </w:r>
      <w:r w:rsidRPr="00083EE7">
        <w:rPr>
          <w:rFonts w:ascii="Verdana" w:eastAsia="Times New Roman" w:hAnsi="Verdana"/>
        </w:rPr>
        <w:t xml:space="preserve">include the use of briefing papers and presentations where </w:t>
      </w:r>
      <w:r w:rsidR="00FC000B" w:rsidRPr="00083EE7">
        <w:rPr>
          <w:rFonts w:ascii="Verdana" w:eastAsia="Times New Roman" w:hAnsi="Verdana"/>
        </w:rPr>
        <w:t>appropriate,</w:t>
      </w:r>
      <w:r w:rsidR="00FC000B">
        <w:rPr>
          <w:rFonts w:ascii="Verdana" w:eastAsia="Times New Roman" w:hAnsi="Verdana"/>
        </w:rPr>
        <w:t xml:space="preserve"> </w:t>
      </w:r>
      <w:r w:rsidRPr="00083EE7">
        <w:rPr>
          <w:rFonts w:ascii="Verdana" w:eastAsia="Times New Roman" w:hAnsi="Verdana"/>
        </w:rPr>
        <w:t>and circulation of m</w:t>
      </w:r>
      <w:r w:rsidR="005512EB">
        <w:rPr>
          <w:rFonts w:ascii="Verdana" w:eastAsia="Times New Roman" w:hAnsi="Verdana"/>
        </w:rPr>
        <w:t>ore material outside meetings. All presentations given during open Board and Committee meetings will be available through the web-site;</w:t>
      </w:r>
    </w:p>
    <w:p w14:paraId="2149CFCB" w14:textId="7697923F" w:rsidR="00DB589B" w:rsidRPr="00DB589B" w:rsidRDefault="00DB589B" w:rsidP="005067B6">
      <w:pPr>
        <w:pStyle w:val="ListParagraph"/>
        <w:numPr>
          <w:ilvl w:val="0"/>
          <w:numId w:val="41"/>
        </w:numPr>
        <w:contextualSpacing w:val="0"/>
        <w:jc w:val="both"/>
        <w:rPr>
          <w:rFonts w:ascii="Verdana" w:eastAsia="Times New Roman" w:hAnsi="Verdana"/>
        </w:rPr>
      </w:pPr>
      <w:r w:rsidRPr="00DB589B">
        <w:rPr>
          <w:rFonts w:ascii="Verdana" w:eastAsia="Times New Roman" w:hAnsi="Verdana"/>
        </w:rPr>
        <w:t xml:space="preserve">the Committee Chair, Lead Executive </w:t>
      </w:r>
      <w:r w:rsidR="005512EB">
        <w:rPr>
          <w:rFonts w:ascii="Verdana" w:eastAsia="Times New Roman" w:hAnsi="Verdana"/>
        </w:rPr>
        <w:t>and Board Secretary will consider the attendance needed at each meeting, and will be mindful both of pressures on executives and the need to provide development opportunities for deputies or equivalent senior personnel</w:t>
      </w:r>
      <w:r w:rsidR="00FC000B">
        <w:rPr>
          <w:rFonts w:ascii="Verdana" w:eastAsia="Times New Roman" w:hAnsi="Verdana"/>
        </w:rPr>
        <w:t>;</w:t>
      </w:r>
    </w:p>
    <w:p w14:paraId="1BC81BAE" w14:textId="38C440D5" w:rsidR="00CC347E" w:rsidRDefault="005512EB" w:rsidP="005067B6">
      <w:pPr>
        <w:pStyle w:val="ListParagraph"/>
        <w:numPr>
          <w:ilvl w:val="0"/>
          <w:numId w:val="41"/>
        </w:numPr>
        <w:contextualSpacing w:val="0"/>
        <w:jc w:val="both"/>
        <w:rPr>
          <w:rFonts w:ascii="Verdana" w:eastAsia="Times New Roman" w:hAnsi="Verdana"/>
        </w:rPr>
      </w:pPr>
      <w:r>
        <w:rPr>
          <w:rFonts w:ascii="Verdana" w:eastAsia="Times New Roman" w:hAnsi="Verdana"/>
        </w:rPr>
        <w:t>the Chair and Chief Executive will continue to call urgent meetings outside the regular schedule, if the need arises</w:t>
      </w:r>
      <w:r w:rsidR="00FC000B">
        <w:rPr>
          <w:rFonts w:ascii="Verdana" w:eastAsia="Times New Roman" w:hAnsi="Verdana"/>
        </w:rPr>
        <w:t xml:space="preserve">; and </w:t>
      </w:r>
    </w:p>
    <w:p w14:paraId="46C67BB0" w14:textId="1682036D" w:rsidR="00093B99" w:rsidRPr="00083EE7" w:rsidRDefault="00093B99" w:rsidP="005067B6">
      <w:pPr>
        <w:pStyle w:val="ListParagraph"/>
        <w:numPr>
          <w:ilvl w:val="0"/>
          <w:numId w:val="41"/>
        </w:numPr>
        <w:contextualSpacing w:val="0"/>
        <w:jc w:val="both"/>
        <w:rPr>
          <w:rFonts w:ascii="Verdana" w:eastAsia="Times New Roman" w:hAnsi="Verdana"/>
        </w:rPr>
      </w:pPr>
      <w:proofErr w:type="gramStart"/>
      <w:r>
        <w:rPr>
          <w:rFonts w:ascii="Verdana" w:eastAsia="Times New Roman" w:hAnsi="Verdana"/>
        </w:rPr>
        <w:t>the</w:t>
      </w:r>
      <w:proofErr w:type="gramEnd"/>
      <w:r>
        <w:rPr>
          <w:rFonts w:ascii="Verdana" w:eastAsia="Times New Roman" w:hAnsi="Verdana"/>
        </w:rPr>
        <w:t xml:space="preserve"> Board and Committees will continue with/introduce live</w:t>
      </w:r>
      <w:r w:rsidR="000C689E">
        <w:rPr>
          <w:rFonts w:ascii="Verdana" w:eastAsia="Times New Roman" w:hAnsi="Verdana"/>
        </w:rPr>
        <w:t xml:space="preserve"> streaming of open meetings in 2021/22</w:t>
      </w:r>
      <w:bookmarkStart w:id="5" w:name="_GoBack"/>
      <w:bookmarkEnd w:id="5"/>
      <w:r>
        <w:rPr>
          <w:rFonts w:ascii="Verdana" w:eastAsia="Times New Roman" w:hAnsi="Verdana"/>
        </w:rPr>
        <w:t>.</w:t>
      </w:r>
    </w:p>
    <w:p w14:paraId="066631DB" w14:textId="77777777" w:rsidR="00CC347E" w:rsidRPr="00083EE7" w:rsidRDefault="00CC347E" w:rsidP="00FC000B">
      <w:pPr>
        <w:spacing w:after="0"/>
        <w:ind w:left="410"/>
        <w:rPr>
          <w:rFonts w:ascii="Verdana" w:eastAsia="Times New Roman" w:hAnsi="Verdana"/>
          <w:sz w:val="24"/>
          <w:szCs w:val="24"/>
        </w:rPr>
      </w:pPr>
    </w:p>
    <w:p w14:paraId="316892B0" w14:textId="27670BA0" w:rsidR="00083EE7" w:rsidRDefault="005512EB" w:rsidP="00FC000B">
      <w:pPr>
        <w:spacing w:after="0"/>
        <w:rPr>
          <w:rFonts w:ascii="Verdana" w:eastAsia="Times New Roman" w:hAnsi="Verdana"/>
          <w:sz w:val="24"/>
          <w:szCs w:val="24"/>
        </w:rPr>
      </w:pPr>
      <w:r>
        <w:rPr>
          <w:rFonts w:ascii="Verdana" w:eastAsia="Times New Roman" w:hAnsi="Verdana"/>
          <w:sz w:val="24"/>
          <w:szCs w:val="24"/>
        </w:rPr>
        <w:t xml:space="preserve">Appendix </w:t>
      </w:r>
      <w:r w:rsidR="000C689E">
        <w:rPr>
          <w:rFonts w:ascii="Verdana" w:eastAsia="Times New Roman" w:hAnsi="Verdana"/>
          <w:sz w:val="24"/>
          <w:szCs w:val="24"/>
        </w:rPr>
        <w:t>o</w:t>
      </w:r>
      <w:r>
        <w:rPr>
          <w:rFonts w:ascii="Verdana" w:eastAsia="Times New Roman" w:hAnsi="Verdana"/>
          <w:sz w:val="24"/>
          <w:szCs w:val="24"/>
        </w:rPr>
        <w:t xml:space="preserve">ne provides a </w:t>
      </w:r>
      <w:r w:rsidR="00083EE7" w:rsidRPr="00083EE7">
        <w:rPr>
          <w:rFonts w:ascii="Verdana" w:eastAsia="Times New Roman" w:hAnsi="Verdana"/>
          <w:sz w:val="24"/>
          <w:szCs w:val="24"/>
        </w:rPr>
        <w:t>visual overview of the proposed change</w:t>
      </w:r>
      <w:r w:rsidR="005067B6">
        <w:rPr>
          <w:rFonts w:ascii="Verdana" w:eastAsia="Times New Roman" w:hAnsi="Verdana"/>
          <w:sz w:val="24"/>
          <w:szCs w:val="24"/>
        </w:rPr>
        <w:t>s.</w:t>
      </w:r>
    </w:p>
    <w:p w14:paraId="49AA416C" w14:textId="77777777" w:rsidR="005067B6" w:rsidRPr="00083EE7" w:rsidRDefault="005067B6" w:rsidP="00FC000B">
      <w:pPr>
        <w:spacing w:after="0"/>
        <w:rPr>
          <w:rFonts w:ascii="Verdana" w:eastAsia="Times New Roman" w:hAnsi="Verdana"/>
          <w:sz w:val="24"/>
          <w:szCs w:val="24"/>
        </w:rPr>
      </w:pPr>
    </w:p>
    <w:p w14:paraId="4B122A32" w14:textId="0A7A7868" w:rsidR="00C57841" w:rsidRDefault="00AF7B80" w:rsidP="00FC000B">
      <w:pPr>
        <w:spacing w:after="0"/>
        <w:jc w:val="both"/>
        <w:rPr>
          <w:rFonts w:ascii="Verdana" w:hAnsi="Verdana"/>
          <w:sz w:val="24"/>
          <w:szCs w:val="24"/>
        </w:rPr>
      </w:pPr>
      <w:r w:rsidRPr="00083EE7">
        <w:rPr>
          <w:rFonts w:ascii="Verdana" w:hAnsi="Verdana"/>
          <w:sz w:val="24"/>
          <w:szCs w:val="24"/>
        </w:rPr>
        <w:t>Committee Chairs and Lead Exec</w:t>
      </w:r>
      <w:r w:rsidR="005512EB">
        <w:rPr>
          <w:rFonts w:ascii="Verdana" w:hAnsi="Verdana"/>
          <w:sz w:val="24"/>
          <w:szCs w:val="24"/>
        </w:rPr>
        <w:t>utives will action the proposed Committee- level changes, with support from the Board Secretary. The Chair and Chief Executive will ov</w:t>
      </w:r>
      <w:r w:rsidR="00093B99">
        <w:rPr>
          <w:rFonts w:ascii="Verdana" w:hAnsi="Verdana"/>
          <w:sz w:val="24"/>
          <w:szCs w:val="24"/>
        </w:rPr>
        <w:t>er</w:t>
      </w:r>
      <w:r w:rsidR="005512EB">
        <w:rPr>
          <w:rFonts w:ascii="Verdana" w:hAnsi="Verdana"/>
          <w:sz w:val="24"/>
          <w:szCs w:val="24"/>
        </w:rPr>
        <w:t xml:space="preserve">see the Board-level changes, again with Board Secretary </w:t>
      </w:r>
      <w:proofErr w:type="gramStart"/>
      <w:r w:rsidR="005512EB">
        <w:rPr>
          <w:rFonts w:ascii="Verdana" w:hAnsi="Verdana"/>
          <w:sz w:val="24"/>
          <w:szCs w:val="24"/>
        </w:rPr>
        <w:t>support</w:t>
      </w:r>
      <w:proofErr w:type="gramEnd"/>
      <w:r w:rsidR="005512EB">
        <w:rPr>
          <w:rFonts w:ascii="Verdana" w:hAnsi="Verdana"/>
          <w:sz w:val="24"/>
          <w:szCs w:val="24"/>
        </w:rPr>
        <w:t>.</w:t>
      </w:r>
      <w:r w:rsidRPr="00083EE7">
        <w:rPr>
          <w:rFonts w:ascii="Verdana" w:hAnsi="Verdana"/>
          <w:sz w:val="24"/>
          <w:szCs w:val="24"/>
        </w:rPr>
        <w:t xml:space="preserve"> </w:t>
      </w:r>
    </w:p>
    <w:p w14:paraId="1769D5B9" w14:textId="77777777" w:rsidR="00FC000B" w:rsidRPr="00083EE7" w:rsidRDefault="00FC000B" w:rsidP="00FC000B">
      <w:pPr>
        <w:spacing w:after="0"/>
        <w:jc w:val="both"/>
        <w:rPr>
          <w:rFonts w:ascii="Verdana" w:eastAsia="Times New Roman" w:hAnsi="Verdana"/>
          <w:sz w:val="24"/>
          <w:szCs w:val="24"/>
        </w:rPr>
      </w:pPr>
    </w:p>
    <w:p w14:paraId="4B13B01B" w14:textId="06A229A5" w:rsidR="00094E24" w:rsidRDefault="00D565D7" w:rsidP="00FC000B">
      <w:pPr>
        <w:spacing w:after="0"/>
        <w:rPr>
          <w:rFonts w:ascii="Verdana" w:eastAsia="Times New Roman" w:hAnsi="Verdana"/>
          <w:b/>
          <w:sz w:val="24"/>
          <w:szCs w:val="24"/>
        </w:rPr>
      </w:pPr>
      <w:r w:rsidRPr="00083EE7">
        <w:rPr>
          <w:rFonts w:ascii="Verdana" w:eastAsia="Times New Roman" w:hAnsi="Verdana"/>
          <w:b/>
          <w:sz w:val="24"/>
          <w:szCs w:val="24"/>
        </w:rPr>
        <w:t>Recommendation – T</w:t>
      </w:r>
      <w:r w:rsidR="0073207E" w:rsidRPr="00083EE7">
        <w:rPr>
          <w:rFonts w:ascii="Verdana" w:eastAsia="Times New Roman" w:hAnsi="Verdana"/>
          <w:b/>
          <w:sz w:val="24"/>
          <w:szCs w:val="24"/>
        </w:rPr>
        <w:t>hat t</w:t>
      </w:r>
      <w:r w:rsidRPr="00083EE7">
        <w:rPr>
          <w:rFonts w:ascii="Verdana" w:eastAsia="Times New Roman" w:hAnsi="Verdana"/>
          <w:b/>
          <w:sz w:val="24"/>
          <w:szCs w:val="24"/>
        </w:rPr>
        <w:t>he Board approve</w:t>
      </w:r>
      <w:r w:rsidR="00F02D73" w:rsidRPr="00083EE7">
        <w:rPr>
          <w:rFonts w:ascii="Verdana" w:eastAsia="Times New Roman" w:hAnsi="Verdana"/>
          <w:b/>
          <w:sz w:val="24"/>
          <w:szCs w:val="24"/>
        </w:rPr>
        <w:t>s</w:t>
      </w:r>
      <w:r w:rsidRPr="00083EE7">
        <w:rPr>
          <w:rFonts w:ascii="Verdana" w:eastAsia="Times New Roman" w:hAnsi="Verdana"/>
          <w:b/>
          <w:sz w:val="24"/>
          <w:szCs w:val="24"/>
        </w:rPr>
        <w:t xml:space="preserve"> the variations to the Board and Committee </w:t>
      </w:r>
      <w:r w:rsidR="005067B6" w:rsidRPr="00083EE7">
        <w:rPr>
          <w:rFonts w:ascii="Verdana" w:eastAsia="Times New Roman" w:hAnsi="Verdana"/>
          <w:b/>
          <w:sz w:val="24"/>
          <w:szCs w:val="24"/>
        </w:rPr>
        <w:t>schedule, as</w:t>
      </w:r>
      <w:r w:rsidRPr="00083EE7">
        <w:rPr>
          <w:rFonts w:ascii="Verdana" w:eastAsia="Times New Roman" w:hAnsi="Verdana"/>
          <w:b/>
          <w:sz w:val="24"/>
          <w:szCs w:val="24"/>
        </w:rPr>
        <w:t xml:space="preserve"> outlined above</w:t>
      </w:r>
      <w:r w:rsidR="00093B99">
        <w:rPr>
          <w:rFonts w:ascii="Verdana" w:eastAsia="Times New Roman" w:hAnsi="Verdana"/>
          <w:b/>
          <w:sz w:val="24"/>
          <w:szCs w:val="24"/>
        </w:rPr>
        <w:t>, with effect from 1 April 2021, with a review in July 2021.</w:t>
      </w:r>
    </w:p>
    <w:p w14:paraId="290957F4" w14:textId="77777777" w:rsidR="00FC000B" w:rsidRDefault="00FC000B" w:rsidP="00FC000B">
      <w:pPr>
        <w:spacing w:after="0"/>
        <w:rPr>
          <w:rFonts w:ascii="Verdana" w:eastAsia="Times New Roman" w:hAnsi="Verdana"/>
          <w:sz w:val="24"/>
          <w:szCs w:val="24"/>
        </w:rPr>
      </w:pPr>
    </w:p>
    <w:p w14:paraId="2BD6B649" w14:textId="2B5130C8" w:rsidR="00094E24" w:rsidRPr="00083EE7" w:rsidRDefault="00093B99" w:rsidP="00FC000B">
      <w:pPr>
        <w:pStyle w:val="ListParagraph"/>
        <w:numPr>
          <w:ilvl w:val="0"/>
          <w:numId w:val="43"/>
        </w:numPr>
        <w:contextualSpacing w:val="0"/>
        <w:rPr>
          <w:rFonts w:ascii="Verdana" w:eastAsia="Times New Roman" w:hAnsi="Verdana"/>
          <w:b/>
          <w:u w:val="single"/>
        </w:rPr>
      </w:pPr>
      <w:r>
        <w:rPr>
          <w:rFonts w:ascii="Verdana" w:eastAsia="Times New Roman" w:hAnsi="Verdana"/>
          <w:b/>
          <w:u w:val="single"/>
        </w:rPr>
        <w:t>Recommendation</w:t>
      </w:r>
    </w:p>
    <w:p w14:paraId="6CE0C354" w14:textId="77777777" w:rsidR="00094E24" w:rsidRPr="00083EE7" w:rsidRDefault="00094E24" w:rsidP="00FC000B">
      <w:pPr>
        <w:pStyle w:val="ListParagraph"/>
        <w:ind w:left="360"/>
        <w:contextualSpacing w:val="0"/>
        <w:rPr>
          <w:rFonts w:ascii="Verdana" w:eastAsia="Times New Roman" w:hAnsi="Verdana"/>
          <w:b/>
          <w:u w:val="single"/>
        </w:rPr>
      </w:pPr>
    </w:p>
    <w:p w14:paraId="28D974B7" w14:textId="18874E1F" w:rsidR="00094E24" w:rsidRPr="00083EE7" w:rsidRDefault="00093B99" w:rsidP="00FC000B">
      <w:pPr>
        <w:spacing w:after="0"/>
        <w:rPr>
          <w:rFonts w:ascii="Verdana" w:eastAsia="Times New Roman" w:hAnsi="Verdana"/>
          <w:sz w:val="24"/>
          <w:szCs w:val="24"/>
        </w:rPr>
      </w:pPr>
      <w:r>
        <w:rPr>
          <w:rFonts w:ascii="Verdana" w:eastAsia="Times New Roman" w:hAnsi="Verdana"/>
          <w:sz w:val="24"/>
          <w:szCs w:val="24"/>
        </w:rPr>
        <w:t>That the Board</w:t>
      </w:r>
      <w:r w:rsidR="00094E24" w:rsidRPr="00083EE7">
        <w:rPr>
          <w:rFonts w:ascii="Verdana" w:eastAsia="Times New Roman" w:hAnsi="Verdana"/>
          <w:sz w:val="24"/>
          <w:szCs w:val="24"/>
        </w:rPr>
        <w:t>:</w:t>
      </w:r>
    </w:p>
    <w:p w14:paraId="13A784E2" w14:textId="710DBD97" w:rsidR="00E5287C" w:rsidRPr="00083EE7" w:rsidRDefault="00AF7B80" w:rsidP="00FC000B">
      <w:pPr>
        <w:pStyle w:val="ListParagraph"/>
        <w:numPr>
          <w:ilvl w:val="0"/>
          <w:numId w:val="2"/>
        </w:numPr>
        <w:contextualSpacing w:val="0"/>
        <w:rPr>
          <w:rFonts w:ascii="Verdana" w:eastAsia="Times New Roman" w:hAnsi="Verdana"/>
          <w:b/>
        </w:rPr>
      </w:pPr>
      <w:r w:rsidRPr="00083EE7">
        <w:rPr>
          <w:rFonts w:ascii="Verdana" w:eastAsia="Times New Roman" w:hAnsi="Verdana"/>
          <w:b/>
        </w:rPr>
        <w:t>Consider</w:t>
      </w:r>
      <w:r w:rsidR="00093B99">
        <w:rPr>
          <w:rFonts w:ascii="Verdana" w:eastAsia="Times New Roman" w:hAnsi="Verdana"/>
          <w:b/>
        </w:rPr>
        <w:t>s</w:t>
      </w:r>
      <w:r w:rsidRPr="00083EE7">
        <w:rPr>
          <w:rFonts w:ascii="Verdana" w:eastAsia="Times New Roman" w:hAnsi="Verdana"/>
          <w:b/>
        </w:rPr>
        <w:t xml:space="preserve"> and a</w:t>
      </w:r>
      <w:r w:rsidR="00094E24" w:rsidRPr="00083EE7">
        <w:rPr>
          <w:rFonts w:ascii="Verdana" w:eastAsia="Times New Roman" w:hAnsi="Verdana"/>
          <w:b/>
        </w:rPr>
        <w:t>pprove</w:t>
      </w:r>
      <w:r w:rsidR="00093B99">
        <w:rPr>
          <w:rFonts w:ascii="Verdana" w:eastAsia="Times New Roman" w:hAnsi="Verdana"/>
          <w:b/>
        </w:rPr>
        <w:t>s</w:t>
      </w:r>
      <w:r w:rsidR="00094E24" w:rsidRPr="00083EE7">
        <w:rPr>
          <w:rFonts w:ascii="Verdana" w:eastAsia="Times New Roman" w:hAnsi="Verdana"/>
          <w:b/>
        </w:rPr>
        <w:t xml:space="preserve"> </w:t>
      </w:r>
      <w:r w:rsidR="00094E24" w:rsidRPr="00083EE7">
        <w:rPr>
          <w:rFonts w:ascii="Verdana" w:eastAsia="Times New Roman" w:hAnsi="Verdana"/>
        </w:rPr>
        <w:t>the variations to the Board and Committee schedule</w:t>
      </w:r>
      <w:r w:rsidR="00093B99">
        <w:rPr>
          <w:rFonts w:ascii="Verdana" w:eastAsia="Times New Roman" w:hAnsi="Verdana"/>
        </w:rPr>
        <w:t>,</w:t>
      </w:r>
      <w:r w:rsidR="00094E24" w:rsidRPr="00083EE7">
        <w:rPr>
          <w:rFonts w:ascii="Verdana" w:eastAsia="Times New Roman" w:hAnsi="Verdana"/>
        </w:rPr>
        <w:t xml:space="preserve"> as outlined</w:t>
      </w:r>
      <w:r w:rsidR="00093B99">
        <w:rPr>
          <w:rFonts w:ascii="Verdana" w:eastAsia="Times New Roman" w:hAnsi="Verdana"/>
        </w:rPr>
        <w:t xml:space="preserve"> in the paper.</w:t>
      </w:r>
    </w:p>
    <w:p w14:paraId="3E562503" w14:textId="6CEAF82B" w:rsidR="00FC000B" w:rsidRDefault="00FC000B">
      <w:pPr>
        <w:rPr>
          <w:rFonts w:ascii="Verdana" w:eastAsia="Times New Roman" w:hAnsi="Verdana"/>
          <w:b/>
          <w:sz w:val="24"/>
          <w:szCs w:val="24"/>
        </w:rPr>
      </w:pPr>
      <w:r>
        <w:rPr>
          <w:rFonts w:ascii="Verdana" w:eastAsia="Times New Roman" w:hAnsi="Verdana"/>
          <w:b/>
          <w:sz w:val="24"/>
          <w:szCs w:val="24"/>
        </w:rPr>
        <w:br w:type="page"/>
      </w:r>
    </w:p>
    <w:p w14:paraId="6EECF5E1" w14:textId="77777777" w:rsidR="005067B6" w:rsidRDefault="00D350C4" w:rsidP="00FC000B">
      <w:pPr>
        <w:spacing w:after="0"/>
        <w:rPr>
          <w:rFonts w:ascii="Verdana" w:eastAsia="Times New Roman" w:hAnsi="Verdana"/>
          <w:b/>
          <w:sz w:val="24"/>
          <w:szCs w:val="24"/>
        </w:rPr>
      </w:pPr>
      <w:r w:rsidRPr="00083EE7">
        <w:rPr>
          <w:rFonts w:ascii="Verdana" w:eastAsia="Times New Roman" w:hAnsi="Verdana"/>
          <w:b/>
          <w:sz w:val="24"/>
          <w:szCs w:val="24"/>
        </w:rPr>
        <w:t>Appendix One: Proposed 2021/22 Board and Committee Schedule</w:t>
      </w:r>
    </w:p>
    <w:p w14:paraId="1237A863" w14:textId="666FED3C" w:rsidR="00D350C4" w:rsidRDefault="00D350C4" w:rsidP="00FC000B">
      <w:pPr>
        <w:spacing w:after="0"/>
        <w:rPr>
          <w:rFonts w:ascii="Verdana" w:eastAsia="Times New Roman" w:hAnsi="Verdana"/>
          <w:b/>
          <w:sz w:val="24"/>
          <w:szCs w:val="24"/>
        </w:rPr>
      </w:pPr>
      <w:r w:rsidRPr="00083EE7">
        <w:rPr>
          <w:rFonts w:ascii="Verdana" w:eastAsia="Times New Roman" w:hAnsi="Verdana"/>
          <w:b/>
          <w:sz w:val="24"/>
          <w:szCs w:val="24"/>
        </w:rPr>
        <w:t xml:space="preserve"> </w:t>
      </w:r>
    </w:p>
    <w:p w14:paraId="10011CD1" w14:textId="3843B493" w:rsidR="00FC000B" w:rsidRPr="00083EE7" w:rsidRDefault="005067B6" w:rsidP="00FC000B">
      <w:pPr>
        <w:spacing w:after="0"/>
        <w:rPr>
          <w:rFonts w:ascii="Verdana" w:eastAsia="Times New Roman" w:hAnsi="Verdana"/>
          <w:b/>
          <w:sz w:val="24"/>
          <w:szCs w:val="24"/>
        </w:rPr>
      </w:pPr>
      <w:r w:rsidRPr="00D350C4">
        <w:rPr>
          <w:noProof/>
          <w:lang w:eastAsia="en-GB"/>
        </w:rPr>
        <w:drawing>
          <wp:inline distT="0" distB="0" distL="0" distR="0" wp14:anchorId="1873312A" wp14:editId="1DAA516D">
            <wp:extent cx="5731510" cy="4361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361180"/>
                    </a:xfrm>
                    <a:prstGeom prst="rect">
                      <a:avLst/>
                    </a:prstGeom>
                    <a:noFill/>
                    <a:ln>
                      <a:noFill/>
                    </a:ln>
                  </pic:spPr>
                </pic:pic>
              </a:graphicData>
            </a:graphic>
          </wp:inline>
        </w:drawing>
      </w:r>
    </w:p>
    <w:p w14:paraId="6C3619DC" w14:textId="72489581" w:rsidR="00D350C4" w:rsidRDefault="00D350C4" w:rsidP="00FC000B">
      <w:pPr>
        <w:spacing w:after="0"/>
        <w:rPr>
          <w:rFonts w:ascii="Verdana" w:eastAsia="Times New Roman" w:hAnsi="Verdana"/>
          <w:b/>
        </w:rPr>
      </w:pPr>
    </w:p>
    <w:p w14:paraId="41522558" w14:textId="4E8519DC" w:rsidR="00083EE7" w:rsidRDefault="00083EE7" w:rsidP="00FC000B">
      <w:pPr>
        <w:spacing w:after="0"/>
        <w:rPr>
          <w:rFonts w:ascii="Verdana" w:eastAsia="Times New Roman" w:hAnsi="Verdana"/>
          <w:b/>
        </w:rPr>
      </w:pPr>
      <w:r>
        <w:rPr>
          <w:rFonts w:ascii="Verdana" w:eastAsia="Times New Roman" w:hAnsi="Verdana"/>
          <w:b/>
        </w:rPr>
        <w:t>Please note:</w:t>
      </w:r>
    </w:p>
    <w:p w14:paraId="749B7E05" w14:textId="3F8CDF25" w:rsidR="00FC000B" w:rsidRPr="00083EE7" w:rsidRDefault="00FC000B" w:rsidP="005067B6">
      <w:pPr>
        <w:tabs>
          <w:tab w:val="left" w:pos="851"/>
        </w:tabs>
        <w:spacing w:after="0" w:line="240" w:lineRule="auto"/>
        <w:ind w:left="1134" w:hanging="1134"/>
        <w:jc w:val="both"/>
        <w:rPr>
          <w:rFonts w:ascii="Verdana" w:eastAsia="Times New Roman" w:hAnsi="Verdana"/>
        </w:rPr>
      </w:pPr>
      <w:r>
        <w:rPr>
          <w:rFonts w:ascii="Verdana" w:eastAsia="Times New Roman" w:hAnsi="Verdana"/>
          <w:b/>
        </w:rPr>
        <w:t xml:space="preserve">ACGC </w:t>
      </w:r>
      <w:r>
        <w:rPr>
          <w:rFonts w:ascii="Verdana" w:eastAsia="Times New Roman" w:hAnsi="Verdana"/>
          <w:b/>
        </w:rPr>
        <w:tab/>
      </w:r>
      <w:r w:rsidRPr="00083EE7">
        <w:rPr>
          <w:rFonts w:ascii="Verdana" w:eastAsia="Times New Roman" w:hAnsi="Verdana"/>
        </w:rPr>
        <w:t>–</w:t>
      </w:r>
      <w:r>
        <w:rPr>
          <w:rFonts w:ascii="Verdana" w:eastAsia="Times New Roman" w:hAnsi="Verdana"/>
        </w:rPr>
        <w:tab/>
      </w:r>
      <w:r w:rsidRPr="00083EE7">
        <w:rPr>
          <w:rFonts w:ascii="Verdana" w:eastAsia="Times New Roman" w:hAnsi="Verdana"/>
        </w:rPr>
        <w:t>7 June is a shorter than usual meeting for the consideration of the annual accounts only and scheduled for 45</w:t>
      </w:r>
      <w:r>
        <w:rPr>
          <w:rFonts w:ascii="Verdana" w:eastAsia="Times New Roman" w:hAnsi="Verdana"/>
        </w:rPr>
        <w:t xml:space="preserve"> minutes</w:t>
      </w:r>
    </w:p>
    <w:p w14:paraId="177C2CC8" w14:textId="43EC5CB6" w:rsidR="00083EE7" w:rsidRDefault="00083EE7" w:rsidP="005067B6">
      <w:pPr>
        <w:tabs>
          <w:tab w:val="left" w:pos="851"/>
        </w:tabs>
        <w:spacing w:after="0" w:line="240" w:lineRule="auto"/>
        <w:ind w:left="1134" w:hanging="1134"/>
        <w:jc w:val="both"/>
        <w:rPr>
          <w:rFonts w:ascii="Verdana" w:eastAsia="Times New Roman" w:hAnsi="Verdana"/>
          <w:b/>
        </w:rPr>
      </w:pPr>
      <w:r>
        <w:rPr>
          <w:rFonts w:ascii="Verdana" w:eastAsia="Times New Roman" w:hAnsi="Verdana"/>
          <w:b/>
        </w:rPr>
        <w:t xml:space="preserve">Board </w:t>
      </w:r>
      <w:r w:rsidR="00FC000B">
        <w:rPr>
          <w:rFonts w:ascii="Verdana" w:eastAsia="Times New Roman" w:hAnsi="Verdana"/>
          <w:b/>
        </w:rPr>
        <w:tab/>
      </w:r>
      <w:r w:rsidRPr="00083EE7">
        <w:rPr>
          <w:rFonts w:ascii="Verdana" w:eastAsia="Times New Roman" w:hAnsi="Verdana"/>
        </w:rPr>
        <w:t>– 10 June is an extraordinary meeting for the consideration of the annual accounts only and scheduled for 3</w:t>
      </w:r>
      <w:r w:rsidR="00F12B63">
        <w:rPr>
          <w:rFonts w:ascii="Verdana" w:eastAsia="Times New Roman" w:hAnsi="Verdana"/>
        </w:rPr>
        <w:t>0 minutes</w:t>
      </w:r>
    </w:p>
    <w:p w14:paraId="7B4899EA" w14:textId="7E96B5E4" w:rsidR="00083EE7" w:rsidRPr="00083EE7" w:rsidRDefault="00083EE7" w:rsidP="005067B6">
      <w:pPr>
        <w:tabs>
          <w:tab w:val="left" w:pos="851"/>
        </w:tabs>
        <w:spacing w:after="0" w:line="240" w:lineRule="auto"/>
        <w:ind w:left="1134" w:hanging="1134"/>
        <w:jc w:val="both"/>
        <w:rPr>
          <w:rFonts w:ascii="Verdana" w:eastAsia="Times New Roman" w:hAnsi="Verdana"/>
        </w:rPr>
      </w:pPr>
      <w:r>
        <w:rPr>
          <w:rFonts w:ascii="Verdana" w:eastAsia="Times New Roman" w:hAnsi="Verdana"/>
          <w:b/>
        </w:rPr>
        <w:t xml:space="preserve">Board </w:t>
      </w:r>
      <w:r w:rsidR="00FC000B">
        <w:rPr>
          <w:rFonts w:ascii="Verdana" w:eastAsia="Times New Roman" w:hAnsi="Verdana"/>
          <w:b/>
        </w:rPr>
        <w:tab/>
      </w:r>
      <w:r w:rsidRPr="00083EE7">
        <w:rPr>
          <w:rFonts w:ascii="Verdana" w:eastAsia="Times New Roman" w:hAnsi="Verdana"/>
        </w:rPr>
        <w:t>– 29 July will also incl</w:t>
      </w:r>
      <w:r w:rsidR="00F12B63">
        <w:rPr>
          <w:rFonts w:ascii="Verdana" w:eastAsia="Times New Roman" w:hAnsi="Verdana"/>
        </w:rPr>
        <w:t>ude the Annual General Meeting</w:t>
      </w:r>
    </w:p>
    <w:p w14:paraId="18965270" w14:textId="77777777" w:rsidR="00083EE7" w:rsidRDefault="00083EE7" w:rsidP="005067B6">
      <w:pPr>
        <w:spacing w:after="0" w:line="240" w:lineRule="auto"/>
        <w:jc w:val="both"/>
        <w:rPr>
          <w:rFonts w:ascii="Verdana" w:eastAsia="Times New Roman" w:hAnsi="Verdana"/>
          <w:b/>
          <w:szCs w:val="24"/>
        </w:rPr>
      </w:pPr>
    </w:p>
    <w:p w14:paraId="3EF9621C" w14:textId="76B854B3" w:rsidR="00083EE7" w:rsidRPr="00083EE7" w:rsidRDefault="00083EE7" w:rsidP="005067B6">
      <w:pPr>
        <w:spacing w:after="0" w:line="240" w:lineRule="auto"/>
        <w:jc w:val="both"/>
        <w:rPr>
          <w:rFonts w:ascii="Verdana" w:eastAsia="Times New Roman" w:hAnsi="Verdana"/>
          <w:b/>
          <w:szCs w:val="24"/>
        </w:rPr>
      </w:pPr>
      <w:r w:rsidRPr="00083EE7">
        <w:rPr>
          <w:rFonts w:ascii="Verdana" w:eastAsia="Times New Roman" w:hAnsi="Verdana"/>
          <w:b/>
          <w:szCs w:val="24"/>
        </w:rPr>
        <w:t>Key:</w:t>
      </w:r>
    </w:p>
    <w:p w14:paraId="282D3E53" w14:textId="66AF55B6" w:rsidR="00083EE7" w:rsidRDefault="00083EE7" w:rsidP="005067B6">
      <w:pPr>
        <w:spacing w:after="0" w:line="240" w:lineRule="auto"/>
        <w:jc w:val="both"/>
        <w:rPr>
          <w:rFonts w:ascii="Verdana" w:eastAsia="Times New Roman" w:hAnsi="Verdana"/>
          <w:szCs w:val="24"/>
        </w:rPr>
      </w:pPr>
      <w:r w:rsidRPr="00083EE7">
        <w:rPr>
          <w:rFonts w:ascii="Verdana" w:eastAsia="Times New Roman" w:hAnsi="Verdana"/>
          <w:b/>
          <w:szCs w:val="24"/>
        </w:rPr>
        <w:t xml:space="preserve">QSIC </w:t>
      </w:r>
      <w:r w:rsidR="00FC000B">
        <w:rPr>
          <w:rFonts w:ascii="Verdana" w:eastAsia="Times New Roman" w:hAnsi="Verdana"/>
          <w:b/>
          <w:szCs w:val="24"/>
        </w:rPr>
        <w:tab/>
      </w:r>
      <w:r w:rsidRPr="00083EE7">
        <w:rPr>
          <w:rFonts w:ascii="Verdana" w:eastAsia="Times New Roman" w:hAnsi="Verdana"/>
          <w:b/>
          <w:szCs w:val="24"/>
        </w:rPr>
        <w:t xml:space="preserve">– </w:t>
      </w:r>
      <w:r w:rsidRPr="00F12B63">
        <w:rPr>
          <w:rFonts w:ascii="Verdana" w:eastAsia="Times New Roman" w:hAnsi="Verdana"/>
          <w:szCs w:val="24"/>
        </w:rPr>
        <w:t>Q</w:t>
      </w:r>
      <w:r w:rsidRPr="00083EE7">
        <w:rPr>
          <w:rFonts w:ascii="Verdana" w:eastAsia="Times New Roman" w:hAnsi="Verdana"/>
          <w:szCs w:val="24"/>
        </w:rPr>
        <w:t>uality, Safety and Improvement Committee</w:t>
      </w:r>
    </w:p>
    <w:p w14:paraId="0B3E4C76" w14:textId="6A954861" w:rsidR="00083EE7" w:rsidRPr="00083EE7" w:rsidRDefault="00083EE7" w:rsidP="005067B6">
      <w:pPr>
        <w:spacing w:after="0" w:line="240" w:lineRule="auto"/>
        <w:jc w:val="both"/>
        <w:rPr>
          <w:rFonts w:ascii="Verdana" w:eastAsia="Times New Roman" w:hAnsi="Verdana"/>
          <w:b/>
          <w:szCs w:val="24"/>
        </w:rPr>
      </w:pPr>
      <w:r w:rsidRPr="00083EE7">
        <w:rPr>
          <w:rFonts w:ascii="Verdana" w:eastAsia="Times New Roman" w:hAnsi="Verdana"/>
          <w:b/>
          <w:szCs w:val="24"/>
        </w:rPr>
        <w:t xml:space="preserve">POD </w:t>
      </w:r>
      <w:r w:rsidR="00FC000B">
        <w:rPr>
          <w:rFonts w:ascii="Verdana" w:eastAsia="Times New Roman" w:hAnsi="Verdana"/>
          <w:b/>
          <w:szCs w:val="24"/>
        </w:rPr>
        <w:tab/>
      </w:r>
      <w:r w:rsidRPr="00083EE7">
        <w:rPr>
          <w:rFonts w:ascii="Verdana" w:eastAsia="Times New Roman" w:hAnsi="Verdana"/>
          <w:b/>
          <w:szCs w:val="24"/>
        </w:rPr>
        <w:t xml:space="preserve">– </w:t>
      </w:r>
      <w:r w:rsidRPr="00083EE7">
        <w:rPr>
          <w:rFonts w:ascii="Verdana" w:eastAsia="Times New Roman" w:hAnsi="Verdana"/>
          <w:szCs w:val="24"/>
        </w:rPr>
        <w:t>People and Organisational Development Committee</w:t>
      </w:r>
    </w:p>
    <w:p w14:paraId="4BD98486" w14:textId="21AD25E7" w:rsidR="00083EE7" w:rsidRPr="00083EE7" w:rsidRDefault="00083EE7" w:rsidP="005067B6">
      <w:pPr>
        <w:spacing w:after="0" w:line="240" w:lineRule="auto"/>
        <w:jc w:val="both"/>
        <w:rPr>
          <w:rFonts w:ascii="Verdana" w:eastAsia="Times New Roman" w:hAnsi="Verdana"/>
          <w:b/>
          <w:szCs w:val="24"/>
        </w:rPr>
      </w:pPr>
      <w:r w:rsidRPr="00083EE7">
        <w:rPr>
          <w:rFonts w:ascii="Verdana" w:eastAsia="Times New Roman" w:hAnsi="Verdana"/>
          <w:b/>
          <w:szCs w:val="24"/>
        </w:rPr>
        <w:t xml:space="preserve">ACGC – </w:t>
      </w:r>
      <w:r w:rsidRPr="00083EE7">
        <w:rPr>
          <w:rFonts w:ascii="Verdana" w:eastAsia="Times New Roman" w:hAnsi="Verdana"/>
          <w:szCs w:val="24"/>
        </w:rPr>
        <w:t>Audit and Corporate Governance Committee</w:t>
      </w:r>
    </w:p>
    <w:p w14:paraId="0DCFA727" w14:textId="0A95B37B" w:rsidR="00083EE7" w:rsidRDefault="00083EE7" w:rsidP="00FC000B">
      <w:pPr>
        <w:spacing w:after="0" w:line="240" w:lineRule="auto"/>
        <w:jc w:val="both"/>
        <w:rPr>
          <w:rFonts w:ascii="Verdana" w:eastAsia="Times New Roman" w:hAnsi="Verdana"/>
          <w:b/>
          <w:sz w:val="28"/>
        </w:rPr>
      </w:pPr>
      <w:r w:rsidRPr="00083EE7">
        <w:rPr>
          <w:rFonts w:ascii="Verdana" w:eastAsia="Times New Roman" w:hAnsi="Verdana"/>
          <w:b/>
          <w:szCs w:val="24"/>
        </w:rPr>
        <w:t xml:space="preserve">KRIC – </w:t>
      </w:r>
      <w:r w:rsidRPr="00083EE7">
        <w:rPr>
          <w:rFonts w:ascii="Verdana" w:eastAsia="Times New Roman" w:hAnsi="Verdana"/>
          <w:szCs w:val="24"/>
        </w:rPr>
        <w:t>Knowledge, Research and Information Committee</w:t>
      </w:r>
    </w:p>
    <w:p w14:paraId="1AAC7643" w14:textId="77777777" w:rsidR="00E5287C" w:rsidRDefault="00E5287C" w:rsidP="006D5411">
      <w:pPr>
        <w:rPr>
          <w:rFonts w:ascii="Verdana" w:eastAsia="Times New Roman" w:hAnsi="Verdana"/>
          <w:b/>
          <w:sz w:val="28"/>
        </w:rPr>
      </w:pPr>
    </w:p>
    <w:sectPr w:rsidR="00E5287C" w:rsidSect="00C90C2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B809" w14:textId="77777777" w:rsidR="00201EF7" w:rsidRDefault="00201EF7" w:rsidP="00883874">
      <w:pPr>
        <w:spacing w:after="0" w:line="240" w:lineRule="auto"/>
      </w:pPr>
      <w:r>
        <w:separator/>
      </w:r>
    </w:p>
  </w:endnote>
  <w:endnote w:type="continuationSeparator" w:id="0">
    <w:p w14:paraId="546EFB7D" w14:textId="77777777" w:rsidR="00201EF7" w:rsidRDefault="00201EF7"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0"/>
      <w:gridCol w:w="2997"/>
    </w:tblGrid>
    <w:tr w:rsidR="008E6BAB" w:rsidRPr="00511AFF" w14:paraId="255529A4" w14:textId="77777777" w:rsidTr="008F2049">
      <w:tc>
        <w:tcPr>
          <w:tcW w:w="3100" w:type="dxa"/>
        </w:tcPr>
        <w:p w14:paraId="0D0750EA" w14:textId="667B3558" w:rsidR="008E6BAB" w:rsidRPr="00B70103" w:rsidRDefault="000F437D" w:rsidP="00AF7B80">
          <w:pPr>
            <w:pStyle w:val="Footer"/>
            <w:tabs>
              <w:tab w:val="right" w:pos="9090"/>
            </w:tabs>
            <w:jc w:val="center"/>
            <w:rPr>
              <w:rFonts w:ascii="Verdana" w:hAnsi="Verdana"/>
              <w:b/>
              <w:sz w:val="20"/>
            </w:rPr>
          </w:pPr>
          <w:r w:rsidRPr="00B70103">
            <w:rPr>
              <w:rFonts w:ascii="Verdana" w:hAnsi="Verdana"/>
              <w:b/>
              <w:sz w:val="20"/>
            </w:rPr>
            <w:t xml:space="preserve">Date: </w:t>
          </w:r>
          <w:r w:rsidR="00210AF6" w:rsidRPr="00B70103">
            <w:rPr>
              <w:rFonts w:ascii="Verdana" w:hAnsi="Verdana"/>
              <w:sz w:val="20"/>
            </w:rPr>
            <w:t xml:space="preserve"> </w:t>
          </w:r>
          <w:r w:rsidR="00AF7B80">
            <w:rPr>
              <w:rFonts w:ascii="Verdana" w:hAnsi="Verdana"/>
              <w:sz w:val="20"/>
            </w:rPr>
            <w:t>16 February 2021</w:t>
          </w:r>
        </w:p>
      </w:tc>
      <w:tc>
        <w:tcPr>
          <w:tcW w:w="3100" w:type="dxa"/>
        </w:tcPr>
        <w:p w14:paraId="6CB7D90D" w14:textId="77777777" w:rsidR="008E6BAB" w:rsidRPr="00B70103" w:rsidRDefault="000F437D" w:rsidP="008F2049">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sidR="00BA784F">
            <w:rPr>
              <w:rFonts w:ascii="Verdana" w:hAnsi="Verdana"/>
              <w:sz w:val="20"/>
            </w:rPr>
            <w:t xml:space="preserve"> 1</w:t>
          </w:r>
        </w:p>
      </w:tc>
      <w:tc>
        <w:tcPr>
          <w:tcW w:w="3101" w:type="dxa"/>
        </w:tcPr>
        <w:p w14:paraId="640EC2D4" w14:textId="0329731B" w:rsidR="008E6BAB" w:rsidRPr="00B70103" w:rsidRDefault="000F437D" w:rsidP="008F2049">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0C689E">
            <w:rPr>
              <w:rStyle w:val="PageNumber"/>
              <w:rFonts w:ascii="Verdana" w:hAnsi="Verdana"/>
              <w:noProof/>
              <w:sz w:val="20"/>
            </w:rPr>
            <w:t>4</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0C689E">
            <w:rPr>
              <w:rStyle w:val="PageNumber"/>
              <w:rFonts w:ascii="Verdana" w:hAnsi="Verdana"/>
              <w:noProof/>
              <w:sz w:val="20"/>
            </w:rPr>
            <w:t>5</w:t>
          </w:r>
          <w:r w:rsidRPr="00B70103">
            <w:rPr>
              <w:rStyle w:val="PageNumber"/>
              <w:rFonts w:ascii="Verdana" w:hAnsi="Verdana"/>
              <w:sz w:val="20"/>
            </w:rPr>
            <w:fldChar w:fldCharType="end"/>
          </w:r>
        </w:p>
      </w:tc>
    </w:tr>
  </w:tbl>
  <w:p w14:paraId="4F2B3E43" w14:textId="77777777" w:rsidR="008E6BAB" w:rsidRPr="00FA7943" w:rsidRDefault="000C689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C3BD7" w14:textId="77777777" w:rsidR="00201EF7" w:rsidRDefault="00201EF7" w:rsidP="00883874">
      <w:pPr>
        <w:spacing w:after="0" w:line="240" w:lineRule="auto"/>
      </w:pPr>
      <w:r>
        <w:separator/>
      </w:r>
    </w:p>
  </w:footnote>
  <w:footnote w:type="continuationSeparator" w:id="0">
    <w:p w14:paraId="1D0CD0AD" w14:textId="77777777" w:rsidR="00201EF7" w:rsidRDefault="00201EF7" w:rsidP="0088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6E6D" w14:textId="50B94FE1" w:rsidR="001642E9" w:rsidRPr="00DE286D" w:rsidRDefault="001642E9" w:rsidP="00DE286D">
    <w:pPr>
      <w:ind w:left="-851"/>
      <w:rPr>
        <w:rFonts w:ascii="Verdana" w:hAnsi="Verdana" w:cs="Arial"/>
        <w:b/>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B72"/>
    <w:multiLevelType w:val="hybridMultilevel"/>
    <w:tmpl w:val="A786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32B4B"/>
    <w:multiLevelType w:val="hybridMultilevel"/>
    <w:tmpl w:val="35D21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D38C9"/>
    <w:multiLevelType w:val="hybridMultilevel"/>
    <w:tmpl w:val="FC7265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B7270"/>
    <w:multiLevelType w:val="hybridMultilevel"/>
    <w:tmpl w:val="7FB82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52CEC"/>
    <w:multiLevelType w:val="hybridMultilevel"/>
    <w:tmpl w:val="05DE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31079"/>
    <w:multiLevelType w:val="hybridMultilevel"/>
    <w:tmpl w:val="2700A2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11FC7"/>
    <w:multiLevelType w:val="hybridMultilevel"/>
    <w:tmpl w:val="E8DC016C"/>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7" w15:restartNumberingAfterBreak="0">
    <w:nsid w:val="2137783C"/>
    <w:multiLevelType w:val="hybridMultilevel"/>
    <w:tmpl w:val="B658D5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F937DD"/>
    <w:multiLevelType w:val="hybridMultilevel"/>
    <w:tmpl w:val="913C2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23D21"/>
    <w:multiLevelType w:val="multilevel"/>
    <w:tmpl w:val="0809001F"/>
    <w:lvl w:ilvl="0">
      <w:start w:val="1"/>
      <w:numFmt w:val="decimal"/>
      <w:lvlText w:val="%1."/>
      <w:lvlJc w:val="left"/>
      <w:pPr>
        <w:ind w:left="-2476" w:hanging="360"/>
      </w:pPr>
      <w:rPr>
        <w:rFonts w:hint="default"/>
      </w:rPr>
    </w:lvl>
    <w:lvl w:ilvl="1">
      <w:start w:val="1"/>
      <w:numFmt w:val="decimal"/>
      <w:lvlText w:val="%1.%2."/>
      <w:lvlJc w:val="left"/>
      <w:pPr>
        <w:ind w:left="-1694"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0" w15:restartNumberingAfterBreak="0">
    <w:nsid w:val="260F50FC"/>
    <w:multiLevelType w:val="hybridMultilevel"/>
    <w:tmpl w:val="57864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CE1CD0"/>
    <w:multiLevelType w:val="hybridMultilevel"/>
    <w:tmpl w:val="1AF207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A4F50"/>
    <w:multiLevelType w:val="hybridMultilevel"/>
    <w:tmpl w:val="E99C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36B6E"/>
    <w:multiLevelType w:val="hybridMultilevel"/>
    <w:tmpl w:val="7536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20AD0"/>
    <w:multiLevelType w:val="multilevel"/>
    <w:tmpl w:val="9CBEC33A"/>
    <w:lvl w:ilvl="0">
      <w:start w:val="1"/>
      <w:numFmt w:val="decimal"/>
      <w:lvlText w:val="%1."/>
      <w:lvlJc w:val="left"/>
      <w:pPr>
        <w:ind w:left="720" w:hanging="360"/>
      </w:pPr>
      <w:rPr>
        <w:rFonts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33894A1A"/>
    <w:multiLevelType w:val="hybridMultilevel"/>
    <w:tmpl w:val="666A8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315895"/>
    <w:multiLevelType w:val="hybridMultilevel"/>
    <w:tmpl w:val="39027E9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7"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A5111"/>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45D23BC6"/>
    <w:multiLevelType w:val="hybridMultilevel"/>
    <w:tmpl w:val="CA4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26CE0"/>
    <w:multiLevelType w:val="hybridMultilevel"/>
    <w:tmpl w:val="2070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3582D"/>
    <w:multiLevelType w:val="hybridMultilevel"/>
    <w:tmpl w:val="F59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B3897"/>
    <w:multiLevelType w:val="hybridMultilevel"/>
    <w:tmpl w:val="6798A75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E6670F3"/>
    <w:multiLevelType w:val="hybridMultilevel"/>
    <w:tmpl w:val="958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8537C"/>
    <w:multiLevelType w:val="hybridMultilevel"/>
    <w:tmpl w:val="E220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46942"/>
    <w:multiLevelType w:val="hybridMultilevel"/>
    <w:tmpl w:val="B4CED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BC3AAC"/>
    <w:multiLevelType w:val="hybridMultilevel"/>
    <w:tmpl w:val="B53072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E375E3"/>
    <w:multiLevelType w:val="hybridMultilevel"/>
    <w:tmpl w:val="325EA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56461"/>
    <w:multiLevelType w:val="hybridMultilevel"/>
    <w:tmpl w:val="57642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866790"/>
    <w:multiLevelType w:val="hybridMultilevel"/>
    <w:tmpl w:val="BE34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A132D"/>
    <w:multiLevelType w:val="hybridMultilevel"/>
    <w:tmpl w:val="CA70D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920D18"/>
    <w:multiLevelType w:val="hybridMultilevel"/>
    <w:tmpl w:val="21AC1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3" w15:restartNumberingAfterBreak="0">
    <w:nsid w:val="62CB587E"/>
    <w:multiLevelType w:val="hybridMultilevel"/>
    <w:tmpl w:val="B29E0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863471"/>
    <w:multiLevelType w:val="hybridMultilevel"/>
    <w:tmpl w:val="1C5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1206E"/>
    <w:multiLevelType w:val="hybridMultilevel"/>
    <w:tmpl w:val="C40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F4631"/>
    <w:multiLevelType w:val="hybridMultilevel"/>
    <w:tmpl w:val="2714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5B6D23"/>
    <w:multiLevelType w:val="hybridMultilevel"/>
    <w:tmpl w:val="5454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908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8E81C01"/>
    <w:multiLevelType w:val="hybridMultilevel"/>
    <w:tmpl w:val="0D6E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007F5"/>
    <w:multiLevelType w:val="hybridMultilevel"/>
    <w:tmpl w:val="F1F4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C6A06"/>
    <w:multiLevelType w:val="hybridMultilevel"/>
    <w:tmpl w:val="056E94AC"/>
    <w:lvl w:ilvl="0" w:tplc="72AE1618">
      <w:numFmt w:val="bullet"/>
      <w:lvlText w:val="-"/>
      <w:lvlJc w:val="left"/>
      <w:pPr>
        <w:ind w:left="720" w:hanging="360"/>
      </w:pPr>
      <w:rPr>
        <w:rFonts w:ascii="Verdana" w:eastAsia="Times New Roman"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E3567"/>
    <w:multiLevelType w:val="hybridMultilevel"/>
    <w:tmpl w:val="CB30A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902867"/>
    <w:multiLevelType w:val="hybridMultilevel"/>
    <w:tmpl w:val="7D1C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A30F4"/>
    <w:multiLevelType w:val="hybridMultilevel"/>
    <w:tmpl w:val="55F61CE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9"/>
  </w:num>
  <w:num w:numId="2">
    <w:abstractNumId w:val="31"/>
  </w:num>
  <w:num w:numId="3">
    <w:abstractNumId w:val="38"/>
  </w:num>
  <w:num w:numId="4">
    <w:abstractNumId w:val="17"/>
  </w:num>
  <w:num w:numId="5">
    <w:abstractNumId w:val="44"/>
  </w:num>
  <w:num w:numId="6">
    <w:abstractNumId w:val="19"/>
  </w:num>
  <w:num w:numId="7">
    <w:abstractNumId w:val="23"/>
  </w:num>
  <w:num w:numId="8">
    <w:abstractNumId w:val="10"/>
  </w:num>
  <w:num w:numId="9">
    <w:abstractNumId w:val="42"/>
  </w:num>
  <w:num w:numId="10">
    <w:abstractNumId w:val="7"/>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6"/>
  </w:num>
  <w:num w:numId="15">
    <w:abstractNumId w:val="2"/>
  </w:num>
  <w:num w:numId="16">
    <w:abstractNumId w:val="21"/>
  </w:num>
  <w:num w:numId="17">
    <w:abstractNumId w:val="0"/>
  </w:num>
  <w:num w:numId="18">
    <w:abstractNumId w:val="25"/>
  </w:num>
  <w:num w:numId="19">
    <w:abstractNumId w:val="29"/>
  </w:num>
  <w:num w:numId="20">
    <w:abstractNumId w:val="1"/>
  </w:num>
  <w:num w:numId="21">
    <w:abstractNumId w:val="39"/>
  </w:num>
  <w:num w:numId="22">
    <w:abstractNumId w:val="8"/>
  </w:num>
  <w:num w:numId="23">
    <w:abstractNumId w:val="5"/>
  </w:num>
  <w:num w:numId="24">
    <w:abstractNumId w:val="40"/>
  </w:num>
  <w:num w:numId="25">
    <w:abstractNumId w:val="34"/>
  </w:num>
  <w:num w:numId="26">
    <w:abstractNumId w:val="12"/>
  </w:num>
  <w:num w:numId="27">
    <w:abstractNumId w:val="20"/>
  </w:num>
  <w:num w:numId="28">
    <w:abstractNumId w:val="27"/>
  </w:num>
  <w:num w:numId="29">
    <w:abstractNumId w:val="22"/>
  </w:num>
  <w:num w:numId="30">
    <w:abstractNumId w:val="4"/>
  </w:num>
  <w:num w:numId="31">
    <w:abstractNumId w:val="35"/>
  </w:num>
  <w:num w:numId="32">
    <w:abstractNumId w:val="13"/>
  </w:num>
  <w:num w:numId="33">
    <w:abstractNumId w:val="16"/>
  </w:num>
  <w:num w:numId="34">
    <w:abstractNumId w:val="14"/>
  </w:num>
  <w:num w:numId="35">
    <w:abstractNumId w:val="18"/>
  </w:num>
  <w:num w:numId="36">
    <w:abstractNumId w:val="24"/>
  </w:num>
  <w:num w:numId="37">
    <w:abstractNumId w:val="26"/>
  </w:num>
  <w:num w:numId="38">
    <w:abstractNumId w:val="37"/>
  </w:num>
  <w:num w:numId="39">
    <w:abstractNumId w:val="36"/>
  </w:num>
  <w:num w:numId="40">
    <w:abstractNumId w:val="43"/>
  </w:num>
  <w:num w:numId="41">
    <w:abstractNumId w:val="45"/>
  </w:num>
  <w:num w:numId="42">
    <w:abstractNumId w:val="3"/>
  </w:num>
  <w:num w:numId="43">
    <w:abstractNumId w:val="33"/>
  </w:num>
  <w:num w:numId="44">
    <w:abstractNumId w:val="28"/>
  </w:num>
  <w:num w:numId="45">
    <w:abstractNumId w:val="4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2315"/>
    <w:rsid w:val="000128EE"/>
    <w:rsid w:val="00037559"/>
    <w:rsid w:val="00043F5F"/>
    <w:rsid w:val="00083EE7"/>
    <w:rsid w:val="00093B99"/>
    <w:rsid w:val="00094E24"/>
    <w:rsid w:val="000A0A67"/>
    <w:rsid w:val="000A2ADC"/>
    <w:rsid w:val="000B58CB"/>
    <w:rsid w:val="000C2256"/>
    <w:rsid w:val="000C371D"/>
    <w:rsid w:val="000C43F0"/>
    <w:rsid w:val="000C689E"/>
    <w:rsid w:val="000D2855"/>
    <w:rsid w:val="000E7563"/>
    <w:rsid w:val="000F437D"/>
    <w:rsid w:val="001207C1"/>
    <w:rsid w:val="00147788"/>
    <w:rsid w:val="00153D05"/>
    <w:rsid w:val="0015756F"/>
    <w:rsid w:val="001642E9"/>
    <w:rsid w:val="001942B5"/>
    <w:rsid w:val="001947B5"/>
    <w:rsid w:val="00194E41"/>
    <w:rsid w:val="001D0A6A"/>
    <w:rsid w:val="001E41F2"/>
    <w:rsid w:val="001F20B4"/>
    <w:rsid w:val="001F5F0E"/>
    <w:rsid w:val="00201EF7"/>
    <w:rsid w:val="00205201"/>
    <w:rsid w:val="00210AF6"/>
    <w:rsid w:val="002119CD"/>
    <w:rsid w:val="00215572"/>
    <w:rsid w:val="0023061A"/>
    <w:rsid w:val="00246D11"/>
    <w:rsid w:val="00247BED"/>
    <w:rsid w:val="0025488C"/>
    <w:rsid w:val="00257D7D"/>
    <w:rsid w:val="00282BE4"/>
    <w:rsid w:val="00283F18"/>
    <w:rsid w:val="00284A47"/>
    <w:rsid w:val="002B2472"/>
    <w:rsid w:val="002B461E"/>
    <w:rsid w:val="002C0DE2"/>
    <w:rsid w:val="002F465C"/>
    <w:rsid w:val="00301DE2"/>
    <w:rsid w:val="00321FE8"/>
    <w:rsid w:val="0034404B"/>
    <w:rsid w:val="0035079E"/>
    <w:rsid w:val="00365579"/>
    <w:rsid w:val="003712A2"/>
    <w:rsid w:val="003836F4"/>
    <w:rsid w:val="0039133A"/>
    <w:rsid w:val="003A60E3"/>
    <w:rsid w:val="003C2EBD"/>
    <w:rsid w:val="003D365F"/>
    <w:rsid w:val="003D4B31"/>
    <w:rsid w:val="00402FE9"/>
    <w:rsid w:val="00412CEC"/>
    <w:rsid w:val="004235E2"/>
    <w:rsid w:val="004524F2"/>
    <w:rsid w:val="00457072"/>
    <w:rsid w:val="0046479C"/>
    <w:rsid w:val="004868A7"/>
    <w:rsid w:val="00486C74"/>
    <w:rsid w:val="004C092E"/>
    <w:rsid w:val="004D38FF"/>
    <w:rsid w:val="004E0161"/>
    <w:rsid w:val="00502636"/>
    <w:rsid w:val="005057E3"/>
    <w:rsid w:val="005067B6"/>
    <w:rsid w:val="005331B8"/>
    <w:rsid w:val="005354D1"/>
    <w:rsid w:val="00550854"/>
    <w:rsid w:val="00550CED"/>
    <w:rsid w:val="005512EB"/>
    <w:rsid w:val="00556F06"/>
    <w:rsid w:val="0057036B"/>
    <w:rsid w:val="005B72D4"/>
    <w:rsid w:val="00605229"/>
    <w:rsid w:val="006075AC"/>
    <w:rsid w:val="00622A69"/>
    <w:rsid w:val="00626673"/>
    <w:rsid w:val="00651607"/>
    <w:rsid w:val="00664DFE"/>
    <w:rsid w:val="006A4EC6"/>
    <w:rsid w:val="006C7BB8"/>
    <w:rsid w:val="006D5411"/>
    <w:rsid w:val="0070050D"/>
    <w:rsid w:val="00712CCA"/>
    <w:rsid w:val="0073207E"/>
    <w:rsid w:val="0076411F"/>
    <w:rsid w:val="007710AD"/>
    <w:rsid w:val="00771D91"/>
    <w:rsid w:val="007A04B8"/>
    <w:rsid w:val="007B44FC"/>
    <w:rsid w:val="007C236E"/>
    <w:rsid w:val="007D3BC3"/>
    <w:rsid w:val="007E2807"/>
    <w:rsid w:val="00801F6B"/>
    <w:rsid w:val="0085244E"/>
    <w:rsid w:val="00854D09"/>
    <w:rsid w:val="00883874"/>
    <w:rsid w:val="008A03C4"/>
    <w:rsid w:val="008A2498"/>
    <w:rsid w:val="008C4C4D"/>
    <w:rsid w:val="008D1742"/>
    <w:rsid w:val="008D3DCB"/>
    <w:rsid w:val="008E1F92"/>
    <w:rsid w:val="008E6B4D"/>
    <w:rsid w:val="008F4801"/>
    <w:rsid w:val="00902A4B"/>
    <w:rsid w:val="00957F99"/>
    <w:rsid w:val="009E3ECE"/>
    <w:rsid w:val="009F1168"/>
    <w:rsid w:val="00A33F1A"/>
    <w:rsid w:val="00A3425D"/>
    <w:rsid w:val="00A5512B"/>
    <w:rsid w:val="00A6394D"/>
    <w:rsid w:val="00A76622"/>
    <w:rsid w:val="00A845BA"/>
    <w:rsid w:val="00A90462"/>
    <w:rsid w:val="00AA02B2"/>
    <w:rsid w:val="00AB2191"/>
    <w:rsid w:val="00AB319E"/>
    <w:rsid w:val="00AD740E"/>
    <w:rsid w:val="00AE40A7"/>
    <w:rsid w:val="00AE4118"/>
    <w:rsid w:val="00AF32C8"/>
    <w:rsid w:val="00AF7919"/>
    <w:rsid w:val="00AF7B80"/>
    <w:rsid w:val="00B17558"/>
    <w:rsid w:val="00B429C9"/>
    <w:rsid w:val="00B70103"/>
    <w:rsid w:val="00BA61D1"/>
    <w:rsid w:val="00BA6FDA"/>
    <w:rsid w:val="00BA784F"/>
    <w:rsid w:val="00BB799B"/>
    <w:rsid w:val="00BC3E9E"/>
    <w:rsid w:val="00BE1D9F"/>
    <w:rsid w:val="00C01FD7"/>
    <w:rsid w:val="00C131E1"/>
    <w:rsid w:val="00C14832"/>
    <w:rsid w:val="00C259AD"/>
    <w:rsid w:val="00C3099A"/>
    <w:rsid w:val="00C330C4"/>
    <w:rsid w:val="00C37CFC"/>
    <w:rsid w:val="00C46C10"/>
    <w:rsid w:val="00C57841"/>
    <w:rsid w:val="00C619A6"/>
    <w:rsid w:val="00C73639"/>
    <w:rsid w:val="00C75D84"/>
    <w:rsid w:val="00C90C26"/>
    <w:rsid w:val="00C967CA"/>
    <w:rsid w:val="00CA1FD9"/>
    <w:rsid w:val="00CA570C"/>
    <w:rsid w:val="00CA622B"/>
    <w:rsid w:val="00CC347E"/>
    <w:rsid w:val="00D233CF"/>
    <w:rsid w:val="00D2578B"/>
    <w:rsid w:val="00D25EC8"/>
    <w:rsid w:val="00D350C4"/>
    <w:rsid w:val="00D35BC6"/>
    <w:rsid w:val="00D565D7"/>
    <w:rsid w:val="00D71EAB"/>
    <w:rsid w:val="00D7492D"/>
    <w:rsid w:val="00D8147C"/>
    <w:rsid w:val="00DA2D77"/>
    <w:rsid w:val="00DA575D"/>
    <w:rsid w:val="00DB589B"/>
    <w:rsid w:val="00DB6B4F"/>
    <w:rsid w:val="00DE126E"/>
    <w:rsid w:val="00DE286D"/>
    <w:rsid w:val="00DE6CAD"/>
    <w:rsid w:val="00E11055"/>
    <w:rsid w:val="00E5287C"/>
    <w:rsid w:val="00EA178F"/>
    <w:rsid w:val="00EA55F3"/>
    <w:rsid w:val="00EB4230"/>
    <w:rsid w:val="00EB6254"/>
    <w:rsid w:val="00ED08AE"/>
    <w:rsid w:val="00EE7A8F"/>
    <w:rsid w:val="00EE7CE3"/>
    <w:rsid w:val="00F000D3"/>
    <w:rsid w:val="00F00DF8"/>
    <w:rsid w:val="00F02D73"/>
    <w:rsid w:val="00F12B63"/>
    <w:rsid w:val="00F13601"/>
    <w:rsid w:val="00F23ED9"/>
    <w:rsid w:val="00F35FCF"/>
    <w:rsid w:val="00F41D8D"/>
    <w:rsid w:val="00F53BD1"/>
    <w:rsid w:val="00F70466"/>
    <w:rsid w:val="00F77723"/>
    <w:rsid w:val="00F9166C"/>
    <w:rsid w:val="00FA04B0"/>
    <w:rsid w:val="00FA5E0C"/>
    <w:rsid w:val="00FC000B"/>
    <w:rsid w:val="00FC3675"/>
    <w:rsid w:val="00FC40C5"/>
    <w:rsid w:val="00FD1D1A"/>
    <w:rsid w:val="00FF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49036"/>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列出段落"/>
    <w:basedOn w:val="Normal"/>
    <w:link w:val="ListParagraphChar"/>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locked/>
    <w:rsid w:val="00F000D3"/>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C7BB8"/>
    <w:rPr>
      <w:sz w:val="16"/>
      <w:szCs w:val="16"/>
    </w:rPr>
  </w:style>
  <w:style w:type="paragraph" w:styleId="CommentText">
    <w:name w:val="annotation text"/>
    <w:basedOn w:val="Normal"/>
    <w:link w:val="CommentTextChar"/>
    <w:uiPriority w:val="99"/>
    <w:semiHidden/>
    <w:unhideWhenUsed/>
    <w:rsid w:val="006C7BB8"/>
    <w:pPr>
      <w:spacing w:line="240" w:lineRule="auto"/>
    </w:pPr>
    <w:rPr>
      <w:sz w:val="20"/>
      <w:szCs w:val="20"/>
    </w:rPr>
  </w:style>
  <w:style w:type="character" w:customStyle="1" w:styleId="CommentTextChar">
    <w:name w:val="Comment Text Char"/>
    <w:basedOn w:val="DefaultParagraphFont"/>
    <w:link w:val="CommentText"/>
    <w:uiPriority w:val="99"/>
    <w:semiHidden/>
    <w:rsid w:val="006C7BB8"/>
    <w:rPr>
      <w:sz w:val="20"/>
      <w:szCs w:val="20"/>
    </w:rPr>
  </w:style>
  <w:style w:type="paragraph" w:styleId="CommentSubject">
    <w:name w:val="annotation subject"/>
    <w:basedOn w:val="CommentText"/>
    <w:next w:val="CommentText"/>
    <w:link w:val="CommentSubjectChar"/>
    <w:uiPriority w:val="99"/>
    <w:semiHidden/>
    <w:unhideWhenUsed/>
    <w:rsid w:val="006C7BB8"/>
    <w:rPr>
      <w:b/>
      <w:bCs/>
    </w:rPr>
  </w:style>
  <w:style w:type="character" w:customStyle="1" w:styleId="CommentSubjectChar">
    <w:name w:val="Comment Subject Char"/>
    <w:basedOn w:val="CommentTextChar"/>
    <w:link w:val="CommentSubject"/>
    <w:uiPriority w:val="99"/>
    <w:semiHidden/>
    <w:rsid w:val="006C7BB8"/>
    <w:rPr>
      <w:b/>
      <w:bCs/>
      <w:sz w:val="20"/>
      <w:szCs w:val="20"/>
    </w:rPr>
  </w:style>
  <w:style w:type="paragraph" w:styleId="BalloonText">
    <w:name w:val="Balloon Text"/>
    <w:basedOn w:val="Normal"/>
    <w:link w:val="BalloonTextChar"/>
    <w:uiPriority w:val="99"/>
    <w:semiHidden/>
    <w:unhideWhenUsed/>
    <w:rsid w:val="006C7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B8"/>
    <w:rPr>
      <w:rFonts w:ascii="Segoe UI" w:hAnsi="Segoe UI" w:cs="Segoe UI"/>
      <w:sz w:val="18"/>
      <w:szCs w:val="18"/>
    </w:rPr>
  </w:style>
  <w:style w:type="numbering" w:customStyle="1" w:styleId="OutlinenumberedArialOutlinenumberedArial11">
    <w:name w:val="Outline numbered Arial + Outline numbered Arial 1...1"/>
    <w:basedOn w:val="NoList"/>
    <w:rsid w:val="001F5F0E"/>
    <w:pPr>
      <w:numPr>
        <w:numId w:val="28"/>
      </w:numPr>
    </w:pPr>
  </w:style>
  <w:style w:type="paragraph" w:customStyle="1" w:styleId="StyleOutlinenumberedArialOutlinenumberedArial11Outli">
    <w:name w:val="Style Outline numbered Arial + Outline numbered Arial 1...1 + Outli..."/>
    <w:basedOn w:val="Normal"/>
    <w:rsid w:val="001F5F0E"/>
    <w:pPr>
      <w:widowControl w:val="0"/>
      <w:numPr>
        <w:ilvl w:val="2"/>
        <w:numId w:val="28"/>
      </w:numPr>
      <w:autoSpaceDE w:val="0"/>
      <w:autoSpaceDN w:val="0"/>
      <w:adjustRightInd w:val="0"/>
      <w:spacing w:after="0" w:line="240" w:lineRule="auto"/>
    </w:pPr>
    <w:rPr>
      <w:rFonts w:ascii="Arial" w:eastAsia="Times New Roman" w:hAnsi="Arial" w:cs="Arial"/>
      <w:b/>
      <w:bCs/>
      <w:sz w:val="24"/>
      <w:szCs w:val="24"/>
    </w:rPr>
  </w:style>
  <w:style w:type="paragraph" w:customStyle="1" w:styleId="CoverSheet">
    <w:name w:val="Cover Sheet"/>
    <w:basedOn w:val="Normal"/>
    <w:rsid w:val="006D5411"/>
    <w:pPr>
      <w:spacing w:before="120"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0849">
      <w:bodyDiv w:val="1"/>
      <w:marLeft w:val="0"/>
      <w:marRight w:val="0"/>
      <w:marTop w:val="0"/>
      <w:marBottom w:val="0"/>
      <w:divBdr>
        <w:top w:val="none" w:sz="0" w:space="0" w:color="auto"/>
        <w:left w:val="none" w:sz="0" w:space="0" w:color="auto"/>
        <w:bottom w:val="none" w:sz="0" w:space="0" w:color="auto"/>
        <w:right w:val="none" w:sz="0" w:space="0" w:color="auto"/>
      </w:divBdr>
    </w:div>
    <w:div w:id="609778956">
      <w:bodyDiv w:val="1"/>
      <w:marLeft w:val="0"/>
      <w:marRight w:val="0"/>
      <w:marTop w:val="0"/>
      <w:marBottom w:val="0"/>
      <w:divBdr>
        <w:top w:val="none" w:sz="0" w:space="0" w:color="auto"/>
        <w:left w:val="none" w:sz="0" w:space="0" w:color="auto"/>
        <w:bottom w:val="none" w:sz="0" w:space="0" w:color="auto"/>
        <w:right w:val="none" w:sz="0" w:space="0" w:color="auto"/>
      </w:divBdr>
    </w:div>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 w:id="1392657114">
      <w:bodyDiv w:val="1"/>
      <w:marLeft w:val="0"/>
      <w:marRight w:val="0"/>
      <w:marTop w:val="0"/>
      <w:marBottom w:val="0"/>
      <w:divBdr>
        <w:top w:val="none" w:sz="0" w:space="0" w:color="auto"/>
        <w:left w:val="none" w:sz="0" w:space="0" w:color="auto"/>
        <w:bottom w:val="none" w:sz="0" w:space="0" w:color="auto"/>
        <w:right w:val="none" w:sz="0" w:space="0" w:color="auto"/>
      </w:divBdr>
    </w:div>
    <w:div w:id="19461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w.nhs.wales/about-us/board-and-executive-team/board-papers/board-meetings/2019-2020/28-march-2020/board-26-march-2020-papers/3-260320-board-governance-paper/" TargetMode="External"/><Relationship Id="rId18" Type="http://schemas.openxmlformats.org/officeDocument/2006/relationships/hyperlink" Target="https://phw.nhs.wales/about-us/board-and-executive-team/board-papers/board-meetings/2020-2021/29-october-2020/29-october-2020-board-meeting-papers1/item-4-board-and-committee-governance-pap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hw.nhs.wales/about-us/board-and-executive-team/board-papers/board-meetings/2020-2021/30-july-2020-board-meeting/30-july-2020-board-meeting-papers/5-1-300720-board-governance-paper/" TargetMode="External"/><Relationship Id="rId2" Type="http://schemas.openxmlformats.org/officeDocument/2006/relationships/customXml" Target="../customXml/item2.xml"/><Relationship Id="rId16" Type="http://schemas.openxmlformats.org/officeDocument/2006/relationships/hyperlink" Target="https://phw.nhs.wales/about-us/board-and-executive-team/board-papers/board-meetings/2020-2021/29-october-2020/29-october-2020-board-meeting-papers1/item-4-board-and-committee-governance-pap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hw.nhs.wales/about-us/board-and-executive-team/board-papers/board-meetings/2020-2021/30-july-2020-board-meeting/30-july-2020-board-meeting-papers/5-1-300720-board-governance-pap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about-us/board-and-executive-team/board-papers/board-meetings/2020-2021/30-april-2020-board-meeting/board-meeting-papers-30-04-20/4-3-300420-board-governance-arrangement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2F4FF7"/>
    <w:rsid w:val="005333DC"/>
    <w:rsid w:val="0063685B"/>
    <w:rsid w:val="007E6B5B"/>
    <w:rsid w:val="00AE6A29"/>
    <w:rsid w:val="00B22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 w:type="paragraph" w:customStyle="1" w:styleId="46DBB3748E6646E287ED5033FD6E0149">
    <w:name w:val="46DBB3748E6646E287ED5033FD6E0149"/>
    <w:rsid w:val="00AE6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2" ma:contentTypeDescription="Create a new document." ma:contentTypeScope="" ma:versionID="71487d7e72c74ed0eb631af14ccf80ba">
  <xsd:schema xmlns:xsd="http://www.w3.org/2001/XMLSchema" xmlns:xs="http://www.w3.org/2001/XMLSchema" xmlns:p="http://schemas.microsoft.com/office/2006/metadata/properties" xmlns:ns3="f30bebb2-c01f-48d0-81da-dc8b123879c2" xmlns:ns4="b7e247b7-cca8-429f-8688-16f83c8fba5f" targetNamespace="http://schemas.microsoft.com/office/2006/metadata/properties" ma:root="true" ma:fieldsID="e7e3eae2541dbe983aa31158cfe49555" ns3:_="" ns4:_="">
    <xsd:import namespace="f30bebb2-c01f-48d0-81da-dc8b123879c2"/>
    <xsd:import namespace="b7e247b7-cca8-429f-8688-16f83c8fba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1C18-E8F0-4B7C-B871-50C1F1B2A615}">
  <ds:schemaRefs>
    <ds:schemaRef ds:uri="http://purl.org/dc/elements/1.1/"/>
    <ds:schemaRef ds:uri="http://schemas.microsoft.com/office/infopath/2007/PartnerControls"/>
    <ds:schemaRef ds:uri="http://schemas.microsoft.com/office/2006/metadata/properties"/>
    <ds:schemaRef ds:uri="f30bebb2-c01f-48d0-81da-dc8b123879c2"/>
    <ds:schemaRef ds:uri="http://schemas.microsoft.com/office/2006/documentManagement/types"/>
    <ds:schemaRef ds:uri="http://purl.org/dc/terms/"/>
    <ds:schemaRef ds:uri="http://schemas.openxmlformats.org/package/2006/metadata/core-properties"/>
    <ds:schemaRef ds:uri="b7e247b7-cca8-429f-8688-16f83c8fba5f"/>
    <ds:schemaRef ds:uri="http://www.w3.org/XML/1998/namespace"/>
    <ds:schemaRef ds:uri="http://purl.org/dc/dcmitype/"/>
  </ds:schemaRefs>
</ds:datastoreItem>
</file>

<file path=customXml/itemProps2.xml><?xml version="1.0" encoding="utf-8"?>
<ds:datastoreItem xmlns:ds="http://schemas.openxmlformats.org/officeDocument/2006/customXml" ds:itemID="{782FDA67-8947-4764-B6ED-6DC7A6ECB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b2-c01f-48d0-81da-dc8b123879c2"/>
    <ds:schemaRef ds:uri="b7e247b7-cca8-429f-8688-16f83c8f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8A05A-3E31-4BDB-B4D0-8E97FC1A8F3B}">
  <ds:schemaRefs>
    <ds:schemaRef ds:uri="http://schemas.microsoft.com/sharepoint/v3/contenttype/forms"/>
  </ds:schemaRefs>
</ds:datastoreItem>
</file>

<file path=customXml/itemProps4.xml><?xml version="1.0" encoding="utf-8"?>
<ds:datastoreItem xmlns:ds="http://schemas.openxmlformats.org/officeDocument/2006/customXml" ds:itemID="{AB66AE0D-0F60-4506-8D90-E16143FD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3</cp:revision>
  <cp:lastPrinted>2020-07-27T13:51:00Z</cp:lastPrinted>
  <dcterms:created xsi:type="dcterms:W3CDTF">2021-02-18T15:53:00Z</dcterms:created>
  <dcterms:modified xsi:type="dcterms:W3CDTF">2021-02-18T15:53:00Z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