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848"/>
        <w:gridCol w:w="954"/>
        <w:gridCol w:w="894"/>
        <w:gridCol w:w="1506"/>
        <w:gridCol w:w="343"/>
        <w:gridCol w:w="1848"/>
        <w:gridCol w:w="1849"/>
      </w:tblGrid>
      <w:tr w:rsidR="0013075E" w:rsidRPr="008F1F7E" w14:paraId="6F9BE92A" w14:textId="77777777" w:rsidTr="278D05FA">
        <w:tc>
          <w:tcPr>
            <w:tcW w:w="5202" w:type="dxa"/>
            <w:gridSpan w:val="4"/>
            <w:vMerge w:val="restart"/>
          </w:tcPr>
          <w:p w14:paraId="0FCA66A8" w14:textId="77777777" w:rsidR="0013075E" w:rsidRPr="008F1F7E" w:rsidRDefault="0013075E" w:rsidP="00CF7674">
            <w:r w:rsidRPr="008F1F7E">
              <w:rPr>
                <w:b/>
                <w:noProof/>
                <w:lang w:eastAsia="en-GB"/>
              </w:rPr>
              <w:drawing>
                <wp:inline distT="0" distB="0" distL="0" distR="0" wp14:anchorId="1D9F9445" wp14:editId="0E07CB79">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1"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4040" w:type="dxa"/>
            <w:gridSpan w:val="3"/>
            <w:tcBorders>
              <w:bottom w:val="nil"/>
            </w:tcBorders>
          </w:tcPr>
          <w:p w14:paraId="62D0F7F2"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Other (stated below)" w:value="Other (stated below)"/>
              </w:dropDownList>
            </w:sdtPr>
            <w:sdtEndPr>
              <w:rPr>
                <w:rStyle w:val="DefaultParagraphFont"/>
                <w:b/>
                <w:sz w:val="22"/>
                <w:szCs w:val="24"/>
              </w:rPr>
            </w:sdtEndPr>
            <w:sdtContent>
              <w:p w14:paraId="05C4F29B" w14:textId="76D60CA0" w:rsidR="0013075E" w:rsidRPr="00EE7097" w:rsidRDefault="009942D7" w:rsidP="00EE7097">
                <w:pPr>
                  <w:jc w:val="right"/>
                  <w:rPr>
                    <w:b/>
                    <w:szCs w:val="24"/>
                  </w:rPr>
                </w:pPr>
                <w:r>
                  <w:rPr>
                    <w:rStyle w:val="Dropdown"/>
                  </w:rPr>
                  <w:t>Board</w:t>
                </w:r>
              </w:p>
            </w:sdtContent>
          </w:sdt>
        </w:tc>
      </w:tr>
      <w:tr w:rsidR="0013075E" w:rsidRPr="008F1F7E" w14:paraId="06515A30" w14:textId="77777777" w:rsidTr="278D05FA">
        <w:tc>
          <w:tcPr>
            <w:tcW w:w="5202" w:type="dxa"/>
            <w:gridSpan w:val="4"/>
            <w:vMerge/>
          </w:tcPr>
          <w:p w14:paraId="4B4CEDB0" w14:textId="77777777" w:rsidR="0013075E" w:rsidRPr="008F1F7E" w:rsidRDefault="0013075E" w:rsidP="00CF7674">
            <w:pPr>
              <w:rPr>
                <w:b/>
                <w:noProof/>
                <w:lang w:eastAsia="en-GB"/>
              </w:rPr>
            </w:pPr>
          </w:p>
        </w:tc>
        <w:tc>
          <w:tcPr>
            <w:tcW w:w="4040" w:type="dxa"/>
            <w:gridSpan w:val="3"/>
            <w:tcBorders>
              <w:top w:val="nil"/>
              <w:bottom w:val="nil"/>
            </w:tcBorders>
          </w:tcPr>
          <w:p w14:paraId="61475579" w14:textId="77777777" w:rsidR="00D34F08" w:rsidRPr="00D34F08" w:rsidRDefault="00D34F08" w:rsidP="00EE7097">
            <w:pPr>
              <w:jc w:val="right"/>
              <w:rPr>
                <w:b/>
              </w:rPr>
            </w:pPr>
            <w:r w:rsidRPr="00D34F08">
              <w:rPr>
                <w:b/>
              </w:rPr>
              <w:t>Date of Meeting</w:t>
            </w:r>
          </w:p>
          <w:p w14:paraId="08A6E950" w14:textId="5B981949" w:rsidR="0013075E" w:rsidRPr="00D34F08" w:rsidRDefault="00A9432D" w:rsidP="009A6FD6">
            <w:pPr>
              <w:jc w:val="right"/>
              <w:rPr>
                <w:color w:val="FF0000"/>
              </w:rPr>
            </w:pPr>
            <w:r>
              <w:t>30 March 2023</w:t>
            </w:r>
            <w:r w:rsidR="00E47233" w:rsidRPr="00E47233">
              <w:t xml:space="preserve"> </w:t>
            </w:r>
          </w:p>
        </w:tc>
      </w:tr>
      <w:tr w:rsidR="0013075E" w:rsidRPr="008F1F7E" w14:paraId="035CB31D" w14:textId="77777777" w:rsidTr="278D05FA">
        <w:tc>
          <w:tcPr>
            <w:tcW w:w="5202" w:type="dxa"/>
            <w:gridSpan w:val="4"/>
            <w:vMerge/>
          </w:tcPr>
          <w:p w14:paraId="79FD98C9" w14:textId="77777777" w:rsidR="0013075E" w:rsidRPr="008F1F7E" w:rsidRDefault="0013075E" w:rsidP="00CF7674">
            <w:pPr>
              <w:rPr>
                <w:b/>
                <w:noProof/>
                <w:lang w:eastAsia="en-GB"/>
              </w:rPr>
            </w:pPr>
          </w:p>
        </w:tc>
        <w:tc>
          <w:tcPr>
            <w:tcW w:w="4040" w:type="dxa"/>
            <w:gridSpan w:val="3"/>
            <w:tcBorders>
              <w:top w:val="nil"/>
              <w:bottom w:val="single" w:sz="4" w:space="0" w:color="auto"/>
            </w:tcBorders>
          </w:tcPr>
          <w:p w14:paraId="10DB3D73" w14:textId="77777777" w:rsidR="0013075E" w:rsidRPr="008F1F7E" w:rsidRDefault="0013075E" w:rsidP="00EE7097">
            <w:pPr>
              <w:jc w:val="right"/>
              <w:rPr>
                <w:b/>
              </w:rPr>
            </w:pPr>
            <w:r w:rsidRPr="008F1F7E">
              <w:rPr>
                <w:b/>
              </w:rPr>
              <w:t>Agenda item:</w:t>
            </w:r>
          </w:p>
          <w:p w14:paraId="45D123F1" w14:textId="65DDC730" w:rsidR="0013075E" w:rsidRPr="002F2827" w:rsidRDefault="0038510B" w:rsidP="00EE7097">
            <w:pPr>
              <w:jc w:val="right"/>
              <w:rPr>
                <w:color w:val="FF0000"/>
              </w:rPr>
            </w:pPr>
            <w:bookmarkStart w:id="0" w:name="_GoBack"/>
            <w:r w:rsidRPr="0038510B">
              <w:t>3.4</w:t>
            </w:r>
            <w:bookmarkEnd w:id="0"/>
          </w:p>
        </w:tc>
      </w:tr>
      <w:tr w:rsidR="00EE7097" w:rsidRPr="008F1F7E" w14:paraId="0B6E8055" w14:textId="77777777" w:rsidTr="278D05FA">
        <w:tc>
          <w:tcPr>
            <w:tcW w:w="9242" w:type="dxa"/>
            <w:gridSpan w:val="7"/>
            <w:tcBorders>
              <w:left w:val="nil"/>
              <w:right w:val="nil"/>
            </w:tcBorders>
            <w:vAlign w:val="center"/>
          </w:tcPr>
          <w:p w14:paraId="1A495C81" w14:textId="7B161ABA" w:rsidR="00D34F08" w:rsidRPr="00912C7B" w:rsidRDefault="00D34F08" w:rsidP="00DB686C">
            <w:pPr>
              <w:rPr>
                <w:b/>
                <w:sz w:val="28"/>
              </w:rPr>
            </w:pPr>
          </w:p>
        </w:tc>
      </w:tr>
      <w:tr w:rsidR="00EE7097" w:rsidRPr="008F1F7E" w14:paraId="475D4EB0" w14:textId="77777777" w:rsidTr="278D05FA">
        <w:tc>
          <w:tcPr>
            <w:tcW w:w="9242" w:type="dxa"/>
            <w:gridSpan w:val="7"/>
            <w:vAlign w:val="center"/>
          </w:tcPr>
          <w:p w14:paraId="4C455A08" w14:textId="77777777" w:rsidR="009A5C99" w:rsidRDefault="00386641" w:rsidP="00B6224D">
            <w:pPr>
              <w:jc w:val="center"/>
              <w:rPr>
                <w:b/>
                <w:sz w:val="36"/>
                <w:szCs w:val="36"/>
              </w:rPr>
            </w:pPr>
            <w:r w:rsidRPr="00386641">
              <w:rPr>
                <w:b/>
                <w:sz w:val="36"/>
                <w:szCs w:val="36"/>
              </w:rPr>
              <w:t xml:space="preserve">Public Health Wales </w:t>
            </w:r>
          </w:p>
          <w:p w14:paraId="293DEA96" w14:textId="27C1AE38" w:rsidR="00EE7097" w:rsidRPr="00386641" w:rsidRDefault="009A5C99" w:rsidP="00B6224D">
            <w:pPr>
              <w:jc w:val="center"/>
              <w:rPr>
                <w:b/>
                <w:sz w:val="36"/>
                <w:szCs w:val="36"/>
              </w:rPr>
            </w:pPr>
            <w:r>
              <w:rPr>
                <w:b/>
                <w:sz w:val="36"/>
                <w:szCs w:val="36"/>
              </w:rPr>
              <w:t xml:space="preserve">Strategic and </w:t>
            </w:r>
            <w:r w:rsidR="00B6224D">
              <w:rPr>
                <w:b/>
                <w:sz w:val="36"/>
                <w:szCs w:val="36"/>
              </w:rPr>
              <w:t>Corporate Risk Register</w:t>
            </w:r>
            <w:r>
              <w:rPr>
                <w:b/>
                <w:sz w:val="36"/>
                <w:szCs w:val="36"/>
              </w:rPr>
              <w:t>s</w:t>
            </w:r>
          </w:p>
        </w:tc>
      </w:tr>
      <w:tr w:rsidR="00EE7097" w:rsidRPr="001C60B5" w14:paraId="7A195E93" w14:textId="77777777" w:rsidTr="278D05FA">
        <w:tc>
          <w:tcPr>
            <w:tcW w:w="2802" w:type="dxa"/>
            <w:gridSpan w:val="2"/>
          </w:tcPr>
          <w:p w14:paraId="61A099BE" w14:textId="77777777" w:rsidR="00EE7097" w:rsidRPr="00386641" w:rsidRDefault="00EE7097">
            <w:pPr>
              <w:rPr>
                <w:b/>
                <w:szCs w:val="24"/>
              </w:rPr>
            </w:pPr>
            <w:r w:rsidRPr="00386641">
              <w:rPr>
                <w:b/>
                <w:szCs w:val="24"/>
              </w:rPr>
              <w:t>Executive lead:</w:t>
            </w:r>
          </w:p>
        </w:tc>
        <w:tc>
          <w:tcPr>
            <w:tcW w:w="6440" w:type="dxa"/>
            <w:gridSpan w:val="5"/>
          </w:tcPr>
          <w:p w14:paraId="6936E5C3" w14:textId="77777777" w:rsidR="00EE7097" w:rsidRPr="00386641" w:rsidRDefault="007372F3" w:rsidP="006F3DE1">
            <w:pPr>
              <w:rPr>
                <w:szCs w:val="24"/>
              </w:rPr>
            </w:pPr>
            <w:r>
              <w:rPr>
                <w:szCs w:val="24"/>
              </w:rPr>
              <w:t xml:space="preserve">Rhiannon Beaumont-Wood, </w:t>
            </w:r>
            <w:r w:rsidR="006F3DE1" w:rsidRPr="006F3DE1">
              <w:rPr>
                <w:szCs w:val="24"/>
              </w:rPr>
              <w:t>Executive Director of Quality, Nursing and Allied Health Professionals</w:t>
            </w:r>
          </w:p>
        </w:tc>
      </w:tr>
      <w:tr w:rsidR="00EE7097" w:rsidRPr="001C60B5" w14:paraId="05FCD6AB" w14:textId="77777777" w:rsidTr="278D05FA">
        <w:tc>
          <w:tcPr>
            <w:tcW w:w="2802" w:type="dxa"/>
            <w:gridSpan w:val="2"/>
          </w:tcPr>
          <w:p w14:paraId="3A4E2D75" w14:textId="77777777" w:rsidR="00EE7097" w:rsidRPr="00386641" w:rsidRDefault="00EE7097">
            <w:pPr>
              <w:rPr>
                <w:b/>
                <w:szCs w:val="24"/>
              </w:rPr>
            </w:pPr>
            <w:r w:rsidRPr="00386641">
              <w:rPr>
                <w:b/>
                <w:szCs w:val="24"/>
              </w:rPr>
              <w:t>Author:</w:t>
            </w:r>
          </w:p>
        </w:tc>
        <w:tc>
          <w:tcPr>
            <w:tcW w:w="6440" w:type="dxa"/>
            <w:gridSpan w:val="5"/>
          </w:tcPr>
          <w:p w14:paraId="7A136AF9" w14:textId="79845794" w:rsidR="008541B5" w:rsidRDefault="008541B5" w:rsidP="00051E74">
            <w:pPr>
              <w:rPr>
                <w:szCs w:val="24"/>
              </w:rPr>
            </w:pPr>
            <w:r>
              <w:rPr>
                <w:szCs w:val="24"/>
              </w:rPr>
              <w:t>Beth Osborne, Risk Manager</w:t>
            </w:r>
          </w:p>
          <w:p w14:paraId="584A13C2" w14:textId="77777777" w:rsidR="00EE7097" w:rsidRDefault="00A9432D" w:rsidP="00051E74">
            <w:pPr>
              <w:rPr>
                <w:szCs w:val="24"/>
              </w:rPr>
            </w:pPr>
            <w:r>
              <w:rPr>
                <w:szCs w:val="24"/>
              </w:rPr>
              <w:t>Eleanor Higgins, Integrated Governance Manager</w:t>
            </w:r>
          </w:p>
          <w:p w14:paraId="6432A550" w14:textId="35D420E4" w:rsidR="00796AE3" w:rsidRPr="00386641" w:rsidRDefault="00796AE3" w:rsidP="00051E74">
            <w:pPr>
              <w:rPr>
                <w:szCs w:val="24"/>
              </w:rPr>
            </w:pPr>
            <w:r>
              <w:rPr>
                <w:szCs w:val="24"/>
              </w:rPr>
              <w:t>Christopher Thomas, Governance and General Manager</w:t>
            </w:r>
          </w:p>
        </w:tc>
      </w:tr>
      <w:tr w:rsidR="00EE7097" w:rsidRPr="001C60B5" w14:paraId="1168530F" w14:textId="77777777" w:rsidTr="278D05FA">
        <w:trPr>
          <w:trHeight w:val="149"/>
        </w:trPr>
        <w:tc>
          <w:tcPr>
            <w:tcW w:w="2802" w:type="dxa"/>
            <w:gridSpan w:val="2"/>
            <w:tcBorders>
              <w:left w:val="nil"/>
              <w:right w:val="nil"/>
            </w:tcBorders>
          </w:tcPr>
          <w:p w14:paraId="4FC4011D" w14:textId="77777777" w:rsidR="00EE7097" w:rsidRPr="00386641" w:rsidRDefault="00EE7097">
            <w:pPr>
              <w:rPr>
                <w:b/>
                <w:sz w:val="12"/>
                <w:szCs w:val="12"/>
              </w:rPr>
            </w:pPr>
          </w:p>
        </w:tc>
        <w:tc>
          <w:tcPr>
            <w:tcW w:w="6440" w:type="dxa"/>
            <w:gridSpan w:val="5"/>
            <w:tcBorders>
              <w:left w:val="nil"/>
              <w:right w:val="nil"/>
            </w:tcBorders>
          </w:tcPr>
          <w:p w14:paraId="2D6B88B5" w14:textId="77777777" w:rsidR="00EE7097" w:rsidRPr="00386641" w:rsidRDefault="00EE7097">
            <w:pPr>
              <w:rPr>
                <w:sz w:val="12"/>
                <w:szCs w:val="12"/>
              </w:rPr>
            </w:pPr>
          </w:p>
        </w:tc>
      </w:tr>
      <w:tr w:rsidR="00EE7097" w:rsidRPr="001C60B5" w14:paraId="49E91C3B" w14:textId="77777777" w:rsidTr="278D05FA">
        <w:tc>
          <w:tcPr>
            <w:tcW w:w="2802" w:type="dxa"/>
            <w:gridSpan w:val="2"/>
          </w:tcPr>
          <w:p w14:paraId="6A472EFA" w14:textId="77777777" w:rsidR="00EE7097" w:rsidRPr="00386641" w:rsidRDefault="00EE7097">
            <w:pPr>
              <w:rPr>
                <w:b/>
                <w:szCs w:val="24"/>
              </w:rPr>
            </w:pPr>
            <w:r w:rsidRPr="00386641">
              <w:rPr>
                <w:b/>
                <w:szCs w:val="24"/>
              </w:rPr>
              <w:t>Approval/Scrutiny route:</w:t>
            </w:r>
          </w:p>
        </w:tc>
        <w:tc>
          <w:tcPr>
            <w:tcW w:w="6440" w:type="dxa"/>
            <w:gridSpan w:val="5"/>
          </w:tcPr>
          <w:p w14:paraId="47E2266E" w14:textId="40240FF5" w:rsidR="00EE7097" w:rsidRPr="00386641" w:rsidRDefault="00796AE3" w:rsidP="00CA5841">
            <w:pPr>
              <w:rPr>
                <w:szCs w:val="24"/>
              </w:rPr>
            </w:pPr>
            <w:r>
              <w:rPr>
                <w:szCs w:val="24"/>
              </w:rPr>
              <w:t xml:space="preserve">Business Executive Team/Board </w:t>
            </w:r>
          </w:p>
        </w:tc>
      </w:tr>
      <w:tr w:rsidR="006C4A51" w:rsidRPr="001C60B5" w14:paraId="327B3AE0" w14:textId="77777777" w:rsidTr="278D05FA">
        <w:tc>
          <w:tcPr>
            <w:tcW w:w="9242" w:type="dxa"/>
            <w:gridSpan w:val="7"/>
            <w:tcBorders>
              <w:left w:val="nil"/>
              <w:bottom w:val="single" w:sz="4" w:space="0" w:color="auto"/>
              <w:right w:val="nil"/>
            </w:tcBorders>
          </w:tcPr>
          <w:p w14:paraId="0EECEE36" w14:textId="77777777" w:rsidR="006C4A51" w:rsidRPr="005B4E75" w:rsidRDefault="006C4A51">
            <w:pPr>
              <w:rPr>
                <w:b/>
                <w:sz w:val="12"/>
                <w:szCs w:val="12"/>
              </w:rPr>
            </w:pPr>
          </w:p>
        </w:tc>
      </w:tr>
      <w:tr w:rsidR="005B4E75" w:rsidRPr="001C60B5" w14:paraId="3FBD0BCB" w14:textId="77777777" w:rsidTr="278D05FA">
        <w:tc>
          <w:tcPr>
            <w:tcW w:w="9242" w:type="dxa"/>
            <w:gridSpan w:val="7"/>
            <w:tcBorders>
              <w:left w:val="single" w:sz="4" w:space="0" w:color="auto"/>
              <w:right w:val="single" w:sz="4" w:space="0" w:color="auto"/>
            </w:tcBorders>
          </w:tcPr>
          <w:p w14:paraId="3C8E7220" w14:textId="77777777" w:rsidR="005B4E75" w:rsidRPr="001C60B5" w:rsidRDefault="005B4E75">
            <w:pPr>
              <w:rPr>
                <w:b/>
                <w:szCs w:val="24"/>
              </w:rPr>
            </w:pPr>
            <w:r>
              <w:rPr>
                <w:b/>
                <w:szCs w:val="24"/>
              </w:rPr>
              <w:t>Purpose</w:t>
            </w:r>
          </w:p>
        </w:tc>
      </w:tr>
      <w:tr w:rsidR="005B4E75" w:rsidRPr="001C60B5" w14:paraId="36FF47AA" w14:textId="77777777" w:rsidTr="278D05FA">
        <w:tc>
          <w:tcPr>
            <w:tcW w:w="9242" w:type="dxa"/>
            <w:gridSpan w:val="7"/>
            <w:tcBorders>
              <w:left w:val="single" w:sz="4" w:space="0" w:color="auto"/>
              <w:right w:val="single" w:sz="4" w:space="0" w:color="auto"/>
            </w:tcBorders>
          </w:tcPr>
          <w:p w14:paraId="527A403D" w14:textId="11420009" w:rsidR="005B4E75" w:rsidRPr="00696421" w:rsidRDefault="00171773" w:rsidP="00B6224D">
            <w:pPr>
              <w:pStyle w:val="ListParagraph"/>
              <w:spacing w:after="200"/>
              <w:ind w:left="0"/>
              <w:rPr>
                <w:szCs w:val="24"/>
              </w:rPr>
            </w:pPr>
            <w:r w:rsidRPr="00A82883">
              <w:rPr>
                <w:szCs w:val="24"/>
              </w:rPr>
              <w:t xml:space="preserve">Receive the </w:t>
            </w:r>
            <w:r w:rsidR="009A5C99">
              <w:rPr>
                <w:szCs w:val="24"/>
              </w:rPr>
              <w:t xml:space="preserve">Strategic and </w:t>
            </w:r>
            <w:r w:rsidRPr="00A82883">
              <w:rPr>
                <w:szCs w:val="24"/>
              </w:rPr>
              <w:t>Corporate Risk Register</w:t>
            </w:r>
            <w:r w:rsidR="00BD0E4C">
              <w:rPr>
                <w:szCs w:val="24"/>
              </w:rPr>
              <w:t>s</w:t>
            </w:r>
            <w:r w:rsidRPr="00A82883">
              <w:rPr>
                <w:szCs w:val="24"/>
              </w:rPr>
              <w:t xml:space="preserve"> for the purpose of scrutiny</w:t>
            </w:r>
            <w:r w:rsidR="00B6224D">
              <w:rPr>
                <w:szCs w:val="24"/>
              </w:rPr>
              <w:t xml:space="preserve">, </w:t>
            </w:r>
            <w:r w:rsidRPr="00A82883">
              <w:rPr>
                <w:szCs w:val="24"/>
              </w:rPr>
              <w:t>challenge</w:t>
            </w:r>
            <w:r w:rsidR="00B6224D">
              <w:rPr>
                <w:szCs w:val="24"/>
              </w:rPr>
              <w:t xml:space="preserve"> and assurance.</w:t>
            </w:r>
          </w:p>
        </w:tc>
      </w:tr>
      <w:tr w:rsidR="005B4E75" w:rsidRPr="001C60B5" w14:paraId="487D96C5" w14:textId="77777777" w:rsidTr="278D05FA">
        <w:tc>
          <w:tcPr>
            <w:tcW w:w="9242" w:type="dxa"/>
            <w:gridSpan w:val="7"/>
            <w:tcBorders>
              <w:left w:val="nil"/>
              <w:right w:val="nil"/>
            </w:tcBorders>
          </w:tcPr>
          <w:p w14:paraId="7A6D26FC" w14:textId="77777777" w:rsidR="005B4E75" w:rsidRPr="005B4E75" w:rsidRDefault="005B4E75">
            <w:pPr>
              <w:rPr>
                <w:b/>
                <w:sz w:val="12"/>
                <w:szCs w:val="12"/>
              </w:rPr>
            </w:pPr>
          </w:p>
        </w:tc>
      </w:tr>
      <w:tr w:rsidR="00EE7097" w:rsidRPr="001C60B5" w14:paraId="4FBA330A" w14:textId="77777777" w:rsidTr="278D05FA">
        <w:tc>
          <w:tcPr>
            <w:tcW w:w="9242" w:type="dxa"/>
            <w:gridSpan w:val="7"/>
          </w:tcPr>
          <w:p w14:paraId="150DDBE9" w14:textId="77777777" w:rsidR="00EE7097" w:rsidRPr="0013075E" w:rsidRDefault="0013075E" w:rsidP="00DB686C">
            <w:pPr>
              <w:rPr>
                <w:b/>
                <w:szCs w:val="24"/>
              </w:rPr>
            </w:pPr>
            <w:r>
              <w:rPr>
                <w:b/>
                <w:szCs w:val="24"/>
              </w:rPr>
              <w:t>Recommendation:</w:t>
            </w:r>
            <w:r w:rsidR="00E07F66">
              <w:rPr>
                <w:b/>
                <w:szCs w:val="24"/>
              </w:rPr>
              <w:t xml:space="preserve"> </w:t>
            </w:r>
          </w:p>
        </w:tc>
      </w:tr>
      <w:tr w:rsidR="005B4E75" w:rsidRPr="001C60B5" w14:paraId="5AF68A94" w14:textId="77777777" w:rsidTr="278D05FA">
        <w:tc>
          <w:tcPr>
            <w:tcW w:w="1848" w:type="dxa"/>
            <w:tcBorders>
              <w:bottom w:val="single" w:sz="4" w:space="0" w:color="auto"/>
            </w:tcBorders>
          </w:tcPr>
          <w:p w14:paraId="3544E5B8" w14:textId="77777777" w:rsidR="005B4E75" w:rsidRPr="007A47F5" w:rsidRDefault="005B4E75" w:rsidP="00D34F08">
            <w:pPr>
              <w:jc w:val="center"/>
              <w:rPr>
                <w:szCs w:val="24"/>
              </w:rPr>
            </w:pPr>
            <w:r w:rsidRPr="007A47F5">
              <w:rPr>
                <w:szCs w:val="24"/>
              </w:rPr>
              <w:t>APPROVE</w:t>
            </w:r>
          </w:p>
          <w:p w14:paraId="2F2D8A94" w14:textId="7EFC361F" w:rsidR="005B4E75" w:rsidRPr="007A47F5" w:rsidRDefault="0053736F"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0"/>
                  </w:checkBox>
                </w:ffData>
              </w:fldChar>
            </w:r>
            <w:bookmarkStart w:id="1" w:name="Check1"/>
            <w:r>
              <w:rPr>
                <w:rFonts w:ascii="Wingdings" w:hAnsi="Wingdings"/>
                <w:szCs w:val="24"/>
              </w:rPr>
              <w:instrText xml:space="preserve"> FORMCHECKBOX </w:instrText>
            </w:r>
            <w:r w:rsidR="0038510B">
              <w:rPr>
                <w:rFonts w:ascii="Wingdings" w:hAnsi="Wingdings"/>
                <w:szCs w:val="24"/>
              </w:rPr>
            </w:r>
            <w:r w:rsidR="0038510B">
              <w:rPr>
                <w:rFonts w:ascii="Wingdings" w:hAnsi="Wingdings"/>
                <w:szCs w:val="24"/>
              </w:rPr>
              <w:fldChar w:fldCharType="separate"/>
            </w:r>
            <w:r>
              <w:rPr>
                <w:rFonts w:ascii="Wingdings" w:hAnsi="Wingdings"/>
                <w:szCs w:val="24"/>
              </w:rPr>
              <w:fldChar w:fldCharType="end"/>
            </w:r>
            <w:bookmarkEnd w:id="1"/>
          </w:p>
        </w:tc>
        <w:tc>
          <w:tcPr>
            <w:tcW w:w="1848" w:type="dxa"/>
            <w:gridSpan w:val="2"/>
            <w:tcBorders>
              <w:bottom w:val="single" w:sz="4" w:space="0" w:color="auto"/>
            </w:tcBorders>
          </w:tcPr>
          <w:p w14:paraId="012A153A" w14:textId="77777777" w:rsidR="005B4E75" w:rsidRDefault="005B4E75" w:rsidP="00D34F08">
            <w:pPr>
              <w:jc w:val="center"/>
              <w:rPr>
                <w:szCs w:val="24"/>
              </w:rPr>
            </w:pPr>
            <w:r w:rsidRPr="007A47F5">
              <w:rPr>
                <w:szCs w:val="24"/>
              </w:rPr>
              <w:t>CONSIDER</w:t>
            </w:r>
          </w:p>
          <w:p w14:paraId="467D1428" w14:textId="0E047182" w:rsidR="005B4E75" w:rsidRPr="007A47F5" w:rsidRDefault="00627F7B" w:rsidP="00D34F08">
            <w:pPr>
              <w:jc w:val="center"/>
              <w:rPr>
                <w:szCs w:val="24"/>
              </w:rPr>
            </w:pPr>
            <w:r>
              <w:rPr>
                <w:szCs w:val="24"/>
              </w:rPr>
              <w:fldChar w:fldCharType="begin">
                <w:ffData>
                  <w:name w:val="Check2"/>
                  <w:enabled/>
                  <w:calcOnExit w:val="0"/>
                  <w:checkBox>
                    <w:sizeAuto/>
                    <w:default w:val="1"/>
                  </w:checkBox>
                </w:ffData>
              </w:fldChar>
            </w:r>
            <w:bookmarkStart w:id="2" w:name="Check2"/>
            <w:r>
              <w:rPr>
                <w:szCs w:val="24"/>
              </w:rPr>
              <w:instrText xml:space="preserve"> FORMCHECKBOX </w:instrText>
            </w:r>
            <w:r w:rsidR="0038510B">
              <w:rPr>
                <w:szCs w:val="24"/>
              </w:rPr>
            </w:r>
            <w:r w:rsidR="0038510B">
              <w:rPr>
                <w:szCs w:val="24"/>
              </w:rPr>
              <w:fldChar w:fldCharType="separate"/>
            </w:r>
            <w:r>
              <w:rPr>
                <w:szCs w:val="24"/>
              </w:rPr>
              <w:fldChar w:fldCharType="end"/>
            </w:r>
            <w:bookmarkEnd w:id="2"/>
          </w:p>
        </w:tc>
        <w:tc>
          <w:tcPr>
            <w:tcW w:w="1849" w:type="dxa"/>
            <w:gridSpan w:val="2"/>
            <w:tcBorders>
              <w:bottom w:val="single" w:sz="4" w:space="0" w:color="auto"/>
            </w:tcBorders>
          </w:tcPr>
          <w:p w14:paraId="477B2450" w14:textId="77777777" w:rsidR="005B4E75" w:rsidRDefault="005B4E75" w:rsidP="00D34F08">
            <w:pPr>
              <w:jc w:val="center"/>
              <w:rPr>
                <w:szCs w:val="24"/>
              </w:rPr>
            </w:pPr>
            <w:r w:rsidRPr="007A47F5">
              <w:rPr>
                <w:szCs w:val="24"/>
              </w:rPr>
              <w:t>RECOMMEND</w:t>
            </w:r>
          </w:p>
          <w:p w14:paraId="5A2CF7F0" w14:textId="77777777" w:rsidR="005B4E75" w:rsidRPr="007A47F5" w:rsidRDefault="007F7EA7" w:rsidP="00D34F08">
            <w:pPr>
              <w:jc w:val="center"/>
              <w:rPr>
                <w:szCs w:val="24"/>
              </w:rPr>
            </w:pPr>
            <w:r>
              <w:rPr>
                <w:szCs w:val="24"/>
              </w:rPr>
              <w:fldChar w:fldCharType="begin">
                <w:ffData>
                  <w:name w:val="Check3"/>
                  <w:enabled/>
                  <w:calcOnExit w:val="0"/>
                  <w:checkBox>
                    <w:sizeAuto/>
                    <w:default w:val="0"/>
                  </w:checkBox>
                </w:ffData>
              </w:fldChar>
            </w:r>
            <w:bookmarkStart w:id="3" w:name="Check3"/>
            <w:r w:rsidR="005B4E75">
              <w:rPr>
                <w:szCs w:val="24"/>
              </w:rPr>
              <w:instrText xml:space="preserve"> FORMCHECKBOX </w:instrText>
            </w:r>
            <w:r w:rsidR="0038510B">
              <w:rPr>
                <w:szCs w:val="24"/>
              </w:rPr>
            </w:r>
            <w:r w:rsidR="0038510B">
              <w:rPr>
                <w:szCs w:val="24"/>
              </w:rPr>
              <w:fldChar w:fldCharType="separate"/>
            </w:r>
            <w:r>
              <w:rPr>
                <w:szCs w:val="24"/>
              </w:rPr>
              <w:fldChar w:fldCharType="end"/>
            </w:r>
            <w:bookmarkEnd w:id="3"/>
          </w:p>
        </w:tc>
        <w:tc>
          <w:tcPr>
            <w:tcW w:w="1848" w:type="dxa"/>
            <w:tcBorders>
              <w:bottom w:val="single" w:sz="4" w:space="0" w:color="auto"/>
            </w:tcBorders>
          </w:tcPr>
          <w:p w14:paraId="0A309B17" w14:textId="77777777" w:rsidR="005B4E75" w:rsidRDefault="005B4E75" w:rsidP="00D34F08">
            <w:pPr>
              <w:jc w:val="center"/>
              <w:rPr>
                <w:szCs w:val="24"/>
              </w:rPr>
            </w:pPr>
            <w:r w:rsidRPr="007A47F5">
              <w:rPr>
                <w:szCs w:val="24"/>
              </w:rPr>
              <w:t>ADOPT</w:t>
            </w:r>
          </w:p>
          <w:p w14:paraId="05BA8039"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4" w:name="Check4"/>
            <w:r w:rsidR="005B4E75">
              <w:rPr>
                <w:szCs w:val="24"/>
              </w:rPr>
              <w:instrText xml:space="preserve"> FORMCHECKBOX </w:instrText>
            </w:r>
            <w:r w:rsidR="0038510B">
              <w:rPr>
                <w:szCs w:val="24"/>
              </w:rPr>
            </w:r>
            <w:r w:rsidR="0038510B">
              <w:rPr>
                <w:szCs w:val="24"/>
              </w:rPr>
              <w:fldChar w:fldCharType="separate"/>
            </w:r>
            <w:r>
              <w:rPr>
                <w:szCs w:val="24"/>
              </w:rPr>
              <w:fldChar w:fldCharType="end"/>
            </w:r>
            <w:bookmarkEnd w:id="4"/>
          </w:p>
        </w:tc>
        <w:tc>
          <w:tcPr>
            <w:tcW w:w="1849" w:type="dxa"/>
            <w:tcBorders>
              <w:bottom w:val="single" w:sz="4" w:space="0" w:color="auto"/>
            </w:tcBorders>
          </w:tcPr>
          <w:p w14:paraId="5ED5CD64" w14:textId="77777777" w:rsidR="005B4E75" w:rsidRDefault="008978EE" w:rsidP="00D34F08">
            <w:pPr>
              <w:jc w:val="center"/>
              <w:rPr>
                <w:szCs w:val="24"/>
              </w:rPr>
            </w:pPr>
            <w:r>
              <w:rPr>
                <w:szCs w:val="24"/>
              </w:rPr>
              <w:t>ASSURANCE</w:t>
            </w:r>
          </w:p>
          <w:p w14:paraId="4B35687E" w14:textId="16FABAAC" w:rsidR="005B4E75" w:rsidRPr="007A47F5" w:rsidRDefault="0053736F" w:rsidP="00D34F08">
            <w:pPr>
              <w:jc w:val="center"/>
              <w:rPr>
                <w:szCs w:val="24"/>
              </w:rPr>
            </w:pPr>
            <w:r>
              <w:rPr>
                <w:szCs w:val="24"/>
              </w:rPr>
              <w:fldChar w:fldCharType="begin">
                <w:ffData>
                  <w:name w:val="Check5"/>
                  <w:enabled/>
                  <w:calcOnExit w:val="0"/>
                  <w:checkBox>
                    <w:sizeAuto/>
                    <w:default w:val="1"/>
                  </w:checkBox>
                </w:ffData>
              </w:fldChar>
            </w:r>
            <w:bookmarkStart w:id="5" w:name="Check5"/>
            <w:r>
              <w:rPr>
                <w:szCs w:val="24"/>
              </w:rPr>
              <w:instrText xml:space="preserve"> FORMCHECKBOX </w:instrText>
            </w:r>
            <w:r w:rsidR="0038510B">
              <w:rPr>
                <w:szCs w:val="24"/>
              </w:rPr>
            </w:r>
            <w:r w:rsidR="0038510B">
              <w:rPr>
                <w:szCs w:val="24"/>
              </w:rPr>
              <w:fldChar w:fldCharType="separate"/>
            </w:r>
            <w:r>
              <w:rPr>
                <w:szCs w:val="24"/>
              </w:rPr>
              <w:fldChar w:fldCharType="end"/>
            </w:r>
            <w:bookmarkEnd w:id="5"/>
          </w:p>
        </w:tc>
      </w:tr>
      <w:tr w:rsidR="00EE7097" w:rsidRPr="001C60B5" w14:paraId="75182A30" w14:textId="77777777" w:rsidTr="278D05FA">
        <w:tc>
          <w:tcPr>
            <w:tcW w:w="9242" w:type="dxa"/>
            <w:gridSpan w:val="7"/>
            <w:tcBorders>
              <w:bottom w:val="single" w:sz="4" w:space="0" w:color="auto"/>
            </w:tcBorders>
          </w:tcPr>
          <w:p w14:paraId="3F2F43AE" w14:textId="5B01E436" w:rsidR="00EE7097" w:rsidRPr="00DB686C" w:rsidRDefault="0025299A" w:rsidP="007D03B8">
            <w:pPr>
              <w:rPr>
                <w:szCs w:val="24"/>
              </w:rPr>
            </w:pPr>
            <w:r>
              <w:rPr>
                <w:szCs w:val="24"/>
              </w:rPr>
              <w:t>The Board</w:t>
            </w:r>
            <w:r w:rsidR="00EE7097" w:rsidRPr="00DB686C">
              <w:rPr>
                <w:szCs w:val="24"/>
              </w:rPr>
              <w:t xml:space="preserve"> is asked to: </w:t>
            </w:r>
          </w:p>
          <w:p w14:paraId="61B1B2FE" w14:textId="4271791C" w:rsidR="00916053" w:rsidRDefault="0053736F" w:rsidP="004924EB">
            <w:pPr>
              <w:pStyle w:val="ListParagraph"/>
              <w:numPr>
                <w:ilvl w:val="0"/>
                <w:numId w:val="17"/>
              </w:numPr>
              <w:rPr>
                <w:szCs w:val="24"/>
              </w:rPr>
            </w:pPr>
            <w:r>
              <w:rPr>
                <w:b/>
                <w:szCs w:val="24"/>
              </w:rPr>
              <w:t>Receive</w:t>
            </w:r>
            <w:r w:rsidR="00627F7B">
              <w:rPr>
                <w:szCs w:val="24"/>
              </w:rPr>
              <w:t xml:space="preserve"> the </w:t>
            </w:r>
            <w:r w:rsidR="009A5C99">
              <w:rPr>
                <w:szCs w:val="24"/>
              </w:rPr>
              <w:t xml:space="preserve">Strategic and </w:t>
            </w:r>
            <w:r w:rsidR="00627F7B">
              <w:rPr>
                <w:szCs w:val="24"/>
              </w:rPr>
              <w:t>Corporate Risk Register</w:t>
            </w:r>
            <w:r w:rsidR="009A5C99">
              <w:rPr>
                <w:szCs w:val="24"/>
              </w:rPr>
              <w:t>s</w:t>
            </w:r>
            <w:r>
              <w:rPr>
                <w:szCs w:val="24"/>
              </w:rPr>
              <w:t xml:space="preserve"> for the pu</w:t>
            </w:r>
            <w:r w:rsidR="00B25B22">
              <w:rPr>
                <w:szCs w:val="24"/>
              </w:rPr>
              <w:t>rposes of scrutiny and assurance</w:t>
            </w:r>
            <w:r w:rsidR="00100FF6">
              <w:rPr>
                <w:szCs w:val="24"/>
              </w:rPr>
              <w:t>.</w:t>
            </w:r>
          </w:p>
          <w:p w14:paraId="3CF09886" w14:textId="2EB18CB7" w:rsidR="00E82204" w:rsidRPr="00E82204" w:rsidRDefault="00E82204" w:rsidP="00100FF6">
            <w:pPr>
              <w:jc w:val="both"/>
            </w:pPr>
          </w:p>
        </w:tc>
      </w:tr>
    </w:tbl>
    <w:p w14:paraId="3B1767A7" w14:textId="77777777" w:rsidR="00916053" w:rsidRDefault="00916053">
      <w:r>
        <w:br w:type="page"/>
      </w:r>
    </w:p>
    <w:tbl>
      <w:tblPr>
        <w:tblStyle w:val="TableGrid"/>
        <w:tblW w:w="0" w:type="auto"/>
        <w:tblLook w:val="04A0" w:firstRow="1" w:lastRow="0" w:firstColumn="1" w:lastColumn="0" w:noHBand="0" w:noVBand="1"/>
      </w:tblPr>
      <w:tblGrid>
        <w:gridCol w:w="3192"/>
        <w:gridCol w:w="5834"/>
      </w:tblGrid>
      <w:tr w:rsidR="00D713DC" w:rsidRPr="001C60B5" w14:paraId="1AFB1E02" w14:textId="77777777" w:rsidTr="00480353">
        <w:tc>
          <w:tcPr>
            <w:tcW w:w="9026" w:type="dxa"/>
            <w:gridSpan w:val="2"/>
            <w:tcBorders>
              <w:left w:val="nil"/>
              <w:right w:val="nil"/>
            </w:tcBorders>
            <w:shd w:val="clear" w:color="auto" w:fill="auto"/>
          </w:tcPr>
          <w:p w14:paraId="0BF04105" w14:textId="77777777" w:rsidR="00D713DC" w:rsidRPr="005B4E75" w:rsidRDefault="00D713DC">
            <w:pPr>
              <w:rPr>
                <w:b/>
                <w:sz w:val="12"/>
                <w:szCs w:val="12"/>
              </w:rPr>
            </w:pPr>
          </w:p>
        </w:tc>
      </w:tr>
      <w:tr w:rsidR="00EE7097" w:rsidRPr="001C60B5" w14:paraId="0260EBD7" w14:textId="77777777" w:rsidTr="00480353">
        <w:tc>
          <w:tcPr>
            <w:tcW w:w="9026" w:type="dxa"/>
            <w:gridSpan w:val="2"/>
            <w:shd w:val="clear" w:color="auto" w:fill="F2F2F2" w:themeFill="background1" w:themeFillShade="F2"/>
          </w:tcPr>
          <w:p w14:paraId="2EBAE741" w14:textId="77777777" w:rsidR="00EE7097" w:rsidRPr="001C60B5" w:rsidRDefault="00EE7097" w:rsidP="00680248">
            <w:pPr>
              <w:rPr>
                <w:szCs w:val="24"/>
              </w:rPr>
            </w:pPr>
            <w:r w:rsidRPr="001C60B5">
              <w:rPr>
                <w:b/>
                <w:szCs w:val="24"/>
              </w:rPr>
              <w:t xml:space="preserve">Link to Public Health Wales </w:t>
            </w:r>
            <w:hyperlink r:id="rId12" w:history="1">
              <w:r w:rsidRPr="001C60B5">
                <w:rPr>
                  <w:rStyle w:val="Hyperlink"/>
                  <w:b/>
                  <w:szCs w:val="24"/>
                </w:rPr>
                <w:t>Strategic Plan</w:t>
              </w:r>
            </w:hyperlink>
          </w:p>
          <w:p w14:paraId="534668C0" w14:textId="77777777" w:rsidR="00EE7097" w:rsidRPr="001C60B5" w:rsidRDefault="00EE7097" w:rsidP="00680248">
            <w:pPr>
              <w:rPr>
                <w:szCs w:val="24"/>
              </w:rPr>
            </w:pPr>
          </w:p>
          <w:p w14:paraId="4F2D7A2C" w14:textId="77777777" w:rsidR="00EE7097" w:rsidRPr="001C60B5" w:rsidRDefault="00EE7097" w:rsidP="00CA5841">
            <w:pPr>
              <w:rPr>
                <w:bCs/>
                <w:szCs w:val="24"/>
              </w:rPr>
            </w:pPr>
            <w:r w:rsidRPr="001C60B5">
              <w:rPr>
                <w:szCs w:val="24"/>
              </w:rPr>
              <w:t>Public Health Wales has an agreed strategic plan</w:t>
            </w:r>
            <w:r w:rsidR="00EB0841">
              <w:rPr>
                <w:szCs w:val="24"/>
              </w:rPr>
              <w:t>,</w:t>
            </w:r>
            <w:r w:rsidR="00C05D9F">
              <w:rPr>
                <w:szCs w:val="24"/>
              </w:rPr>
              <w:t xml:space="preserve"> which has identified seven strategic priorities.  </w:t>
            </w:r>
          </w:p>
          <w:p w14:paraId="1EB4BD75" w14:textId="77777777" w:rsidR="0013075E" w:rsidRDefault="0013075E" w:rsidP="00EE7097">
            <w:pPr>
              <w:rPr>
                <w:bCs/>
                <w:szCs w:val="24"/>
              </w:rPr>
            </w:pPr>
          </w:p>
          <w:p w14:paraId="16D4F252" w14:textId="77777777" w:rsidR="00EE7097" w:rsidRPr="001C60B5" w:rsidRDefault="00EE7097" w:rsidP="00EE7097">
            <w:pPr>
              <w:rPr>
                <w:szCs w:val="24"/>
              </w:rPr>
            </w:pPr>
            <w:r w:rsidRPr="001C60B5">
              <w:rPr>
                <w:szCs w:val="24"/>
              </w:rPr>
              <w:t xml:space="preserve">This report contributes to </w:t>
            </w:r>
            <w:r w:rsidR="00171773">
              <w:rPr>
                <w:szCs w:val="24"/>
              </w:rPr>
              <w:t>all Strategic Priorities</w:t>
            </w:r>
          </w:p>
        </w:tc>
      </w:tr>
      <w:tr w:rsidR="00EE7097" w:rsidRPr="001C60B5" w14:paraId="2CFA134D" w14:textId="77777777" w:rsidTr="00480353">
        <w:tc>
          <w:tcPr>
            <w:tcW w:w="3192" w:type="dxa"/>
            <w:shd w:val="clear" w:color="auto" w:fill="auto"/>
          </w:tcPr>
          <w:p w14:paraId="5B44457C" w14:textId="77777777" w:rsidR="00EE7097" w:rsidRPr="001C60B5" w:rsidRDefault="00EE7097" w:rsidP="00480353">
            <w:pPr>
              <w:jc w:val="center"/>
              <w:rPr>
                <w:b/>
                <w:szCs w:val="24"/>
              </w:rPr>
            </w:pPr>
            <w:r w:rsidRPr="001C60B5">
              <w:rPr>
                <w:b/>
                <w:szCs w:val="24"/>
              </w:rPr>
              <w:t xml:space="preserve">Strategic </w:t>
            </w:r>
            <w:r w:rsidR="00480353">
              <w:rPr>
                <w:b/>
                <w:szCs w:val="24"/>
              </w:rPr>
              <w:t>Priority</w:t>
            </w:r>
          </w:p>
        </w:tc>
        <w:tc>
          <w:tcPr>
            <w:tcW w:w="5834" w:type="dxa"/>
            <w:shd w:val="clear" w:color="auto" w:fill="auto"/>
          </w:tcPr>
          <w:p w14:paraId="652A9098" w14:textId="77777777" w:rsidR="00EE7097" w:rsidRPr="0013075E" w:rsidRDefault="0038510B" w:rsidP="00554429">
            <w:pPr>
              <w:rPr>
                <w:szCs w:val="24"/>
              </w:rPr>
            </w:pPr>
            <w:sdt>
              <w:sdtPr>
                <w:rPr>
                  <w:rStyle w:val="Dropdown"/>
                </w:rPr>
                <w:alias w:val="Strategic Objective"/>
                <w:tag w:val="Strategic Objective"/>
                <w:id w:val="1886465"/>
                <w:placeholder>
                  <w:docPart w:val="0E25CCC5DD4F43AAA642CDCC18DDB6A6"/>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480353" w:rsidRPr="001C60B5" w14:paraId="41FAD58F" w14:textId="77777777" w:rsidTr="00480353">
        <w:tc>
          <w:tcPr>
            <w:tcW w:w="3192" w:type="dxa"/>
            <w:shd w:val="clear" w:color="auto" w:fill="auto"/>
          </w:tcPr>
          <w:p w14:paraId="10C34306" w14:textId="77777777" w:rsidR="00480353" w:rsidRPr="001C60B5" w:rsidRDefault="00480353" w:rsidP="00480353">
            <w:pPr>
              <w:jc w:val="center"/>
              <w:rPr>
                <w:b/>
                <w:szCs w:val="24"/>
              </w:rPr>
            </w:pPr>
            <w:r w:rsidRPr="001C60B5">
              <w:rPr>
                <w:b/>
                <w:szCs w:val="24"/>
              </w:rPr>
              <w:t xml:space="preserve">Strategic </w:t>
            </w:r>
            <w:r>
              <w:rPr>
                <w:b/>
                <w:szCs w:val="24"/>
              </w:rPr>
              <w:t>Priority</w:t>
            </w:r>
          </w:p>
        </w:tc>
        <w:tc>
          <w:tcPr>
            <w:tcW w:w="5834" w:type="dxa"/>
            <w:shd w:val="clear" w:color="auto" w:fill="auto"/>
          </w:tcPr>
          <w:p w14:paraId="2DEEECB0" w14:textId="77777777" w:rsidR="00480353" w:rsidRPr="0013075E" w:rsidRDefault="0038510B" w:rsidP="00480353">
            <w:pPr>
              <w:rPr>
                <w:szCs w:val="24"/>
              </w:rPr>
            </w:pPr>
            <w:sdt>
              <w:sdtPr>
                <w:rPr>
                  <w:rStyle w:val="Dropdown"/>
                </w:rPr>
                <w:alias w:val="Strategic Objective"/>
                <w:tag w:val="Strategic Objective"/>
                <w:id w:val="1576867618"/>
                <w:placeholder>
                  <w:docPart w:val="5A5F231099F942BDB087759F1EF38FEA"/>
                </w:placeholder>
                <w:showingPlcHd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dropDownList>
              </w:sdtPr>
              <w:sdtEndPr>
                <w:rPr>
                  <w:rStyle w:val="DefaultParagraphFont"/>
                  <w:sz w:val="22"/>
                  <w:szCs w:val="24"/>
                </w:rPr>
              </w:sdtEndPr>
              <w:sdtContent>
                <w:r w:rsidR="00F5100E" w:rsidRPr="0013075E">
                  <w:rPr>
                    <w:rStyle w:val="PlaceholderText"/>
                    <w:szCs w:val="24"/>
                  </w:rPr>
                  <w:t>Choose an item.</w:t>
                </w:r>
              </w:sdtContent>
            </w:sdt>
          </w:p>
        </w:tc>
      </w:tr>
      <w:tr w:rsidR="00EE7097" w:rsidRPr="001C60B5" w14:paraId="73869422" w14:textId="77777777" w:rsidTr="00480353">
        <w:tc>
          <w:tcPr>
            <w:tcW w:w="9026" w:type="dxa"/>
            <w:gridSpan w:val="2"/>
            <w:tcBorders>
              <w:left w:val="nil"/>
              <w:right w:val="nil"/>
            </w:tcBorders>
            <w:shd w:val="clear" w:color="auto" w:fill="auto"/>
          </w:tcPr>
          <w:p w14:paraId="4EDF9C93" w14:textId="77777777" w:rsidR="00EE7097" w:rsidRPr="005B4E75" w:rsidRDefault="00EE7097" w:rsidP="00211B9D">
            <w:pPr>
              <w:rPr>
                <w:b/>
                <w:sz w:val="12"/>
                <w:szCs w:val="12"/>
              </w:rPr>
            </w:pPr>
          </w:p>
        </w:tc>
      </w:tr>
      <w:tr w:rsidR="00EE7097" w:rsidRPr="001C60B5" w14:paraId="37B30035" w14:textId="77777777" w:rsidTr="00480353">
        <w:tc>
          <w:tcPr>
            <w:tcW w:w="9026" w:type="dxa"/>
            <w:gridSpan w:val="2"/>
            <w:shd w:val="clear" w:color="auto" w:fill="F2F2F2" w:themeFill="background1" w:themeFillShade="F2"/>
          </w:tcPr>
          <w:p w14:paraId="0CEDC94D" w14:textId="77777777" w:rsidR="00EE7097" w:rsidRPr="001C60B5" w:rsidRDefault="00EE7097" w:rsidP="00211B9D">
            <w:pPr>
              <w:rPr>
                <w:i/>
                <w:color w:val="FF0000"/>
                <w:szCs w:val="24"/>
              </w:rPr>
            </w:pPr>
            <w:r w:rsidRPr="001C60B5">
              <w:rPr>
                <w:b/>
                <w:szCs w:val="24"/>
              </w:rPr>
              <w:t xml:space="preserve">Summary impact analysis </w:t>
            </w:r>
            <w:r w:rsidRPr="001C60B5">
              <w:rPr>
                <w:i/>
                <w:color w:val="FF0000"/>
                <w:szCs w:val="24"/>
              </w:rPr>
              <w:t xml:space="preserve"> </w:t>
            </w:r>
          </w:p>
          <w:p w14:paraId="195046A6" w14:textId="77777777" w:rsidR="00EE7097" w:rsidRPr="001C60B5" w:rsidRDefault="00EE7097" w:rsidP="00CA5841">
            <w:pPr>
              <w:rPr>
                <w:color w:val="FF0000"/>
                <w:szCs w:val="24"/>
              </w:rPr>
            </w:pPr>
          </w:p>
        </w:tc>
      </w:tr>
      <w:tr w:rsidR="00EE7097" w:rsidRPr="001C60B5" w14:paraId="58A5F03F" w14:textId="77777777" w:rsidTr="00480353">
        <w:tc>
          <w:tcPr>
            <w:tcW w:w="3192" w:type="dxa"/>
          </w:tcPr>
          <w:p w14:paraId="691BCA0B" w14:textId="77777777" w:rsidR="00EE7097" w:rsidRPr="001C60B5" w:rsidRDefault="00EE7097" w:rsidP="00097ACD">
            <w:pPr>
              <w:rPr>
                <w:b/>
                <w:szCs w:val="24"/>
              </w:rPr>
            </w:pPr>
            <w:r w:rsidRPr="001C60B5">
              <w:rPr>
                <w:b/>
                <w:szCs w:val="24"/>
              </w:rPr>
              <w:t>Equality and Health Impact Assessment</w:t>
            </w:r>
          </w:p>
        </w:tc>
        <w:tc>
          <w:tcPr>
            <w:tcW w:w="5834" w:type="dxa"/>
          </w:tcPr>
          <w:p w14:paraId="6A22EB33" w14:textId="77777777" w:rsidR="00EE7097" w:rsidRPr="00126327" w:rsidRDefault="00386641" w:rsidP="00097ACD">
            <w:pPr>
              <w:rPr>
                <w:i/>
                <w:color w:val="FF0000"/>
                <w:szCs w:val="24"/>
              </w:rPr>
            </w:pPr>
            <w:r w:rsidRPr="00A82883">
              <w:rPr>
                <w:szCs w:val="24"/>
              </w:rPr>
              <w:t>No decision is required</w:t>
            </w:r>
            <w:r>
              <w:rPr>
                <w:szCs w:val="24"/>
              </w:rPr>
              <w:t>.</w:t>
            </w:r>
          </w:p>
        </w:tc>
      </w:tr>
      <w:tr w:rsidR="003A3414" w:rsidRPr="001C60B5" w14:paraId="41F4F19C" w14:textId="77777777" w:rsidTr="00480353">
        <w:tc>
          <w:tcPr>
            <w:tcW w:w="3192" w:type="dxa"/>
          </w:tcPr>
          <w:p w14:paraId="70FE903A" w14:textId="77777777" w:rsidR="003A3414" w:rsidRPr="001C60B5" w:rsidRDefault="003A3414">
            <w:pPr>
              <w:rPr>
                <w:b/>
                <w:szCs w:val="24"/>
              </w:rPr>
            </w:pPr>
            <w:r>
              <w:rPr>
                <w:b/>
                <w:szCs w:val="24"/>
              </w:rPr>
              <w:t>Risk and Assurance</w:t>
            </w:r>
          </w:p>
        </w:tc>
        <w:tc>
          <w:tcPr>
            <w:tcW w:w="5834" w:type="dxa"/>
            <w:tcBorders>
              <w:bottom w:val="single" w:sz="4" w:space="0" w:color="auto"/>
            </w:tcBorders>
          </w:tcPr>
          <w:p w14:paraId="70EFFE1F" w14:textId="562BC3DC" w:rsidR="003A3414" w:rsidRPr="003A3414" w:rsidRDefault="00144C23" w:rsidP="006C7D3F">
            <w:pPr>
              <w:rPr>
                <w:color w:val="FF0000"/>
                <w:szCs w:val="24"/>
              </w:rPr>
            </w:pPr>
            <w:r w:rsidRPr="00144C23">
              <w:rPr>
                <w:szCs w:val="24"/>
              </w:rPr>
              <w:t xml:space="preserve">This submission is the </w:t>
            </w:r>
            <w:r w:rsidR="009A5C99">
              <w:rPr>
                <w:szCs w:val="24"/>
              </w:rPr>
              <w:t xml:space="preserve">Strategic and </w:t>
            </w:r>
            <w:r w:rsidRPr="00144C23">
              <w:rPr>
                <w:szCs w:val="24"/>
              </w:rPr>
              <w:t>Corporate Risk Register</w:t>
            </w:r>
            <w:r w:rsidR="009A5C99">
              <w:rPr>
                <w:szCs w:val="24"/>
              </w:rPr>
              <w:t>s</w:t>
            </w:r>
            <w:r w:rsidRPr="00144C23">
              <w:rPr>
                <w:szCs w:val="24"/>
              </w:rPr>
              <w:t>.</w:t>
            </w:r>
          </w:p>
        </w:tc>
      </w:tr>
      <w:tr w:rsidR="00EE7097" w:rsidRPr="001C60B5" w14:paraId="1BB7E772" w14:textId="77777777" w:rsidTr="00480353">
        <w:trPr>
          <w:trHeight w:val="1030"/>
        </w:trPr>
        <w:tc>
          <w:tcPr>
            <w:tcW w:w="3192" w:type="dxa"/>
            <w:vMerge w:val="restart"/>
          </w:tcPr>
          <w:p w14:paraId="6CE5BB5F" w14:textId="77777777" w:rsidR="00EE7097" w:rsidRPr="001C60B5" w:rsidRDefault="00EE7097">
            <w:pPr>
              <w:rPr>
                <w:b/>
                <w:szCs w:val="24"/>
              </w:rPr>
            </w:pPr>
            <w:r w:rsidRPr="001C60B5">
              <w:rPr>
                <w:b/>
                <w:szCs w:val="24"/>
              </w:rPr>
              <w:t>Health and Care Standards</w:t>
            </w:r>
          </w:p>
        </w:tc>
        <w:tc>
          <w:tcPr>
            <w:tcW w:w="5834" w:type="dxa"/>
            <w:tcBorders>
              <w:bottom w:val="nil"/>
            </w:tcBorders>
          </w:tcPr>
          <w:p w14:paraId="44521336" w14:textId="77777777" w:rsidR="00EE7097" w:rsidRPr="001C60B5" w:rsidRDefault="00EE7097" w:rsidP="00126327">
            <w:pPr>
              <w:rPr>
                <w:szCs w:val="24"/>
              </w:rPr>
            </w:pPr>
            <w:r w:rsidRPr="001C60B5">
              <w:rPr>
                <w:szCs w:val="24"/>
              </w:rPr>
              <w:t xml:space="preserve">This report supports and/or takes into account the </w:t>
            </w:r>
            <w:hyperlink r:id="rId13"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79ED8683" w14:textId="77777777" w:rsidTr="00480353">
        <w:trPr>
          <w:trHeight w:val="281"/>
        </w:trPr>
        <w:tc>
          <w:tcPr>
            <w:tcW w:w="3192" w:type="dxa"/>
            <w:vMerge/>
          </w:tcPr>
          <w:p w14:paraId="7936B84F" w14:textId="77777777" w:rsidR="00E263D4" w:rsidRPr="001C60B5" w:rsidRDefault="00E263D4" w:rsidP="00E263D4">
            <w:pPr>
              <w:rPr>
                <w:b/>
                <w:szCs w:val="24"/>
              </w:rPr>
            </w:pPr>
          </w:p>
        </w:tc>
        <w:tc>
          <w:tcPr>
            <w:tcW w:w="5834" w:type="dxa"/>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43499BDF" w14:textId="77777777" w:rsidR="00E263D4" w:rsidRPr="001C60B5" w:rsidRDefault="00144C23" w:rsidP="00E263D4">
                <w:pPr>
                  <w:ind w:left="436"/>
                  <w:rPr>
                    <w:szCs w:val="24"/>
                  </w:rPr>
                </w:pPr>
                <w:r>
                  <w:rPr>
                    <w:rStyle w:val="Dropdown"/>
                  </w:rPr>
                  <w:t>Governance, Leadership and Accountability</w:t>
                </w:r>
              </w:p>
            </w:sdtContent>
          </w:sdt>
        </w:tc>
      </w:tr>
      <w:tr w:rsidR="00EE7097" w:rsidRPr="001C60B5" w14:paraId="1CF1AAC5" w14:textId="77777777" w:rsidTr="00480353">
        <w:tc>
          <w:tcPr>
            <w:tcW w:w="3192" w:type="dxa"/>
          </w:tcPr>
          <w:p w14:paraId="284E3AE4" w14:textId="77777777" w:rsidR="00EE7097" w:rsidRPr="001C60B5" w:rsidRDefault="00EE7097">
            <w:pPr>
              <w:rPr>
                <w:b/>
                <w:szCs w:val="24"/>
              </w:rPr>
            </w:pPr>
            <w:r w:rsidRPr="001C60B5">
              <w:rPr>
                <w:b/>
                <w:szCs w:val="24"/>
              </w:rPr>
              <w:t>Financial implications</w:t>
            </w:r>
          </w:p>
        </w:tc>
        <w:tc>
          <w:tcPr>
            <w:tcW w:w="5834" w:type="dxa"/>
          </w:tcPr>
          <w:p w14:paraId="5C35F480" w14:textId="68E4BA3A" w:rsidR="00EE7097" w:rsidRPr="00126327" w:rsidRDefault="002C60C9" w:rsidP="00386641">
            <w:pPr>
              <w:rPr>
                <w:szCs w:val="24"/>
              </w:rPr>
            </w:pPr>
            <w:r>
              <w:rPr>
                <w:szCs w:val="24"/>
              </w:rPr>
              <w:t xml:space="preserve">The financial implications of failing to manage corporate risk effectively are significant, both in terms of the potential for loss and also the failure to capitalise on opportunities. </w:t>
            </w:r>
          </w:p>
        </w:tc>
      </w:tr>
      <w:tr w:rsidR="00EE7097" w:rsidRPr="001C60B5" w14:paraId="0FFBFD0B" w14:textId="77777777" w:rsidTr="00480353">
        <w:tc>
          <w:tcPr>
            <w:tcW w:w="3192" w:type="dxa"/>
          </w:tcPr>
          <w:p w14:paraId="7E30F9FD" w14:textId="77777777" w:rsidR="00EE7097" w:rsidRPr="001C60B5" w:rsidRDefault="00EE7097">
            <w:pPr>
              <w:rPr>
                <w:b/>
                <w:szCs w:val="24"/>
              </w:rPr>
            </w:pPr>
            <w:r w:rsidRPr="001C60B5">
              <w:rPr>
                <w:b/>
                <w:szCs w:val="24"/>
              </w:rPr>
              <w:t xml:space="preserve">People implications </w:t>
            </w:r>
          </w:p>
        </w:tc>
        <w:tc>
          <w:tcPr>
            <w:tcW w:w="5834" w:type="dxa"/>
            <w:tcBorders>
              <w:bottom w:val="single" w:sz="4" w:space="0" w:color="auto"/>
            </w:tcBorders>
          </w:tcPr>
          <w:p w14:paraId="37F3687B" w14:textId="77777777" w:rsidR="00EE7097" w:rsidRPr="00126327" w:rsidRDefault="00DB686C" w:rsidP="00386641">
            <w:pPr>
              <w:rPr>
                <w:color w:val="FF0000"/>
                <w:szCs w:val="24"/>
              </w:rPr>
            </w:pPr>
            <w:r w:rsidRPr="00DB686C">
              <w:rPr>
                <w:szCs w:val="24"/>
              </w:rPr>
              <w:t>No</w:t>
            </w:r>
            <w:r w:rsidR="00386641">
              <w:rPr>
                <w:szCs w:val="24"/>
              </w:rPr>
              <w:t xml:space="preserve"> people implications.</w:t>
            </w:r>
          </w:p>
        </w:tc>
      </w:tr>
    </w:tbl>
    <w:p w14:paraId="512757FA" w14:textId="77777777" w:rsidR="007D03B8" w:rsidRPr="001C60B5" w:rsidRDefault="007D03B8" w:rsidP="006F654D">
      <w:pPr>
        <w:pStyle w:val="ListBullet"/>
        <w:rPr>
          <w:b/>
          <w:color w:val="FF0000"/>
          <w:szCs w:val="24"/>
        </w:rPr>
        <w:sectPr w:rsidR="007D03B8" w:rsidRPr="001C60B5" w:rsidSect="00613298">
          <w:footerReference w:type="default" r:id="rId14"/>
          <w:pgSz w:w="11906" w:h="16838"/>
          <w:pgMar w:top="1440" w:right="1276" w:bottom="1440" w:left="851" w:header="708" w:footer="708" w:gutter="0"/>
          <w:cols w:space="708"/>
          <w:docGrid w:linePitch="360"/>
        </w:sectPr>
      </w:pPr>
    </w:p>
    <w:p w14:paraId="6D66E883" w14:textId="77777777" w:rsidR="0087331D" w:rsidRPr="001C60B5" w:rsidRDefault="0087331D" w:rsidP="002B712E">
      <w:pPr>
        <w:pStyle w:val="Heading1"/>
        <w:numPr>
          <w:ilvl w:val="0"/>
          <w:numId w:val="2"/>
        </w:numPr>
        <w:ind w:left="567" w:hanging="567"/>
        <w:rPr>
          <w:szCs w:val="24"/>
        </w:rPr>
      </w:pPr>
      <w:r w:rsidRPr="001C60B5">
        <w:rPr>
          <w:szCs w:val="24"/>
        </w:rPr>
        <w:t>Purpose</w:t>
      </w:r>
      <w:r w:rsidR="00051E74" w:rsidRPr="001C60B5">
        <w:rPr>
          <w:szCs w:val="24"/>
        </w:rPr>
        <w:t xml:space="preserve"> / situation</w:t>
      </w:r>
    </w:p>
    <w:p w14:paraId="6CE822B7" w14:textId="52362B63" w:rsidR="00AF26AC" w:rsidRDefault="00AF26AC" w:rsidP="0087331D">
      <w:pPr>
        <w:pStyle w:val="ListParagraph"/>
        <w:rPr>
          <w:szCs w:val="24"/>
        </w:rPr>
      </w:pPr>
    </w:p>
    <w:p w14:paraId="3FE60646" w14:textId="6BC2AF52" w:rsidR="00894FEA" w:rsidRDefault="00AF26AC" w:rsidP="00894FEA">
      <w:pPr>
        <w:ind w:left="360"/>
      </w:pPr>
      <w:r>
        <w:t xml:space="preserve">This paper </w:t>
      </w:r>
      <w:r w:rsidR="004972FA">
        <w:t>summarises</w:t>
      </w:r>
      <w:r w:rsidR="00B947AF">
        <w:t xml:space="preserve"> </w:t>
      </w:r>
      <w:r>
        <w:t>the</w:t>
      </w:r>
      <w:r w:rsidR="000C31C7">
        <w:t xml:space="preserve"> organisations</w:t>
      </w:r>
      <w:r>
        <w:t xml:space="preserve"> </w:t>
      </w:r>
      <w:r w:rsidR="009A5C99">
        <w:t xml:space="preserve">Strategic and </w:t>
      </w:r>
      <w:r w:rsidRPr="0053736F">
        <w:t>Corporate Risk Register</w:t>
      </w:r>
      <w:r w:rsidR="009A5C99">
        <w:t>s</w:t>
      </w:r>
      <w:r w:rsidR="000C31C7">
        <w:t>, highlighting</w:t>
      </w:r>
      <w:r>
        <w:t xml:space="preserve"> any areas of concern that may require further discussion. This paper must be read in conjunction with the </w:t>
      </w:r>
      <w:r w:rsidR="009A5C99">
        <w:t xml:space="preserve">Strategic and </w:t>
      </w:r>
      <w:r w:rsidR="0053736F">
        <w:t>C</w:t>
      </w:r>
      <w:r>
        <w:t>orporate Risk Register</w:t>
      </w:r>
      <w:r w:rsidR="009A5C99">
        <w:t>s</w:t>
      </w:r>
      <w:r w:rsidR="004972FA">
        <w:t>’</w:t>
      </w:r>
      <w:r>
        <w:t xml:space="preserve">. </w:t>
      </w:r>
    </w:p>
    <w:p w14:paraId="41AE6EB3" w14:textId="77777777" w:rsidR="00894FEA" w:rsidRDefault="00894FEA" w:rsidP="00894FEA">
      <w:pPr>
        <w:ind w:left="360"/>
      </w:pPr>
    </w:p>
    <w:p w14:paraId="70B5B937" w14:textId="140EFA73" w:rsidR="00894FEA" w:rsidRDefault="00894FEA" w:rsidP="00894FEA">
      <w:pPr>
        <w:ind w:left="360"/>
      </w:pPr>
      <w:r>
        <w:t xml:space="preserve">All Committees consider the </w:t>
      </w:r>
      <w:r w:rsidR="009A5C99">
        <w:t xml:space="preserve">Strategic and </w:t>
      </w:r>
      <w:r>
        <w:t>Corporate Risk Register</w:t>
      </w:r>
      <w:r w:rsidR="009A5C99">
        <w:t>s</w:t>
      </w:r>
      <w:r w:rsidRPr="00894FEA">
        <w:t xml:space="preserve"> and the relevant risks specific to the </w:t>
      </w:r>
      <w:r>
        <w:t>Committee at each C</w:t>
      </w:r>
      <w:r w:rsidRPr="00894FEA">
        <w:t>ommittee meeting</w:t>
      </w:r>
      <w:r>
        <w:t xml:space="preserve">. </w:t>
      </w:r>
      <w:r w:rsidR="008541B5">
        <w:t xml:space="preserve">The Audit and Corporate Governance Committee seeks assurance on the overall system for risk management and seeks assurance as to the effective management of Strategic and Corporate risks within the organisation. </w:t>
      </w:r>
    </w:p>
    <w:p w14:paraId="7982C80F" w14:textId="77777777" w:rsidR="00894FEA" w:rsidRDefault="00894FEA" w:rsidP="00894FEA">
      <w:pPr>
        <w:ind w:left="360"/>
      </w:pPr>
    </w:p>
    <w:p w14:paraId="0DB331CB" w14:textId="2DCDC1CC" w:rsidR="00894FEA" w:rsidRDefault="00894FEA" w:rsidP="00894FEA">
      <w:pPr>
        <w:ind w:left="360"/>
      </w:pPr>
      <w:r w:rsidRPr="00894FEA">
        <w:t xml:space="preserve">The </w:t>
      </w:r>
      <w:r w:rsidR="009A5C99">
        <w:t xml:space="preserve">Strategic Risk Register </w:t>
      </w:r>
      <w:r w:rsidRPr="00894FEA">
        <w:t xml:space="preserve">is provided to the Board </w:t>
      </w:r>
      <w:r w:rsidR="009A5C99">
        <w:t xml:space="preserve">three times </w:t>
      </w:r>
      <w:r w:rsidRPr="00894FEA">
        <w:t xml:space="preserve">a year </w:t>
      </w:r>
      <w:r w:rsidR="009A5C99">
        <w:t xml:space="preserve">and the Corporate Risk Register twice a year </w:t>
      </w:r>
      <w:r w:rsidRPr="00894FEA">
        <w:t>to offer assurance over and above th</w:t>
      </w:r>
      <w:r w:rsidR="00100FF6">
        <w:t xml:space="preserve">e role of the Committees and Business Executive Team. </w:t>
      </w:r>
    </w:p>
    <w:p w14:paraId="499089B3" w14:textId="61C5B6B2" w:rsidR="009A5C99" w:rsidRDefault="009A5C99" w:rsidP="00894FEA">
      <w:pPr>
        <w:ind w:left="360"/>
      </w:pPr>
    </w:p>
    <w:p w14:paraId="2A88110E" w14:textId="77777777" w:rsidR="009A5C99" w:rsidRPr="009A5C99" w:rsidRDefault="009A5C99" w:rsidP="009A5C99">
      <w:pPr>
        <w:ind w:left="360"/>
      </w:pPr>
      <w:r w:rsidRPr="009A5C99">
        <w:t xml:space="preserve">The Strategic Risk Register details the six current Strategic Risks that were approved by the Board in May 2022. These are the highest-level risks that could prevent the organisation from delivering on its strategic priorities.  </w:t>
      </w:r>
    </w:p>
    <w:p w14:paraId="41032279" w14:textId="77777777" w:rsidR="009A5C99" w:rsidRPr="009A5C99" w:rsidRDefault="009A5C99" w:rsidP="009A5C99">
      <w:pPr>
        <w:ind w:left="360"/>
      </w:pPr>
    </w:p>
    <w:p w14:paraId="304E5460" w14:textId="0ACF41AB" w:rsidR="009A5C99" w:rsidRPr="009A5C99" w:rsidRDefault="009A5C99" w:rsidP="009A5C99">
      <w:pPr>
        <w:ind w:left="360"/>
      </w:pPr>
      <w:r w:rsidRPr="009A5C99">
        <w:t xml:space="preserve">The Corporate Risk Register details the </w:t>
      </w:r>
      <w:r w:rsidR="00A9432D">
        <w:t>six</w:t>
      </w:r>
      <w:r w:rsidRPr="009A5C99">
        <w:t xml:space="preserve"> highest-level operational risks that are being managed on a day-to-day basis by Executive Directors. The Corporate Risk Register was refreshed and approved at BET in September 2022. </w:t>
      </w:r>
    </w:p>
    <w:p w14:paraId="78FEADDE" w14:textId="794FA21C" w:rsidR="009A5C99" w:rsidRDefault="009A5C99" w:rsidP="00894FEA">
      <w:pPr>
        <w:ind w:left="360"/>
      </w:pPr>
    </w:p>
    <w:p w14:paraId="581958FC" w14:textId="77777777" w:rsidR="009A5C99" w:rsidRPr="00927CB2" w:rsidRDefault="009A5C99" w:rsidP="009A5C99">
      <w:pPr>
        <w:widowControl w:val="0"/>
        <w:numPr>
          <w:ilvl w:val="0"/>
          <w:numId w:val="2"/>
        </w:numPr>
        <w:autoSpaceDE w:val="0"/>
        <w:autoSpaceDN w:val="0"/>
        <w:spacing w:before="1"/>
        <w:rPr>
          <w:b/>
          <w:bCs/>
        </w:rPr>
      </w:pPr>
      <w:r w:rsidRPr="00927CB2">
        <w:rPr>
          <w:b/>
          <w:bCs/>
        </w:rPr>
        <w:t xml:space="preserve">Delivery Confidence Assessment </w:t>
      </w:r>
    </w:p>
    <w:p w14:paraId="5F7798E8" w14:textId="77777777" w:rsidR="009A5C99" w:rsidRPr="00927CB2" w:rsidRDefault="009A5C99" w:rsidP="009A5C99">
      <w:pPr>
        <w:widowControl w:val="0"/>
        <w:autoSpaceDE w:val="0"/>
        <w:autoSpaceDN w:val="0"/>
        <w:spacing w:before="1"/>
      </w:pPr>
    </w:p>
    <w:p w14:paraId="0A31E290" w14:textId="77777777" w:rsidR="009A5C99" w:rsidRPr="00927CB2" w:rsidRDefault="009A5C99" w:rsidP="009A5C99">
      <w:pPr>
        <w:widowControl w:val="0"/>
        <w:autoSpaceDE w:val="0"/>
        <w:autoSpaceDN w:val="0"/>
        <w:spacing w:before="1"/>
      </w:pPr>
      <w:r w:rsidRPr="00927CB2">
        <w:t>All strategic risks carry a delivery confidence assessment assigned by the Executive Sponsor. The table below demonstrates the RAG status.</w:t>
      </w:r>
    </w:p>
    <w:p w14:paraId="36CD5F77" w14:textId="77777777" w:rsidR="009A5C99" w:rsidRPr="0044328B" w:rsidRDefault="009A5C99" w:rsidP="009A5C99">
      <w:pPr>
        <w:widowControl w:val="0"/>
        <w:autoSpaceDE w:val="0"/>
        <w:autoSpaceDN w:val="0"/>
        <w:spacing w:before="1"/>
        <w:rPr>
          <w:rFonts w:eastAsia="Verdana" w:cs="Verdana"/>
          <w:sz w:val="21"/>
          <w:szCs w:val="24"/>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7910"/>
      </w:tblGrid>
      <w:tr w:rsidR="009A5C99" w:rsidRPr="0044328B" w14:paraId="07D63E6A" w14:textId="77777777" w:rsidTr="009A5C99">
        <w:trPr>
          <w:trHeight w:val="208"/>
        </w:trPr>
        <w:tc>
          <w:tcPr>
            <w:tcW w:w="1278" w:type="dxa"/>
            <w:tcBorders>
              <w:bottom w:val="single" w:sz="18" w:space="0" w:color="385D89"/>
            </w:tcBorders>
            <w:shd w:val="clear" w:color="auto" w:fill="D9D9D9"/>
          </w:tcPr>
          <w:p w14:paraId="7FD4380F" w14:textId="77777777" w:rsidR="009A5C99" w:rsidRPr="0044328B" w:rsidRDefault="009A5C99" w:rsidP="009A5C99">
            <w:pPr>
              <w:widowControl w:val="0"/>
              <w:autoSpaceDE w:val="0"/>
              <w:autoSpaceDN w:val="0"/>
              <w:spacing w:line="188" w:lineRule="exact"/>
              <w:ind w:left="150"/>
              <w:rPr>
                <w:rFonts w:eastAsia="Verdana" w:cs="Verdana"/>
                <w:b/>
                <w:sz w:val="20"/>
              </w:rPr>
            </w:pPr>
            <w:r w:rsidRPr="0044328B">
              <w:rPr>
                <w:rFonts w:eastAsia="Verdana" w:cs="Verdana"/>
                <w:b/>
                <w:sz w:val="20"/>
              </w:rPr>
              <w:t>DCA</w:t>
            </w:r>
            <w:r w:rsidRPr="0044328B">
              <w:rPr>
                <w:rFonts w:eastAsia="Verdana" w:cs="Verdana"/>
                <w:b/>
                <w:spacing w:val="-1"/>
                <w:sz w:val="20"/>
              </w:rPr>
              <w:t xml:space="preserve"> </w:t>
            </w:r>
            <w:r w:rsidRPr="0044328B">
              <w:rPr>
                <w:rFonts w:eastAsia="Verdana" w:cs="Verdana"/>
                <w:b/>
                <w:sz w:val="20"/>
              </w:rPr>
              <w:t>RAG</w:t>
            </w:r>
          </w:p>
        </w:tc>
        <w:tc>
          <w:tcPr>
            <w:tcW w:w="7910" w:type="dxa"/>
            <w:shd w:val="clear" w:color="auto" w:fill="D9D9D9"/>
          </w:tcPr>
          <w:p w14:paraId="0B77A3DE" w14:textId="77777777" w:rsidR="009A5C99" w:rsidRPr="0044328B" w:rsidRDefault="009A5C99" w:rsidP="009A5C99">
            <w:pPr>
              <w:widowControl w:val="0"/>
              <w:autoSpaceDE w:val="0"/>
              <w:autoSpaceDN w:val="0"/>
              <w:spacing w:line="188" w:lineRule="exact"/>
              <w:ind w:left="3042" w:right="3004"/>
              <w:jc w:val="center"/>
              <w:rPr>
                <w:rFonts w:eastAsia="Verdana" w:cs="Verdana"/>
                <w:b/>
                <w:sz w:val="20"/>
              </w:rPr>
            </w:pPr>
            <w:r w:rsidRPr="0044328B">
              <w:rPr>
                <w:rFonts w:eastAsia="Verdana" w:cs="Verdana"/>
                <w:b/>
                <w:sz w:val="20"/>
              </w:rPr>
              <w:t>DCA</w:t>
            </w:r>
            <w:r w:rsidRPr="0044328B">
              <w:rPr>
                <w:rFonts w:eastAsia="Verdana" w:cs="Verdana"/>
                <w:b/>
                <w:spacing w:val="-3"/>
                <w:sz w:val="20"/>
              </w:rPr>
              <w:t xml:space="preserve"> </w:t>
            </w:r>
            <w:r w:rsidRPr="0044328B">
              <w:rPr>
                <w:rFonts w:eastAsia="Verdana" w:cs="Verdana"/>
                <w:b/>
                <w:sz w:val="20"/>
              </w:rPr>
              <w:t>Description</w:t>
            </w:r>
          </w:p>
        </w:tc>
      </w:tr>
      <w:tr w:rsidR="009A5C99" w:rsidRPr="0044328B" w14:paraId="4A5D1097" w14:textId="77777777" w:rsidTr="009A5C99">
        <w:trPr>
          <w:trHeight w:val="486"/>
        </w:trPr>
        <w:tc>
          <w:tcPr>
            <w:tcW w:w="1278" w:type="dxa"/>
            <w:tcBorders>
              <w:top w:val="single" w:sz="18" w:space="0" w:color="385D89"/>
              <w:left w:val="single" w:sz="18" w:space="0" w:color="385D89"/>
              <w:bottom w:val="nil"/>
              <w:right w:val="single" w:sz="18" w:space="0" w:color="385D89"/>
            </w:tcBorders>
          </w:tcPr>
          <w:p w14:paraId="412515EA" w14:textId="77777777" w:rsidR="009A5C99" w:rsidRPr="0044328B" w:rsidRDefault="009A5C99" w:rsidP="009A5C99">
            <w:pPr>
              <w:widowControl w:val="0"/>
              <w:autoSpaceDE w:val="0"/>
              <w:autoSpaceDN w:val="0"/>
              <w:rPr>
                <w:rFonts w:ascii="Times New Roman" w:eastAsia="Verdana" w:cs="Verdana"/>
                <w:sz w:val="22"/>
              </w:rPr>
            </w:pPr>
            <w:r w:rsidRPr="0044328B">
              <w:rPr>
                <w:rFonts w:eastAsia="Verdana" w:cs="Verdana"/>
                <w:noProof/>
                <w:szCs w:val="24"/>
                <w:lang w:eastAsia="en-GB"/>
              </w:rPr>
              <w:drawing>
                <wp:anchor distT="0" distB="0" distL="0" distR="0" simplePos="0" relativeHeight="251660290" behindDoc="1" locked="0" layoutInCell="1" allowOverlap="1" wp14:anchorId="4DDECDFB" wp14:editId="7790E65B">
                  <wp:simplePos x="0" y="0"/>
                  <wp:positionH relativeFrom="page">
                    <wp:posOffset>-558</wp:posOffset>
                  </wp:positionH>
                  <wp:positionV relativeFrom="paragraph">
                    <wp:posOffset>-18</wp:posOffset>
                  </wp:positionV>
                  <wp:extent cx="809173" cy="94297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809173" cy="942975"/>
                          </a:xfrm>
                          <a:prstGeom prst="rect">
                            <a:avLst/>
                          </a:prstGeom>
                        </pic:spPr>
                      </pic:pic>
                    </a:graphicData>
                  </a:graphic>
                </wp:anchor>
              </w:drawing>
            </w:r>
          </w:p>
        </w:tc>
        <w:tc>
          <w:tcPr>
            <w:tcW w:w="7910" w:type="dxa"/>
            <w:tcBorders>
              <w:left w:val="single" w:sz="18" w:space="0" w:color="385D89"/>
            </w:tcBorders>
          </w:tcPr>
          <w:p w14:paraId="46C68EB2" w14:textId="77777777" w:rsidR="009A5C99" w:rsidRPr="0044328B" w:rsidRDefault="009A5C99" w:rsidP="009A5C99">
            <w:pPr>
              <w:widowControl w:val="0"/>
              <w:autoSpaceDE w:val="0"/>
              <w:autoSpaceDN w:val="0"/>
              <w:spacing w:line="244" w:lineRule="exact"/>
              <w:ind w:left="104" w:right="131"/>
              <w:rPr>
                <w:rFonts w:eastAsia="Verdana" w:cs="Verdana"/>
                <w:sz w:val="20"/>
              </w:rPr>
            </w:pPr>
            <w:r w:rsidRPr="0044328B">
              <w:rPr>
                <w:rFonts w:eastAsia="Verdana" w:cs="Verdana"/>
                <w:sz w:val="20"/>
              </w:rPr>
              <w:t>High degree of confidence exists that the controls and actions identified will</w:t>
            </w:r>
            <w:r w:rsidRPr="0044328B">
              <w:rPr>
                <w:rFonts w:eastAsia="Verdana" w:cs="Verdana"/>
                <w:spacing w:val="-69"/>
                <w:sz w:val="20"/>
              </w:rPr>
              <w:t xml:space="preserve"> </w:t>
            </w:r>
            <w:r w:rsidRPr="0044328B">
              <w:rPr>
                <w:rFonts w:eastAsia="Verdana" w:cs="Verdana"/>
                <w:sz w:val="20"/>
              </w:rPr>
              <w:t>mitigate</w:t>
            </w:r>
            <w:r w:rsidRPr="0044328B">
              <w:rPr>
                <w:rFonts w:eastAsia="Verdana" w:cs="Verdana"/>
                <w:spacing w:val="-1"/>
                <w:sz w:val="20"/>
              </w:rPr>
              <w:t xml:space="preserve"> </w:t>
            </w:r>
            <w:r w:rsidRPr="0044328B">
              <w:rPr>
                <w:rFonts w:eastAsia="Verdana" w:cs="Verdana"/>
                <w:sz w:val="20"/>
              </w:rPr>
              <w:t>the risk to the</w:t>
            </w:r>
            <w:r w:rsidRPr="0044328B">
              <w:rPr>
                <w:rFonts w:eastAsia="Verdana" w:cs="Verdana"/>
                <w:spacing w:val="-2"/>
                <w:sz w:val="20"/>
              </w:rPr>
              <w:t xml:space="preserve"> </w:t>
            </w:r>
            <w:r w:rsidRPr="0044328B">
              <w:rPr>
                <w:rFonts w:eastAsia="Verdana" w:cs="Verdana"/>
                <w:sz w:val="20"/>
              </w:rPr>
              <w:t>required level.</w:t>
            </w:r>
          </w:p>
        </w:tc>
      </w:tr>
      <w:tr w:rsidR="009A5C99" w:rsidRPr="0044328B" w14:paraId="0630C209" w14:textId="77777777" w:rsidTr="009A5C99">
        <w:trPr>
          <w:trHeight w:val="484"/>
        </w:trPr>
        <w:tc>
          <w:tcPr>
            <w:tcW w:w="1278" w:type="dxa"/>
            <w:tcBorders>
              <w:top w:val="nil"/>
              <w:left w:val="single" w:sz="18" w:space="0" w:color="385D89"/>
              <w:bottom w:val="nil"/>
              <w:right w:val="single" w:sz="18" w:space="0" w:color="385D89"/>
            </w:tcBorders>
          </w:tcPr>
          <w:p w14:paraId="6F524718" w14:textId="77777777" w:rsidR="009A5C99" w:rsidRPr="0044328B" w:rsidRDefault="009A5C99" w:rsidP="009A5C99">
            <w:pPr>
              <w:widowControl w:val="0"/>
              <w:autoSpaceDE w:val="0"/>
              <w:autoSpaceDN w:val="0"/>
              <w:rPr>
                <w:rFonts w:ascii="Times New Roman" w:eastAsia="Verdana" w:cs="Verdana"/>
                <w:sz w:val="22"/>
              </w:rPr>
            </w:pPr>
          </w:p>
        </w:tc>
        <w:tc>
          <w:tcPr>
            <w:tcW w:w="7910" w:type="dxa"/>
            <w:tcBorders>
              <w:left w:val="single" w:sz="18" w:space="0" w:color="385D89"/>
            </w:tcBorders>
          </w:tcPr>
          <w:p w14:paraId="427E668B" w14:textId="77777777" w:rsidR="009A5C99" w:rsidRPr="0044328B" w:rsidRDefault="009A5C99" w:rsidP="009A5C99">
            <w:pPr>
              <w:widowControl w:val="0"/>
              <w:autoSpaceDE w:val="0"/>
              <w:autoSpaceDN w:val="0"/>
              <w:spacing w:line="244" w:lineRule="exact"/>
              <w:ind w:left="104" w:right="178"/>
              <w:rPr>
                <w:rFonts w:eastAsia="Verdana" w:cs="Verdana"/>
                <w:sz w:val="20"/>
              </w:rPr>
            </w:pPr>
            <w:r w:rsidRPr="0044328B">
              <w:rPr>
                <w:rFonts w:eastAsia="Verdana" w:cs="Verdana"/>
                <w:sz w:val="20"/>
              </w:rPr>
              <w:t>It is feasible that the controls and actions identified will mitigate the risk to</w:t>
            </w:r>
            <w:r w:rsidRPr="0044328B">
              <w:rPr>
                <w:rFonts w:eastAsia="Verdana" w:cs="Verdana"/>
                <w:spacing w:val="-69"/>
                <w:sz w:val="20"/>
              </w:rPr>
              <w:t xml:space="preserve"> </w:t>
            </w:r>
            <w:r w:rsidRPr="0044328B">
              <w:rPr>
                <w:rFonts w:eastAsia="Verdana" w:cs="Verdana"/>
                <w:sz w:val="20"/>
              </w:rPr>
              <w:t>the</w:t>
            </w:r>
            <w:r w:rsidRPr="0044328B">
              <w:rPr>
                <w:rFonts w:eastAsia="Verdana" w:cs="Verdana"/>
                <w:spacing w:val="-3"/>
                <w:sz w:val="20"/>
              </w:rPr>
              <w:t xml:space="preserve"> </w:t>
            </w:r>
            <w:r w:rsidRPr="0044328B">
              <w:rPr>
                <w:rFonts w:eastAsia="Verdana" w:cs="Verdana"/>
                <w:sz w:val="20"/>
              </w:rPr>
              <w:t>required</w:t>
            </w:r>
            <w:r w:rsidRPr="0044328B">
              <w:rPr>
                <w:rFonts w:eastAsia="Verdana" w:cs="Verdana"/>
                <w:spacing w:val="-1"/>
                <w:sz w:val="20"/>
              </w:rPr>
              <w:t xml:space="preserve"> </w:t>
            </w:r>
            <w:r w:rsidRPr="0044328B">
              <w:rPr>
                <w:rFonts w:eastAsia="Verdana" w:cs="Verdana"/>
                <w:sz w:val="20"/>
              </w:rPr>
              <w:t>level</w:t>
            </w:r>
            <w:r w:rsidRPr="0044328B">
              <w:rPr>
                <w:rFonts w:eastAsia="Verdana" w:cs="Verdana"/>
                <w:spacing w:val="-3"/>
                <w:sz w:val="20"/>
              </w:rPr>
              <w:t xml:space="preserve"> </w:t>
            </w:r>
            <w:r w:rsidRPr="0044328B">
              <w:rPr>
                <w:rFonts w:eastAsia="Verdana" w:cs="Verdana"/>
                <w:sz w:val="20"/>
              </w:rPr>
              <w:t>but</w:t>
            </w:r>
            <w:r w:rsidRPr="0044328B">
              <w:rPr>
                <w:rFonts w:eastAsia="Verdana" w:cs="Verdana"/>
                <w:spacing w:val="-1"/>
                <w:sz w:val="20"/>
              </w:rPr>
              <w:t xml:space="preserve"> </w:t>
            </w:r>
            <w:r w:rsidRPr="0044328B">
              <w:rPr>
                <w:rFonts w:eastAsia="Verdana" w:cs="Verdana"/>
                <w:sz w:val="20"/>
              </w:rPr>
              <w:t>issues</w:t>
            </w:r>
            <w:r w:rsidRPr="0044328B">
              <w:rPr>
                <w:rFonts w:eastAsia="Verdana" w:cs="Verdana"/>
                <w:spacing w:val="-1"/>
                <w:sz w:val="20"/>
              </w:rPr>
              <w:t xml:space="preserve"> </w:t>
            </w:r>
            <w:r w:rsidRPr="0044328B">
              <w:rPr>
                <w:rFonts w:eastAsia="Verdana" w:cs="Verdana"/>
                <w:sz w:val="20"/>
              </w:rPr>
              <w:t>remain</w:t>
            </w:r>
            <w:r w:rsidRPr="0044328B">
              <w:rPr>
                <w:rFonts w:eastAsia="Verdana" w:cs="Verdana"/>
                <w:spacing w:val="-2"/>
                <w:sz w:val="20"/>
              </w:rPr>
              <w:t xml:space="preserve"> </w:t>
            </w:r>
            <w:r w:rsidRPr="0044328B">
              <w:rPr>
                <w:rFonts w:eastAsia="Verdana" w:cs="Verdana"/>
                <w:sz w:val="20"/>
              </w:rPr>
              <w:t>outstanding</w:t>
            </w:r>
            <w:r w:rsidRPr="0044328B">
              <w:rPr>
                <w:rFonts w:eastAsia="Verdana" w:cs="Verdana"/>
                <w:spacing w:val="-1"/>
                <w:sz w:val="20"/>
              </w:rPr>
              <w:t xml:space="preserve"> </w:t>
            </w:r>
            <w:r w:rsidRPr="0044328B">
              <w:rPr>
                <w:rFonts w:eastAsia="Verdana" w:cs="Verdana"/>
                <w:sz w:val="20"/>
              </w:rPr>
              <w:t>that</w:t>
            </w:r>
            <w:r w:rsidRPr="0044328B">
              <w:rPr>
                <w:rFonts w:eastAsia="Verdana" w:cs="Verdana"/>
                <w:spacing w:val="-2"/>
                <w:sz w:val="20"/>
              </w:rPr>
              <w:t xml:space="preserve"> </w:t>
            </w:r>
            <w:r w:rsidRPr="0044328B">
              <w:rPr>
                <w:rFonts w:eastAsia="Verdana" w:cs="Verdana"/>
                <w:sz w:val="20"/>
              </w:rPr>
              <w:t>require</w:t>
            </w:r>
            <w:r w:rsidRPr="0044328B">
              <w:rPr>
                <w:rFonts w:eastAsia="Verdana" w:cs="Verdana"/>
                <w:spacing w:val="-3"/>
                <w:sz w:val="20"/>
              </w:rPr>
              <w:t xml:space="preserve"> </w:t>
            </w:r>
            <w:r w:rsidRPr="0044328B">
              <w:rPr>
                <w:rFonts w:eastAsia="Verdana" w:cs="Verdana"/>
                <w:sz w:val="20"/>
              </w:rPr>
              <w:t>addressing.</w:t>
            </w:r>
          </w:p>
        </w:tc>
      </w:tr>
      <w:tr w:rsidR="009A5C99" w:rsidRPr="0044328B" w14:paraId="45CDE8B1" w14:textId="77777777" w:rsidTr="009A5C99">
        <w:trPr>
          <w:trHeight w:val="450"/>
        </w:trPr>
        <w:tc>
          <w:tcPr>
            <w:tcW w:w="1278" w:type="dxa"/>
            <w:tcBorders>
              <w:top w:val="nil"/>
              <w:left w:val="single" w:sz="18" w:space="0" w:color="385D89"/>
              <w:bottom w:val="thinThickMediumGap" w:sz="9" w:space="0" w:color="385D89"/>
              <w:right w:val="single" w:sz="18" w:space="0" w:color="385D89"/>
            </w:tcBorders>
          </w:tcPr>
          <w:p w14:paraId="17907717" w14:textId="77777777" w:rsidR="009A5C99" w:rsidRPr="0044328B" w:rsidRDefault="009A5C99" w:rsidP="009A5C99">
            <w:pPr>
              <w:widowControl w:val="0"/>
              <w:autoSpaceDE w:val="0"/>
              <w:autoSpaceDN w:val="0"/>
              <w:rPr>
                <w:rFonts w:ascii="Times New Roman" w:eastAsia="Verdana" w:cs="Verdana"/>
                <w:sz w:val="22"/>
              </w:rPr>
            </w:pPr>
          </w:p>
        </w:tc>
        <w:tc>
          <w:tcPr>
            <w:tcW w:w="7910" w:type="dxa"/>
            <w:tcBorders>
              <w:left w:val="single" w:sz="18" w:space="0" w:color="385D89"/>
            </w:tcBorders>
          </w:tcPr>
          <w:p w14:paraId="1C355A17" w14:textId="77777777" w:rsidR="009A5C99" w:rsidRPr="0044328B" w:rsidRDefault="009A5C99" w:rsidP="009A5C99">
            <w:pPr>
              <w:widowControl w:val="0"/>
              <w:autoSpaceDE w:val="0"/>
              <w:autoSpaceDN w:val="0"/>
              <w:spacing w:line="242" w:lineRule="exact"/>
              <w:ind w:left="104" w:right="196"/>
              <w:rPr>
                <w:rFonts w:eastAsia="Verdana" w:cs="Verdana"/>
                <w:sz w:val="20"/>
              </w:rPr>
            </w:pPr>
            <w:r w:rsidRPr="0044328B">
              <w:rPr>
                <w:rFonts w:eastAsia="Verdana" w:cs="Verdana"/>
                <w:sz w:val="20"/>
              </w:rPr>
              <w:t>There</w:t>
            </w:r>
            <w:r w:rsidRPr="0044328B">
              <w:rPr>
                <w:rFonts w:eastAsia="Verdana" w:cs="Verdana"/>
                <w:spacing w:val="-4"/>
                <w:sz w:val="20"/>
              </w:rPr>
              <w:t xml:space="preserve"> </w:t>
            </w:r>
            <w:r w:rsidRPr="0044328B">
              <w:rPr>
                <w:rFonts w:eastAsia="Verdana" w:cs="Verdana"/>
                <w:sz w:val="20"/>
              </w:rPr>
              <w:t>is</w:t>
            </w:r>
            <w:r w:rsidRPr="0044328B">
              <w:rPr>
                <w:rFonts w:eastAsia="Verdana" w:cs="Verdana"/>
                <w:spacing w:val="-3"/>
                <w:sz w:val="20"/>
              </w:rPr>
              <w:t xml:space="preserve"> </w:t>
            </w:r>
            <w:r w:rsidRPr="0044328B">
              <w:rPr>
                <w:rFonts w:eastAsia="Verdana" w:cs="Verdana"/>
                <w:sz w:val="20"/>
              </w:rPr>
              <w:t>little</w:t>
            </w:r>
            <w:r w:rsidRPr="0044328B">
              <w:rPr>
                <w:rFonts w:eastAsia="Verdana" w:cs="Verdana"/>
                <w:spacing w:val="-4"/>
                <w:sz w:val="20"/>
              </w:rPr>
              <w:t xml:space="preserve"> </w:t>
            </w:r>
            <w:r w:rsidRPr="0044328B">
              <w:rPr>
                <w:rFonts w:eastAsia="Verdana" w:cs="Verdana"/>
                <w:sz w:val="20"/>
              </w:rPr>
              <w:t>confidence</w:t>
            </w:r>
            <w:r w:rsidRPr="0044328B">
              <w:rPr>
                <w:rFonts w:eastAsia="Verdana" w:cs="Verdana"/>
                <w:spacing w:val="-4"/>
                <w:sz w:val="20"/>
              </w:rPr>
              <w:t xml:space="preserve"> </w:t>
            </w:r>
            <w:r w:rsidRPr="0044328B">
              <w:rPr>
                <w:rFonts w:eastAsia="Verdana" w:cs="Verdana"/>
                <w:sz w:val="20"/>
              </w:rPr>
              <w:t>that</w:t>
            </w:r>
            <w:r w:rsidRPr="0044328B">
              <w:rPr>
                <w:rFonts w:eastAsia="Verdana" w:cs="Verdana"/>
                <w:spacing w:val="-4"/>
                <w:sz w:val="20"/>
              </w:rPr>
              <w:t xml:space="preserve"> </w:t>
            </w:r>
            <w:r w:rsidRPr="0044328B">
              <w:rPr>
                <w:rFonts w:eastAsia="Verdana" w:cs="Verdana"/>
                <w:sz w:val="20"/>
              </w:rPr>
              <w:t>the</w:t>
            </w:r>
            <w:r w:rsidRPr="0044328B">
              <w:rPr>
                <w:rFonts w:eastAsia="Verdana" w:cs="Verdana"/>
                <w:spacing w:val="-3"/>
                <w:sz w:val="20"/>
              </w:rPr>
              <w:t xml:space="preserve"> </w:t>
            </w:r>
            <w:r w:rsidRPr="0044328B">
              <w:rPr>
                <w:rFonts w:eastAsia="Verdana" w:cs="Verdana"/>
                <w:sz w:val="20"/>
              </w:rPr>
              <w:t>controls</w:t>
            </w:r>
            <w:r w:rsidRPr="0044328B">
              <w:rPr>
                <w:rFonts w:eastAsia="Verdana" w:cs="Verdana"/>
                <w:spacing w:val="-3"/>
                <w:sz w:val="20"/>
              </w:rPr>
              <w:t xml:space="preserve"> </w:t>
            </w:r>
            <w:r w:rsidRPr="0044328B">
              <w:rPr>
                <w:rFonts w:eastAsia="Verdana" w:cs="Verdana"/>
                <w:sz w:val="20"/>
              </w:rPr>
              <w:t>and</w:t>
            </w:r>
            <w:r w:rsidRPr="0044328B">
              <w:rPr>
                <w:rFonts w:eastAsia="Verdana" w:cs="Verdana"/>
                <w:spacing w:val="-4"/>
                <w:sz w:val="20"/>
              </w:rPr>
              <w:t xml:space="preserve"> </w:t>
            </w:r>
            <w:r w:rsidRPr="0044328B">
              <w:rPr>
                <w:rFonts w:eastAsia="Verdana" w:cs="Verdana"/>
                <w:sz w:val="20"/>
              </w:rPr>
              <w:t>actions</w:t>
            </w:r>
            <w:r w:rsidRPr="0044328B">
              <w:rPr>
                <w:rFonts w:eastAsia="Verdana" w:cs="Verdana"/>
                <w:spacing w:val="-3"/>
                <w:sz w:val="20"/>
              </w:rPr>
              <w:t xml:space="preserve"> </w:t>
            </w:r>
            <w:r w:rsidRPr="0044328B">
              <w:rPr>
                <w:rFonts w:eastAsia="Verdana" w:cs="Verdana"/>
                <w:sz w:val="20"/>
              </w:rPr>
              <w:t>identified</w:t>
            </w:r>
            <w:r w:rsidRPr="0044328B">
              <w:rPr>
                <w:rFonts w:eastAsia="Verdana" w:cs="Verdana"/>
                <w:spacing w:val="-3"/>
                <w:sz w:val="20"/>
              </w:rPr>
              <w:t xml:space="preserve"> </w:t>
            </w:r>
            <w:r w:rsidRPr="0044328B">
              <w:rPr>
                <w:rFonts w:eastAsia="Verdana" w:cs="Verdana"/>
                <w:sz w:val="20"/>
              </w:rPr>
              <w:t>will</w:t>
            </w:r>
            <w:r w:rsidRPr="0044328B">
              <w:rPr>
                <w:rFonts w:eastAsia="Verdana" w:cs="Verdana"/>
                <w:spacing w:val="-67"/>
                <w:sz w:val="20"/>
              </w:rPr>
              <w:t xml:space="preserve"> </w:t>
            </w:r>
            <w:r w:rsidRPr="0044328B">
              <w:rPr>
                <w:rFonts w:eastAsia="Verdana" w:cs="Verdana"/>
                <w:sz w:val="20"/>
              </w:rPr>
              <w:t>mitigate</w:t>
            </w:r>
            <w:r w:rsidRPr="0044328B">
              <w:rPr>
                <w:rFonts w:eastAsia="Verdana" w:cs="Verdana"/>
                <w:spacing w:val="-1"/>
                <w:sz w:val="20"/>
              </w:rPr>
              <w:t xml:space="preserve"> </w:t>
            </w:r>
            <w:r w:rsidRPr="0044328B">
              <w:rPr>
                <w:rFonts w:eastAsia="Verdana" w:cs="Verdana"/>
                <w:sz w:val="20"/>
              </w:rPr>
              <w:t>the risk to the</w:t>
            </w:r>
            <w:r w:rsidRPr="0044328B">
              <w:rPr>
                <w:rFonts w:eastAsia="Verdana" w:cs="Verdana"/>
                <w:spacing w:val="-2"/>
                <w:sz w:val="20"/>
              </w:rPr>
              <w:t xml:space="preserve"> </w:t>
            </w:r>
            <w:r w:rsidRPr="0044328B">
              <w:rPr>
                <w:rFonts w:eastAsia="Verdana" w:cs="Verdana"/>
                <w:sz w:val="20"/>
              </w:rPr>
              <w:t>required</w:t>
            </w:r>
            <w:r w:rsidRPr="0044328B">
              <w:rPr>
                <w:rFonts w:eastAsia="Verdana" w:cs="Verdana"/>
                <w:spacing w:val="-1"/>
                <w:sz w:val="20"/>
              </w:rPr>
              <w:t xml:space="preserve"> </w:t>
            </w:r>
            <w:r w:rsidRPr="0044328B">
              <w:rPr>
                <w:rFonts w:eastAsia="Verdana" w:cs="Verdana"/>
                <w:sz w:val="20"/>
              </w:rPr>
              <w:t>level.</w:t>
            </w:r>
          </w:p>
        </w:tc>
      </w:tr>
    </w:tbl>
    <w:p w14:paraId="07649AF5" w14:textId="77777777" w:rsidR="009A5C99" w:rsidRPr="0044328B" w:rsidRDefault="009A5C99" w:rsidP="009A5C99">
      <w:pPr>
        <w:widowControl w:val="0"/>
        <w:autoSpaceDE w:val="0"/>
        <w:autoSpaceDN w:val="0"/>
        <w:spacing w:before="1"/>
        <w:rPr>
          <w:rFonts w:eastAsia="Verdana" w:cs="Verdana"/>
          <w:szCs w:val="24"/>
        </w:rPr>
      </w:pPr>
    </w:p>
    <w:p w14:paraId="39995583" w14:textId="77777777" w:rsidR="009A5C99" w:rsidRDefault="009A5C99" w:rsidP="009A5C99"/>
    <w:p w14:paraId="4A725862" w14:textId="77777777" w:rsidR="009A5C99" w:rsidRPr="00F13030" w:rsidRDefault="009A5C99" w:rsidP="009A5C99">
      <w:pPr>
        <w:numPr>
          <w:ilvl w:val="0"/>
          <w:numId w:val="2"/>
        </w:numPr>
        <w:rPr>
          <w:b/>
          <w:bCs/>
        </w:rPr>
      </w:pPr>
      <w:r w:rsidRPr="00F13030">
        <w:rPr>
          <w:b/>
          <w:bCs/>
        </w:rPr>
        <w:t>Risk Appetite</w:t>
      </w:r>
    </w:p>
    <w:p w14:paraId="1FB5809E" w14:textId="77777777" w:rsidR="009A5C99" w:rsidRPr="00F13030" w:rsidRDefault="009A5C99" w:rsidP="009A5C99"/>
    <w:p w14:paraId="1113FF26" w14:textId="77777777" w:rsidR="009A5C99" w:rsidRPr="00F13030" w:rsidRDefault="009A5C99" w:rsidP="009A5C99">
      <w:r w:rsidRPr="00F13030">
        <w:t xml:space="preserve">The strategic themes have been assessed with a risk appetite being approved for each. All strategic and corporate risks have been assessed against the risk appetite. The table below demonstrates the risk appetite by strategic theme. </w:t>
      </w:r>
    </w:p>
    <w:p w14:paraId="47300ECD" w14:textId="77777777" w:rsidR="009A5C99" w:rsidRPr="00F13030" w:rsidRDefault="009A5C99" w:rsidP="009A5C99"/>
    <w:tbl>
      <w:tblPr>
        <w:tblStyle w:val="TableGrid"/>
        <w:tblW w:w="0" w:type="auto"/>
        <w:tblLook w:val="04A0" w:firstRow="1" w:lastRow="0" w:firstColumn="1" w:lastColumn="0" w:noHBand="0" w:noVBand="1"/>
      </w:tblPr>
      <w:tblGrid>
        <w:gridCol w:w="7933"/>
        <w:gridCol w:w="1836"/>
      </w:tblGrid>
      <w:tr w:rsidR="009A5C99" w:rsidRPr="00F13030" w14:paraId="12DCE6A6" w14:textId="77777777" w:rsidTr="009A5C99">
        <w:tc>
          <w:tcPr>
            <w:tcW w:w="793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9B49894" w14:textId="77777777" w:rsidR="009A5C99" w:rsidRPr="00F13030" w:rsidRDefault="009A5C99" w:rsidP="009A5C99">
            <w:pPr>
              <w:rPr>
                <w:b/>
              </w:rPr>
            </w:pPr>
            <w:r w:rsidRPr="00F13030">
              <w:rPr>
                <w:b/>
              </w:rPr>
              <w:t>Strategic Theme</w:t>
            </w:r>
          </w:p>
        </w:tc>
        <w:tc>
          <w:tcPr>
            <w:tcW w:w="183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04E31E5" w14:textId="77777777" w:rsidR="009A5C99" w:rsidRPr="00F13030" w:rsidRDefault="009A5C99" w:rsidP="009A5C99">
            <w:pPr>
              <w:rPr>
                <w:b/>
              </w:rPr>
            </w:pPr>
            <w:r w:rsidRPr="00F13030">
              <w:rPr>
                <w:b/>
              </w:rPr>
              <w:t>Appetite Descriptor</w:t>
            </w:r>
          </w:p>
        </w:tc>
      </w:tr>
      <w:tr w:rsidR="009A5C99" w:rsidRPr="00F13030" w14:paraId="27B3A4B7" w14:textId="77777777" w:rsidTr="009A5C99">
        <w:tc>
          <w:tcPr>
            <w:tcW w:w="7933" w:type="dxa"/>
            <w:tcBorders>
              <w:top w:val="single" w:sz="4" w:space="0" w:color="auto"/>
              <w:left w:val="single" w:sz="4" w:space="0" w:color="auto"/>
              <w:bottom w:val="single" w:sz="4" w:space="0" w:color="auto"/>
              <w:right w:val="single" w:sz="4" w:space="0" w:color="auto"/>
            </w:tcBorders>
            <w:hideMark/>
          </w:tcPr>
          <w:p w14:paraId="3F893A95" w14:textId="77777777" w:rsidR="009A5C99" w:rsidRPr="00F13030" w:rsidRDefault="009A5C99" w:rsidP="009A5C99">
            <w:r w:rsidRPr="00F13030">
              <w:t>Enabling better population health and reducing health inequalities through preventative and sustainable measures</w:t>
            </w:r>
          </w:p>
        </w:tc>
        <w:tc>
          <w:tcPr>
            <w:tcW w:w="1836" w:type="dxa"/>
            <w:tcBorders>
              <w:top w:val="single" w:sz="4" w:space="0" w:color="auto"/>
              <w:left w:val="single" w:sz="4" w:space="0" w:color="auto"/>
              <w:bottom w:val="single" w:sz="4" w:space="0" w:color="auto"/>
              <w:right w:val="single" w:sz="4" w:space="0" w:color="auto"/>
            </w:tcBorders>
            <w:hideMark/>
          </w:tcPr>
          <w:p w14:paraId="0E993C86" w14:textId="77777777" w:rsidR="009A5C99" w:rsidRPr="00F13030" w:rsidRDefault="009A5C99" w:rsidP="009A5C99">
            <w:r w:rsidRPr="00F13030">
              <w:t>Willing</w:t>
            </w:r>
          </w:p>
        </w:tc>
      </w:tr>
      <w:tr w:rsidR="009A5C99" w:rsidRPr="00F13030" w14:paraId="3E479D31" w14:textId="77777777" w:rsidTr="009A5C99">
        <w:tc>
          <w:tcPr>
            <w:tcW w:w="7933" w:type="dxa"/>
            <w:tcBorders>
              <w:top w:val="single" w:sz="4" w:space="0" w:color="auto"/>
              <w:left w:val="single" w:sz="4" w:space="0" w:color="auto"/>
              <w:bottom w:val="single" w:sz="4" w:space="0" w:color="auto"/>
              <w:right w:val="single" w:sz="4" w:space="0" w:color="auto"/>
            </w:tcBorders>
            <w:hideMark/>
          </w:tcPr>
          <w:p w14:paraId="31C2D7A0" w14:textId="77777777" w:rsidR="009A5C99" w:rsidRPr="00F13030" w:rsidRDefault="009A5C99" w:rsidP="009A5C99">
            <w:r w:rsidRPr="00F13030">
              <w:t>Delivering excellent services for population screening programmes, health protection and infection</w:t>
            </w:r>
          </w:p>
        </w:tc>
        <w:tc>
          <w:tcPr>
            <w:tcW w:w="1836" w:type="dxa"/>
            <w:tcBorders>
              <w:top w:val="single" w:sz="4" w:space="0" w:color="auto"/>
              <w:left w:val="single" w:sz="4" w:space="0" w:color="auto"/>
              <w:bottom w:val="single" w:sz="4" w:space="0" w:color="auto"/>
              <w:right w:val="single" w:sz="4" w:space="0" w:color="auto"/>
            </w:tcBorders>
            <w:hideMark/>
          </w:tcPr>
          <w:p w14:paraId="1AD6D21F" w14:textId="77777777" w:rsidR="009A5C99" w:rsidRPr="00F13030" w:rsidRDefault="009A5C99" w:rsidP="009A5C99">
            <w:r w:rsidRPr="00F13030">
              <w:t>Cautious</w:t>
            </w:r>
          </w:p>
        </w:tc>
      </w:tr>
      <w:tr w:rsidR="009A5C99" w:rsidRPr="00F13030" w14:paraId="0E6EE24A" w14:textId="77777777" w:rsidTr="009A5C99">
        <w:tc>
          <w:tcPr>
            <w:tcW w:w="7933" w:type="dxa"/>
            <w:tcBorders>
              <w:top w:val="single" w:sz="4" w:space="0" w:color="auto"/>
              <w:left w:val="single" w:sz="4" w:space="0" w:color="auto"/>
              <w:bottom w:val="single" w:sz="4" w:space="0" w:color="auto"/>
              <w:right w:val="single" w:sz="4" w:space="0" w:color="auto"/>
            </w:tcBorders>
            <w:hideMark/>
          </w:tcPr>
          <w:p w14:paraId="5C6647E7" w14:textId="77777777" w:rsidR="009A5C99" w:rsidRPr="00F13030" w:rsidRDefault="009A5C99" w:rsidP="009A5C99">
            <w:r w:rsidRPr="00F13030">
              <w:t>Supporting improvements in the quality and safety of health and care services</w:t>
            </w:r>
          </w:p>
        </w:tc>
        <w:tc>
          <w:tcPr>
            <w:tcW w:w="1836" w:type="dxa"/>
            <w:tcBorders>
              <w:top w:val="single" w:sz="4" w:space="0" w:color="auto"/>
              <w:left w:val="single" w:sz="4" w:space="0" w:color="auto"/>
              <w:bottom w:val="single" w:sz="4" w:space="0" w:color="auto"/>
              <w:right w:val="single" w:sz="4" w:space="0" w:color="auto"/>
            </w:tcBorders>
            <w:hideMark/>
          </w:tcPr>
          <w:p w14:paraId="5AE1405C" w14:textId="77777777" w:rsidR="009A5C99" w:rsidRPr="00F13030" w:rsidRDefault="009A5C99" w:rsidP="009A5C99">
            <w:r w:rsidRPr="00F13030">
              <w:t>Keen</w:t>
            </w:r>
          </w:p>
        </w:tc>
      </w:tr>
      <w:tr w:rsidR="009A5C99" w:rsidRPr="00F13030" w14:paraId="093CF147" w14:textId="77777777" w:rsidTr="009A5C99">
        <w:tc>
          <w:tcPr>
            <w:tcW w:w="7933" w:type="dxa"/>
            <w:tcBorders>
              <w:top w:val="single" w:sz="4" w:space="0" w:color="auto"/>
              <w:left w:val="single" w:sz="4" w:space="0" w:color="auto"/>
              <w:bottom w:val="single" w:sz="4" w:space="0" w:color="auto"/>
              <w:right w:val="single" w:sz="4" w:space="0" w:color="auto"/>
            </w:tcBorders>
            <w:hideMark/>
          </w:tcPr>
          <w:p w14:paraId="4EEBF4B1" w14:textId="77777777" w:rsidR="009A5C99" w:rsidRPr="00F13030" w:rsidRDefault="009A5C99" w:rsidP="009A5C99">
            <w:r w:rsidRPr="00F13030">
              <w:t>Maximising the use of digital, data and evidence to improve population health</w:t>
            </w:r>
          </w:p>
        </w:tc>
        <w:tc>
          <w:tcPr>
            <w:tcW w:w="1836" w:type="dxa"/>
            <w:tcBorders>
              <w:top w:val="single" w:sz="4" w:space="0" w:color="auto"/>
              <w:left w:val="single" w:sz="4" w:space="0" w:color="auto"/>
              <w:bottom w:val="single" w:sz="4" w:space="0" w:color="auto"/>
              <w:right w:val="single" w:sz="4" w:space="0" w:color="auto"/>
            </w:tcBorders>
            <w:hideMark/>
          </w:tcPr>
          <w:p w14:paraId="4D1712E6" w14:textId="77777777" w:rsidR="009A5C99" w:rsidRPr="00F13030" w:rsidRDefault="009A5C99" w:rsidP="009A5C99">
            <w:r w:rsidRPr="00F13030">
              <w:t>Willing</w:t>
            </w:r>
          </w:p>
        </w:tc>
      </w:tr>
      <w:tr w:rsidR="009A5C99" w:rsidRPr="00F13030" w14:paraId="630EE7C8" w14:textId="77777777" w:rsidTr="009A5C99">
        <w:tc>
          <w:tcPr>
            <w:tcW w:w="7933" w:type="dxa"/>
            <w:tcBorders>
              <w:top w:val="single" w:sz="4" w:space="0" w:color="auto"/>
              <w:left w:val="single" w:sz="4" w:space="0" w:color="auto"/>
              <w:bottom w:val="single" w:sz="4" w:space="0" w:color="auto"/>
              <w:right w:val="single" w:sz="4" w:space="0" w:color="auto"/>
            </w:tcBorders>
            <w:hideMark/>
          </w:tcPr>
          <w:p w14:paraId="0200DD9B" w14:textId="77777777" w:rsidR="009A5C99" w:rsidRPr="00F13030" w:rsidRDefault="009A5C99" w:rsidP="009A5C99">
            <w:r w:rsidRPr="00F13030">
              <w:t>Enabling the successful delivery of the plan</w:t>
            </w:r>
          </w:p>
        </w:tc>
        <w:tc>
          <w:tcPr>
            <w:tcW w:w="1836" w:type="dxa"/>
            <w:tcBorders>
              <w:top w:val="single" w:sz="4" w:space="0" w:color="auto"/>
              <w:left w:val="single" w:sz="4" w:space="0" w:color="auto"/>
              <w:bottom w:val="single" w:sz="4" w:space="0" w:color="auto"/>
              <w:right w:val="single" w:sz="4" w:space="0" w:color="auto"/>
            </w:tcBorders>
            <w:hideMark/>
          </w:tcPr>
          <w:p w14:paraId="7642283F" w14:textId="77777777" w:rsidR="009A5C99" w:rsidRPr="00F13030" w:rsidRDefault="009A5C99" w:rsidP="009A5C99">
            <w:r w:rsidRPr="00F13030">
              <w:t>Willing</w:t>
            </w:r>
          </w:p>
        </w:tc>
      </w:tr>
    </w:tbl>
    <w:p w14:paraId="7E7C6BB7" w14:textId="77777777" w:rsidR="009A5C99" w:rsidRDefault="009A5C99" w:rsidP="009A5C99">
      <w:pPr>
        <w:pStyle w:val="Heading1"/>
        <w:numPr>
          <w:ilvl w:val="0"/>
          <w:numId w:val="2"/>
        </w:numPr>
        <w:ind w:left="567" w:hanging="567"/>
        <w:rPr>
          <w:szCs w:val="24"/>
        </w:rPr>
      </w:pPr>
      <w:r>
        <w:rPr>
          <w:szCs w:val="24"/>
        </w:rPr>
        <w:t>Strategic Risks</w:t>
      </w:r>
    </w:p>
    <w:p w14:paraId="063D5055" w14:textId="77777777" w:rsidR="009A5C99" w:rsidRDefault="009A5C99" w:rsidP="009A5C99"/>
    <w:p w14:paraId="793F824D" w14:textId="77777777" w:rsidR="009A5C99" w:rsidRDefault="009A5C99" w:rsidP="009A5C99">
      <w:r>
        <w:t>The Strategic Risk Register is the vehicle through which the Board takes assurance that it has a clear understanding of the strategic risks facing the organisation in the delivery of its strategic objectives, together with the severity and the impacts if the risks are realised.</w:t>
      </w:r>
    </w:p>
    <w:p w14:paraId="1476B15F" w14:textId="77777777" w:rsidR="009A5C99" w:rsidRDefault="009A5C99" w:rsidP="009A5C99"/>
    <w:p w14:paraId="287F447B" w14:textId="0E653DDD" w:rsidR="009A5C99" w:rsidRDefault="009A5C99" w:rsidP="009A5C99">
      <w:r w:rsidRPr="00EE7233">
        <w:t>An assessment of each of the six strategic risks by the respective risk owner is shown below, along with the current Delivery Confidence Assessment</w:t>
      </w:r>
      <w:r>
        <w:t>.</w:t>
      </w:r>
      <w:r w:rsidR="009965D9">
        <w:t xml:space="preserve"> The assessment also includes a summary of which Committee has delegated responsibility for the risk and what activity the Committee has undertaken since the last time the Board received the report. </w:t>
      </w:r>
      <w:r>
        <w:t>The full risks are provided in Appendix 1 and 2.</w:t>
      </w:r>
    </w:p>
    <w:p w14:paraId="3572FAA6" w14:textId="4EFC3CA7" w:rsidR="009A5C99" w:rsidRDefault="009A5C99" w:rsidP="009A5C99"/>
    <w:p w14:paraId="525FC3BA" w14:textId="77777777" w:rsidR="000B3826" w:rsidRPr="000B3826" w:rsidRDefault="000B3826" w:rsidP="000B3826">
      <w:pPr>
        <w:numPr>
          <w:ilvl w:val="1"/>
          <w:numId w:val="29"/>
        </w:numPr>
        <w:rPr>
          <w:b/>
        </w:rPr>
      </w:pPr>
      <w:r w:rsidRPr="000B3826">
        <w:rPr>
          <w:b/>
        </w:rPr>
        <w:t>Risk 1</w:t>
      </w:r>
    </w:p>
    <w:p w14:paraId="3EE49B33" w14:textId="77777777" w:rsidR="000B3826" w:rsidRPr="000B3826" w:rsidRDefault="000B3826" w:rsidP="000B3826"/>
    <w:p w14:paraId="3DC5DC23" w14:textId="77777777" w:rsidR="004972FA" w:rsidRDefault="004972FA" w:rsidP="004972FA">
      <w:r>
        <w:t>Following the revisions to the Long Term Strategy, the Executive Sponsor is confident that the current and emerging threats have been considered and incorporated into the Long Term Strategy. The risk continues to be monitored and tolerated and we remain alert to any new emerging threats.</w:t>
      </w:r>
    </w:p>
    <w:p w14:paraId="161FC748" w14:textId="77777777" w:rsidR="00A9432D" w:rsidRPr="000B3826" w:rsidRDefault="00A9432D" w:rsidP="000B3826"/>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4321988E"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EE32D9" w14:textId="77777777" w:rsidR="000B3826" w:rsidRPr="000B3826" w:rsidRDefault="000B3826" w:rsidP="000B3826">
            <w:bookmarkStart w:id="6" w:name="Risk1"/>
            <w:bookmarkEnd w:id="6"/>
            <w:r w:rsidRPr="000B3826">
              <w:rPr>
                <w:b/>
              </w:rPr>
              <w:t>Risk Description</w:t>
            </w:r>
          </w:p>
        </w:tc>
      </w:tr>
      <w:tr w:rsidR="000B3826" w:rsidRPr="000B3826" w14:paraId="73B6689C"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7AE664D0" w14:textId="77777777" w:rsidR="000B3826" w:rsidRPr="000B3826" w:rsidRDefault="000B3826" w:rsidP="000B3826">
            <w:r w:rsidRPr="000B3826">
              <w:t>There is a risk that Public Health Wales will not be sufficiently focused, agile and responsive in discharging our functions, caused by the unpredictable and changing nature of the current and emerging geopolitical, socio-economic and health threats, resulting in an inability to tackle the population health challenges in a sustainable way. </w:t>
            </w:r>
          </w:p>
        </w:tc>
      </w:tr>
      <w:tr w:rsidR="000B3826" w:rsidRPr="000B3826" w14:paraId="0C8DBF6E"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D81BFD"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8B6815D" w14:textId="77777777" w:rsidR="000B3826" w:rsidRPr="000B3826" w:rsidRDefault="000B3826" w:rsidP="000B3826">
            <w:r w:rsidRPr="000B3826">
              <w:rPr>
                <w:b/>
              </w:rPr>
              <w:t>Proposal for de-escalation or removal*</w:t>
            </w:r>
          </w:p>
        </w:tc>
      </w:tr>
      <w:tr w:rsidR="000B3826" w:rsidRPr="000B3826" w14:paraId="353703A0" w14:textId="77777777" w:rsidTr="00E12DA1">
        <w:tc>
          <w:tcPr>
            <w:tcW w:w="48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34F58F24" w14:textId="77777777" w:rsidR="000B3826" w:rsidRPr="00E12DA1" w:rsidRDefault="000B3826" w:rsidP="000B3826">
            <w:r w:rsidRPr="00E12DA1">
              <w:t>Willing</w:t>
            </w:r>
          </w:p>
        </w:tc>
        <w:tc>
          <w:tcPr>
            <w:tcW w:w="4891" w:type="dxa"/>
            <w:gridSpan w:val="4"/>
            <w:tcBorders>
              <w:top w:val="single" w:sz="4" w:space="0" w:color="auto"/>
              <w:left w:val="single" w:sz="4" w:space="0" w:color="auto"/>
              <w:bottom w:val="single" w:sz="4" w:space="0" w:color="auto"/>
              <w:right w:val="single" w:sz="4" w:space="0" w:color="auto"/>
            </w:tcBorders>
            <w:shd w:val="clear" w:color="auto" w:fill="auto"/>
            <w:hideMark/>
          </w:tcPr>
          <w:p w14:paraId="4B812A0D" w14:textId="77777777" w:rsidR="000B3826" w:rsidRPr="00E12DA1" w:rsidRDefault="000B3826" w:rsidP="000B3826">
            <w:r w:rsidRPr="00E12DA1">
              <w:t>Not Applicable</w:t>
            </w:r>
          </w:p>
        </w:tc>
      </w:tr>
      <w:tr w:rsidR="000B3826" w:rsidRPr="000B3826" w14:paraId="0B684E64"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A92CEDE"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D16E7E7" w14:textId="47198349" w:rsidR="000B3826" w:rsidRPr="000B3826" w:rsidRDefault="000B3826" w:rsidP="00D2033C">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2CB46CF" w14:textId="77777777" w:rsidR="000B3826" w:rsidRPr="000B3826" w:rsidRDefault="000B3826" w:rsidP="000B3826">
            <w:pPr>
              <w:rPr>
                <w:b/>
              </w:rPr>
            </w:pPr>
            <w:r w:rsidRPr="000B3826">
              <w:rPr>
                <w:b/>
              </w:rPr>
              <w:t>Present Score</w:t>
            </w:r>
          </w:p>
        </w:tc>
      </w:tr>
      <w:tr w:rsidR="000B3826" w:rsidRPr="000B3826" w14:paraId="50A5D01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3B9407FA" w14:textId="77777777" w:rsidR="000B3826" w:rsidRPr="000B3826" w:rsidRDefault="000B3826" w:rsidP="000B3826">
            <w:r w:rsidRPr="000B3826">
              <w:t xml:space="preserve">Inherent </w:t>
            </w:r>
          </w:p>
        </w:tc>
        <w:tc>
          <w:tcPr>
            <w:tcW w:w="1276" w:type="dxa"/>
            <w:tcBorders>
              <w:top w:val="single" w:sz="4" w:space="0" w:color="auto"/>
              <w:left w:val="single" w:sz="4" w:space="0" w:color="auto"/>
              <w:bottom w:val="single" w:sz="4" w:space="0" w:color="auto"/>
              <w:right w:val="single" w:sz="4" w:space="0" w:color="auto"/>
            </w:tcBorders>
          </w:tcPr>
          <w:p w14:paraId="3902DDC2" w14:textId="77777777" w:rsidR="000B3826" w:rsidRPr="000B3826" w:rsidRDefault="000B3826" w:rsidP="000B3826">
            <w:r w:rsidRPr="000B3826">
              <w:t>4</w:t>
            </w:r>
          </w:p>
        </w:tc>
        <w:tc>
          <w:tcPr>
            <w:tcW w:w="1276" w:type="dxa"/>
            <w:tcBorders>
              <w:top w:val="single" w:sz="4" w:space="0" w:color="auto"/>
              <w:left w:val="single" w:sz="4" w:space="0" w:color="auto"/>
              <w:bottom w:val="single" w:sz="4" w:space="0" w:color="auto"/>
              <w:right w:val="single" w:sz="4" w:space="0" w:color="auto"/>
            </w:tcBorders>
          </w:tcPr>
          <w:p w14:paraId="3E023072"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75095E80" w14:textId="77777777" w:rsidR="000B3826" w:rsidRPr="000B3826" w:rsidRDefault="000B3826" w:rsidP="000B3826">
            <w:r w:rsidRPr="000B3826">
              <w:t>16</w:t>
            </w:r>
          </w:p>
        </w:tc>
        <w:tc>
          <w:tcPr>
            <w:tcW w:w="1230" w:type="dxa"/>
            <w:tcBorders>
              <w:top w:val="single" w:sz="4" w:space="0" w:color="auto"/>
              <w:left w:val="single" w:sz="4" w:space="0" w:color="auto"/>
              <w:bottom w:val="single" w:sz="4" w:space="0" w:color="auto"/>
              <w:right w:val="single" w:sz="4" w:space="0" w:color="auto"/>
            </w:tcBorders>
            <w:hideMark/>
          </w:tcPr>
          <w:p w14:paraId="037B5395" w14:textId="77777777" w:rsidR="000B3826" w:rsidRPr="000B3826" w:rsidRDefault="000B3826" w:rsidP="000B3826">
            <w:r w:rsidRPr="000B3826">
              <w:t>4</w:t>
            </w:r>
          </w:p>
        </w:tc>
        <w:tc>
          <w:tcPr>
            <w:tcW w:w="1230" w:type="dxa"/>
            <w:tcBorders>
              <w:top w:val="single" w:sz="4" w:space="0" w:color="auto"/>
              <w:left w:val="single" w:sz="4" w:space="0" w:color="auto"/>
              <w:bottom w:val="single" w:sz="4" w:space="0" w:color="auto"/>
              <w:right w:val="single" w:sz="4" w:space="0" w:color="auto"/>
            </w:tcBorders>
            <w:hideMark/>
          </w:tcPr>
          <w:p w14:paraId="2D423101"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5F5EBDD7" w14:textId="77777777" w:rsidR="000B3826" w:rsidRPr="000B3826" w:rsidRDefault="000B3826" w:rsidP="000B3826">
            <w:r w:rsidRPr="000B3826">
              <w:t>16</w:t>
            </w:r>
          </w:p>
        </w:tc>
      </w:tr>
      <w:tr w:rsidR="000B3826" w:rsidRPr="000B3826" w14:paraId="100E4393" w14:textId="77777777" w:rsidTr="000721E4">
        <w:tc>
          <w:tcPr>
            <w:tcW w:w="2263" w:type="dxa"/>
            <w:tcBorders>
              <w:top w:val="single" w:sz="4" w:space="0" w:color="auto"/>
              <w:left w:val="single" w:sz="4" w:space="0" w:color="auto"/>
              <w:bottom w:val="single" w:sz="4" w:space="0" w:color="auto"/>
              <w:right w:val="single" w:sz="4" w:space="0" w:color="auto"/>
            </w:tcBorders>
            <w:hideMark/>
          </w:tcPr>
          <w:p w14:paraId="042C431F" w14:textId="77777777" w:rsidR="000B3826" w:rsidRPr="000B3826" w:rsidRDefault="000B3826" w:rsidP="000B3826">
            <w:r w:rsidRPr="000B3826">
              <w:t>Current</w:t>
            </w:r>
          </w:p>
        </w:tc>
        <w:tc>
          <w:tcPr>
            <w:tcW w:w="1276" w:type="dxa"/>
            <w:tcBorders>
              <w:top w:val="single" w:sz="4" w:space="0" w:color="auto"/>
              <w:left w:val="single" w:sz="4" w:space="0" w:color="auto"/>
              <w:bottom w:val="single" w:sz="4" w:space="0" w:color="auto"/>
              <w:right w:val="single" w:sz="4" w:space="0" w:color="auto"/>
            </w:tcBorders>
          </w:tcPr>
          <w:p w14:paraId="3117A40D" w14:textId="77777777" w:rsidR="000B3826" w:rsidRPr="000B3826" w:rsidRDefault="000B3826" w:rsidP="000B3826">
            <w:r w:rsidRPr="000B3826">
              <w:t>4</w:t>
            </w:r>
          </w:p>
        </w:tc>
        <w:tc>
          <w:tcPr>
            <w:tcW w:w="1276" w:type="dxa"/>
            <w:tcBorders>
              <w:top w:val="single" w:sz="4" w:space="0" w:color="auto"/>
              <w:left w:val="single" w:sz="4" w:space="0" w:color="auto"/>
              <w:bottom w:val="single" w:sz="4" w:space="0" w:color="auto"/>
              <w:right w:val="single" w:sz="4" w:space="0" w:color="auto"/>
            </w:tcBorders>
          </w:tcPr>
          <w:p w14:paraId="72FD4B81"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7A468A52" w14:textId="77777777" w:rsidR="000B3826" w:rsidRPr="000B3826" w:rsidRDefault="000B3826" w:rsidP="000B3826">
            <w:r w:rsidRPr="000B3826">
              <w:t>16</w:t>
            </w:r>
          </w:p>
        </w:tc>
        <w:tc>
          <w:tcPr>
            <w:tcW w:w="1230" w:type="dxa"/>
            <w:tcBorders>
              <w:top w:val="single" w:sz="4" w:space="0" w:color="auto"/>
              <w:left w:val="single" w:sz="4" w:space="0" w:color="auto"/>
              <w:bottom w:val="single" w:sz="4" w:space="0" w:color="auto"/>
              <w:right w:val="single" w:sz="4" w:space="0" w:color="auto"/>
            </w:tcBorders>
            <w:hideMark/>
          </w:tcPr>
          <w:p w14:paraId="7F3572BB" w14:textId="73A86255" w:rsidR="000B3826" w:rsidRPr="000B3826" w:rsidRDefault="000721E4" w:rsidP="000B3826">
            <w:r>
              <w:t>3</w:t>
            </w:r>
          </w:p>
        </w:tc>
        <w:tc>
          <w:tcPr>
            <w:tcW w:w="1230" w:type="dxa"/>
            <w:tcBorders>
              <w:top w:val="single" w:sz="4" w:space="0" w:color="auto"/>
              <w:left w:val="single" w:sz="4" w:space="0" w:color="auto"/>
              <w:bottom w:val="single" w:sz="4" w:space="0" w:color="auto"/>
              <w:right w:val="single" w:sz="4" w:space="0" w:color="auto"/>
            </w:tcBorders>
            <w:hideMark/>
          </w:tcPr>
          <w:p w14:paraId="407F7562"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74C6F768" w14:textId="359BFFA5" w:rsidR="000B3826" w:rsidRPr="000B3826" w:rsidRDefault="000721E4" w:rsidP="000B3826">
            <w:r>
              <w:t>12</w:t>
            </w:r>
          </w:p>
        </w:tc>
      </w:tr>
      <w:tr w:rsidR="000B3826" w:rsidRPr="000B3826" w14:paraId="3E07A519"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E431C5F" w14:textId="77777777" w:rsidR="000B3826" w:rsidRPr="000B3826" w:rsidRDefault="000B3826" w:rsidP="000B3826">
            <w:r w:rsidRPr="000B3826">
              <w:t>Target</w:t>
            </w:r>
          </w:p>
        </w:tc>
        <w:tc>
          <w:tcPr>
            <w:tcW w:w="1276" w:type="dxa"/>
            <w:tcBorders>
              <w:top w:val="single" w:sz="4" w:space="0" w:color="auto"/>
              <w:left w:val="single" w:sz="4" w:space="0" w:color="auto"/>
              <w:bottom w:val="single" w:sz="4" w:space="0" w:color="auto"/>
              <w:right w:val="single" w:sz="4" w:space="0" w:color="auto"/>
            </w:tcBorders>
          </w:tcPr>
          <w:p w14:paraId="3FA4244E"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tcPr>
          <w:p w14:paraId="17119C3B"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19A33962" w14:textId="77777777" w:rsidR="000B3826" w:rsidRPr="000B3826" w:rsidRDefault="000B3826" w:rsidP="000B3826">
            <w:r w:rsidRPr="000B3826">
              <w:t>12</w:t>
            </w:r>
          </w:p>
        </w:tc>
        <w:tc>
          <w:tcPr>
            <w:tcW w:w="1230" w:type="dxa"/>
            <w:tcBorders>
              <w:top w:val="single" w:sz="4" w:space="0" w:color="auto"/>
              <w:left w:val="single" w:sz="4" w:space="0" w:color="auto"/>
              <w:bottom w:val="single" w:sz="4" w:space="0" w:color="auto"/>
              <w:right w:val="single" w:sz="4" w:space="0" w:color="auto"/>
            </w:tcBorders>
            <w:hideMark/>
          </w:tcPr>
          <w:p w14:paraId="25DD360D"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326F5535"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7424ACD7" w14:textId="77777777" w:rsidR="000B3826" w:rsidRPr="000B3826" w:rsidRDefault="000B3826" w:rsidP="000B3826">
            <w:r w:rsidRPr="000B3826">
              <w:t>12</w:t>
            </w:r>
          </w:p>
        </w:tc>
      </w:tr>
      <w:tr w:rsidR="000B3826" w:rsidRPr="000B3826" w14:paraId="44CADFFB" w14:textId="77777777" w:rsidTr="00D2033C">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65586A0" w14:textId="6789CAF3" w:rsidR="000B3826" w:rsidRPr="000B3826" w:rsidRDefault="000B3826" w:rsidP="00D2033C">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1A7A18" w14:textId="77777777" w:rsidR="000B3826" w:rsidRPr="000B3826" w:rsidRDefault="000B3826" w:rsidP="000B3826">
            <w:pPr>
              <w:rPr>
                <w:b/>
              </w:rPr>
            </w:pPr>
            <w:r w:rsidRPr="000B3826">
              <w:rPr>
                <w:b/>
              </w:rPr>
              <w:t>Present Live DCA</w:t>
            </w:r>
          </w:p>
        </w:tc>
      </w:tr>
      <w:tr w:rsidR="000B3826" w:rsidRPr="000B3826" w14:paraId="04AA749C" w14:textId="77777777" w:rsidTr="00D2033C">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35FF844A" w14:textId="77777777" w:rsidR="000B3826" w:rsidRPr="000B3826" w:rsidRDefault="000B3826" w:rsidP="000B3826">
            <w:r w:rsidRPr="000B3826">
              <w:t>Amber</w:t>
            </w:r>
          </w:p>
        </w:tc>
        <w:tc>
          <w:tcPr>
            <w:tcW w:w="4967"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2682D823" w14:textId="77777777" w:rsidR="000B3826" w:rsidRPr="000B3826" w:rsidRDefault="000B3826" w:rsidP="000B3826">
            <w:r w:rsidRPr="000B3826">
              <w:t>Amber</w:t>
            </w:r>
          </w:p>
        </w:tc>
      </w:tr>
      <w:tr w:rsidR="000B3826" w:rsidRPr="000B3826" w14:paraId="5FD29926"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A483980" w14:textId="77777777" w:rsidR="000B3826" w:rsidRPr="000B3826" w:rsidRDefault="000B3826" w:rsidP="000B3826">
            <w:pPr>
              <w:rPr>
                <w:b/>
              </w:rPr>
            </w:pPr>
            <w:r w:rsidRPr="000B3826">
              <w:rPr>
                <w:b/>
              </w:rPr>
              <w:t>Executive Sponsor Insight</w:t>
            </w:r>
          </w:p>
        </w:tc>
      </w:tr>
      <w:tr w:rsidR="000B3826" w:rsidRPr="000B3826" w14:paraId="22788C81" w14:textId="77777777" w:rsidTr="00D2033C">
        <w:tc>
          <w:tcPr>
            <w:tcW w:w="9782" w:type="dxa"/>
            <w:gridSpan w:val="8"/>
            <w:tcBorders>
              <w:top w:val="single" w:sz="4" w:space="0" w:color="auto"/>
              <w:left w:val="single" w:sz="4" w:space="0" w:color="auto"/>
              <w:bottom w:val="single" w:sz="4" w:space="0" w:color="auto"/>
              <w:right w:val="single" w:sz="4" w:space="0" w:color="auto"/>
            </w:tcBorders>
          </w:tcPr>
          <w:p w14:paraId="2D4A22BE" w14:textId="368C6D28" w:rsidR="000B3826" w:rsidRDefault="000B3826" w:rsidP="000B3826"/>
          <w:p w14:paraId="5E0ECD23" w14:textId="60565A11" w:rsidR="00A9432D" w:rsidRDefault="00A9432D" w:rsidP="00E12DA1">
            <w:r>
              <w:t xml:space="preserve">Ministerial approval of the Board approved IMTP was received.  </w:t>
            </w:r>
          </w:p>
          <w:p w14:paraId="598817FB" w14:textId="77777777" w:rsidR="00A9432D" w:rsidRDefault="00A9432D" w:rsidP="00E12DA1"/>
          <w:p w14:paraId="02F2DC91" w14:textId="5653FF87" w:rsidR="001F1B34" w:rsidRPr="00A624A2" w:rsidRDefault="001F1B34" w:rsidP="001F1B34">
            <w:r>
              <w:t xml:space="preserve">The </w:t>
            </w:r>
            <w:r w:rsidRPr="00A624A2">
              <w:t xml:space="preserve">organisation is managing the risk by continuing to monitor the impact of the IMTP to respond to potential emerging geopolitical, socio-economic and health threats. </w:t>
            </w:r>
            <w:r>
              <w:t>The development and implementation of a</w:t>
            </w:r>
            <w:r w:rsidRPr="00A624A2">
              <w:t xml:space="preserve"> key data dashboard to monitor the health of the nation provide</w:t>
            </w:r>
            <w:r>
              <w:t>s</w:t>
            </w:r>
            <w:r w:rsidRPr="00A624A2">
              <w:t xml:space="preserve"> information to inform any new or additional interventions to respond to emerging health and wellbeing needs. We </w:t>
            </w:r>
            <w:r>
              <w:t xml:space="preserve">are committed to developing a public health approach to the cost of living crisis through a </w:t>
            </w:r>
            <w:r w:rsidRPr="00A624A2">
              <w:t xml:space="preserve">coordinated </w:t>
            </w:r>
            <w:r>
              <w:t xml:space="preserve">approach </w:t>
            </w:r>
            <w:r w:rsidRPr="00A624A2">
              <w:t>across the organisation and consider</w:t>
            </w:r>
            <w:r>
              <w:t>ing</w:t>
            </w:r>
            <w:r w:rsidRPr="00A624A2">
              <w:t xml:space="preserve"> how we best support our own staff.  </w:t>
            </w:r>
            <w:r>
              <w:t>Actions remain on track with updates provided to reflect the development of the Long Term Strategy and senior Public Health Wales representation on Expert Panel reporting to Cabinet and IANPHI in relation to the conflict in Ukraine</w:t>
            </w:r>
            <w:r w:rsidRPr="00A624A2">
              <w:t>.</w:t>
            </w:r>
          </w:p>
          <w:p w14:paraId="42F0945D" w14:textId="77777777" w:rsidR="000B3826" w:rsidRPr="000B3826" w:rsidRDefault="000B3826" w:rsidP="000B3826"/>
        </w:tc>
      </w:tr>
      <w:tr w:rsidR="000B3826" w:rsidRPr="000B3826" w14:paraId="3A944CAF"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B2E6BE" w14:textId="77777777" w:rsidR="000B3826" w:rsidRPr="000B3826" w:rsidRDefault="000B3826" w:rsidP="000B3826">
            <w:pPr>
              <w:rPr>
                <w:b/>
              </w:rPr>
            </w:pPr>
            <w:r w:rsidRPr="000B3826">
              <w:rPr>
                <w:b/>
              </w:rPr>
              <w:t xml:space="preserve">Overview of changes to controls/actions </w:t>
            </w:r>
          </w:p>
          <w:p w14:paraId="3B4AAB24" w14:textId="77777777" w:rsidR="000B3826" w:rsidRPr="000B3826" w:rsidRDefault="000B3826" w:rsidP="000B3826">
            <w:r w:rsidRPr="000B3826">
              <w:t>(text marked in red in full risk which can be found in Appendix 1.</w:t>
            </w:r>
          </w:p>
        </w:tc>
      </w:tr>
      <w:tr w:rsidR="000B3826" w:rsidRPr="000B3826" w14:paraId="6B9D09D5"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64EAFC9"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tcPr>
          <w:p w14:paraId="73BAA688" w14:textId="0599EA0D" w:rsidR="000B3826" w:rsidRPr="00E12DA1" w:rsidRDefault="001F1B34" w:rsidP="000B3826">
            <w:r>
              <w:t>No changes</w:t>
            </w:r>
          </w:p>
          <w:p w14:paraId="5A939A8D" w14:textId="77777777" w:rsidR="000B3826" w:rsidRPr="0020482E" w:rsidRDefault="000B3826" w:rsidP="000B3826">
            <w:pPr>
              <w:rPr>
                <w:color w:val="FF0000"/>
              </w:rPr>
            </w:pPr>
          </w:p>
        </w:tc>
      </w:tr>
      <w:tr w:rsidR="000B3826" w:rsidRPr="000B3826" w14:paraId="16A3413E"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28F1ED4" w14:textId="77777777" w:rsidR="000B3826" w:rsidRPr="000B3826" w:rsidRDefault="000B3826" w:rsidP="000B3826">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tcPr>
          <w:p w14:paraId="479E549A" w14:textId="4BD91355" w:rsidR="000B3826" w:rsidRPr="00DE614E" w:rsidRDefault="001F1B34" w:rsidP="000B3826">
            <w:pPr>
              <w:rPr>
                <w:color w:val="000000" w:themeColor="text1"/>
                <w:szCs w:val="24"/>
              </w:rPr>
            </w:pPr>
            <w:r w:rsidRPr="00DE614E">
              <w:rPr>
                <w:color w:val="000000" w:themeColor="text1"/>
                <w:szCs w:val="24"/>
              </w:rPr>
              <w:t>Actions remain on track with update provided to reflect the development of the Long Term Strategy and</w:t>
            </w:r>
            <w:r w:rsidR="00060F4B" w:rsidRPr="00DE614E">
              <w:rPr>
                <w:color w:val="000000" w:themeColor="text1"/>
                <w:szCs w:val="24"/>
              </w:rPr>
              <w:t xml:space="preserve"> its implementation for the first three years captured within the IMTP. A wide range of population health activities, mitigating actions and consideration of threats continue to be considered through four </w:t>
            </w:r>
            <w:r w:rsidR="00DE614E" w:rsidRPr="00DE614E">
              <w:rPr>
                <w:color w:val="000000" w:themeColor="text1"/>
                <w:szCs w:val="24"/>
              </w:rPr>
              <w:t>nations’</w:t>
            </w:r>
            <w:r w:rsidR="00060F4B" w:rsidRPr="00DE614E">
              <w:rPr>
                <w:color w:val="000000" w:themeColor="text1"/>
                <w:szCs w:val="24"/>
              </w:rPr>
              <w:t xml:space="preserve"> connections and </w:t>
            </w:r>
            <w:r w:rsidR="00DE614E" w:rsidRPr="00DE614E">
              <w:rPr>
                <w:color w:val="000000" w:themeColor="text1"/>
                <w:szCs w:val="24"/>
              </w:rPr>
              <w:t xml:space="preserve">international </w:t>
            </w:r>
            <w:r w:rsidR="00060F4B" w:rsidRPr="00DE614E">
              <w:rPr>
                <w:color w:val="000000" w:themeColor="text1"/>
                <w:szCs w:val="24"/>
              </w:rPr>
              <w:t xml:space="preserve">horizon scanning </w:t>
            </w:r>
            <w:r w:rsidR="00DE614E" w:rsidRPr="00DE614E">
              <w:rPr>
                <w:color w:val="000000" w:themeColor="text1"/>
                <w:szCs w:val="24"/>
              </w:rPr>
              <w:t>wit</w:t>
            </w:r>
            <w:r w:rsidR="00DE614E">
              <w:rPr>
                <w:color w:val="000000" w:themeColor="text1"/>
                <w:szCs w:val="24"/>
              </w:rPr>
              <w:t>h WHOCC and IANPHI relations.</w:t>
            </w:r>
          </w:p>
          <w:p w14:paraId="20206A85" w14:textId="77777777" w:rsidR="000B3826" w:rsidRPr="0020482E" w:rsidRDefault="000B3826" w:rsidP="000B3826">
            <w:pPr>
              <w:rPr>
                <w:color w:val="FF0000"/>
              </w:rPr>
            </w:pPr>
          </w:p>
        </w:tc>
      </w:tr>
      <w:tr w:rsidR="000B3826" w:rsidRPr="000B3826" w14:paraId="52B5D472"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00AA199" w14:textId="77777777" w:rsidR="000B3826" w:rsidRPr="000B3826" w:rsidRDefault="000B3826" w:rsidP="000B3826">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tcPr>
          <w:p w14:paraId="02E6154C" w14:textId="12FB508E" w:rsidR="000B3826" w:rsidRPr="00E12DA1" w:rsidRDefault="001F1B34" w:rsidP="000B3826">
            <w:r>
              <w:t>None identified</w:t>
            </w:r>
          </w:p>
          <w:p w14:paraId="4FCBA640" w14:textId="77777777" w:rsidR="000B3826" w:rsidRPr="0020482E" w:rsidRDefault="000B3826" w:rsidP="000B3826">
            <w:pPr>
              <w:rPr>
                <w:color w:val="FF0000"/>
              </w:rPr>
            </w:pPr>
          </w:p>
        </w:tc>
      </w:tr>
      <w:tr w:rsidR="009965D9" w:rsidRPr="000B3826" w14:paraId="35AE2037" w14:textId="77777777" w:rsidTr="00D2033C">
        <w:tc>
          <w:tcPr>
            <w:tcW w:w="2263" w:type="dxa"/>
            <w:tcBorders>
              <w:top w:val="single" w:sz="4" w:space="0" w:color="auto"/>
              <w:left w:val="single" w:sz="4" w:space="0" w:color="auto"/>
              <w:bottom w:val="single" w:sz="4" w:space="0" w:color="auto"/>
              <w:right w:val="single" w:sz="4" w:space="0" w:color="auto"/>
            </w:tcBorders>
          </w:tcPr>
          <w:p w14:paraId="118F3030" w14:textId="40E25A01" w:rsidR="009965D9" w:rsidRPr="000B3826" w:rsidRDefault="009965D9" w:rsidP="008541B5">
            <w:pPr>
              <w:rPr>
                <w:b/>
              </w:rPr>
            </w:pPr>
            <w:r w:rsidRPr="007751BE">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0105299D" w14:textId="61BF6E92" w:rsidR="009965D9" w:rsidRPr="007751BE" w:rsidRDefault="009965D9" w:rsidP="009965D9">
            <w:r w:rsidRPr="007751BE">
              <w:t xml:space="preserve">The </w:t>
            </w:r>
            <w:r w:rsidRPr="009965D9">
              <w:rPr>
                <w:b/>
              </w:rPr>
              <w:t>Quality, Safety and Improvement Committee</w:t>
            </w:r>
            <w:r w:rsidRPr="007751BE">
              <w:t xml:space="preserve"> considered this risk in December 2022</w:t>
            </w:r>
            <w:r>
              <w:t xml:space="preserve"> and February 2023</w:t>
            </w:r>
            <w:r w:rsidRPr="007751BE">
              <w:t>.</w:t>
            </w:r>
          </w:p>
          <w:p w14:paraId="3E1A1F5D" w14:textId="77777777" w:rsidR="009965D9" w:rsidRPr="007751BE" w:rsidRDefault="009965D9" w:rsidP="009965D9">
            <w:pPr>
              <w:pStyle w:val="ListParagraph"/>
              <w:numPr>
                <w:ilvl w:val="0"/>
                <w:numId w:val="35"/>
              </w:numPr>
              <w:rPr>
                <w:rFonts w:eastAsia="Times New Roman"/>
                <w:bCs/>
              </w:rPr>
            </w:pPr>
            <w:r w:rsidRPr="007751BE">
              <w:rPr>
                <w:rFonts w:eastAsia="Times New Roman"/>
                <w:bCs/>
              </w:rPr>
              <w:t xml:space="preserve">The Committee were advised that the assurance statement on Strategic Risk 1 remained accurate and were provided with an update on relevant meetings with a focus on climate change and health inequalities. </w:t>
            </w:r>
          </w:p>
          <w:p w14:paraId="0B31F686" w14:textId="77777777" w:rsidR="009965D9" w:rsidRPr="007751BE" w:rsidRDefault="009965D9" w:rsidP="009965D9">
            <w:pPr>
              <w:pStyle w:val="ListParagraph"/>
              <w:numPr>
                <w:ilvl w:val="0"/>
                <w:numId w:val="35"/>
              </w:numPr>
              <w:rPr>
                <w:rFonts w:eastAsia="Times New Roman"/>
                <w:bCs/>
              </w:rPr>
            </w:pPr>
            <w:r w:rsidRPr="007751BE">
              <w:rPr>
                <w:rFonts w:eastAsia="Times New Roman"/>
                <w:bCs/>
              </w:rPr>
              <w:t>The Committee noted the period of transition following a refresh of the Long Term Strategy and the consideration of the continued need of this strategic risk.</w:t>
            </w:r>
          </w:p>
          <w:p w14:paraId="16CB396A" w14:textId="77777777" w:rsidR="009965D9" w:rsidRPr="007751BE" w:rsidRDefault="009965D9" w:rsidP="009965D9"/>
          <w:p w14:paraId="0D665CF8" w14:textId="77777777" w:rsidR="009965D9" w:rsidRDefault="009965D9" w:rsidP="009965D9">
            <w:r w:rsidRPr="007751BE">
              <w:t>Other recent consideration at Board / Committee level relevant to this risk:</w:t>
            </w:r>
          </w:p>
          <w:p w14:paraId="2B09582F" w14:textId="77777777" w:rsidR="009965D9" w:rsidRPr="007751BE" w:rsidRDefault="009965D9" w:rsidP="009965D9"/>
          <w:p w14:paraId="2088BE7F" w14:textId="77777777" w:rsidR="009965D9" w:rsidRPr="007751BE" w:rsidRDefault="009965D9" w:rsidP="009965D9">
            <w:pPr>
              <w:pStyle w:val="ListParagraph"/>
              <w:numPr>
                <w:ilvl w:val="0"/>
                <w:numId w:val="34"/>
              </w:numPr>
            </w:pPr>
            <w:r w:rsidRPr="007751BE">
              <w:t xml:space="preserve">The Board considered a presentation and summary of the Public Health Dashboard at its meeting on 26 January 2023, which included information about the cost of living crisis relevant to SRR 1.  </w:t>
            </w:r>
          </w:p>
          <w:p w14:paraId="3900C330" w14:textId="77777777" w:rsidR="009965D9" w:rsidRPr="007751BE" w:rsidRDefault="009965D9" w:rsidP="009965D9">
            <w:pPr>
              <w:pStyle w:val="ListParagraph"/>
              <w:numPr>
                <w:ilvl w:val="0"/>
                <w:numId w:val="34"/>
              </w:numPr>
            </w:pPr>
            <w:r w:rsidRPr="007751BE">
              <w:t>The Long Term Strategy is scheduled to be considered for approval at the Board meeting in March 2023, and the Board considered emerging themes from the L</w:t>
            </w:r>
            <w:r>
              <w:t xml:space="preserve">ong </w:t>
            </w:r>
            <w:r w:rsidRPr="007751BE">
              <w:t>T</w:t>
            </w:r>
            <w:r>
              <w:t xml:space="preserve">erm </w:t>
            </w:r>
            <w:r w:rsidRPr="007751BE">
              <w:t>S</w:t>
            </w:r>
            <w:r>
              <w:t>trategy at</w:t>
            </w:r>
            <w:r w:rsidRPr="007751BE">
              <w:t xml:space="preserve"> a Board development session on the 15 December.</w:t>
            </w:r>
          </w:p>
          <w:p w14:paraId="6D4CD2FD" w14:textId="77777777" w:rsidR="009965D9" w:rsidRPr="007751BE" w:rsidRDefault="009965D9" w:rsidP="009965D9">
            <w:pPr>
              <w:pStyle w:val="ListParagraph"/>
              <w:numPr>
                <w:ilvl w:val="0"/>
                <w:numId w:val="31"/>
              </w:numPr>
            </w:pPr>
            <w:r w:rsidRPr="007751BE">
              <w:rPr>
                <w:bCs/>
              </w:rPr>
              <w:t xml:space="preserve">At the Board meeting in January, </w:t>
            </w:r>
            <w:r>
              <w:rPr>
                <w:bCs/>
              </w:rPr>
              <w:t xml:space="preserve">the Medical Director </w:t>
            </w:r>
            <w:r w:rsidRPr="007751BE">
              <w:rPr>
                <w:bCs/>
              </w:rPr>
              <w:t xml:space="preserve">provided the Board with </w:t>
            </w:r>
            <w:r>
              <w:rPr>
                <w:bCs/>
              </w:rPr>
              <w:t>a summary of</w:t>
            </w:r>
            <w:r w:rsidRPr="007751BE">
              <w:rPr>
                <w:bCs/>
              </w:rPr>
              <w:t xml:space="preserve"> support provided to Ukraine, and the inclusion of a specific event at the </w:t>
            </w:r>
            <w:r w:rsidRPr="007751BE">
              <w:rPr>
                <w:bCs/>
                <w:szCs w:val="24"/>
              </w:rPr>
              <w:t>International Association of National Public Health Institutes (IANPHI)</w:t>
            </w:r>
            <w:r w:rsidRPr="007751BE">
              <w:rPr>
                <w:bCs/>
              </w:rPr>
              <w:t>meeting,</w:t>
            </w:r>
            <w:r>
              <w:rPr>
                <w:bCs/>
              </w:rPr>
              <w:t xml:space="preserve"> </w:t>
            </w:r>
            <w:proofErr w:type="spellStart"/>
            <w:r>
              <w:rPr>
                <w:bCs/>
              </w:rPr>
              <w:t>ie</w:t>
            </w:r>
            <w:proofErr w:type="spellEnd"/>
            <w:r>
              <w:rPr>
                <w:bCs/>
              </w:rPr>
              <w:t>,</w:t>
            </w:r>
            <w:r w:rsidRPr="007751BE">
              <w:rPr>
                <w:bCs/>
              </w:rPr>
              <w:t xml:space="preserve"> to specify and co-ordinate the combined offer of support to the Ukraine Public Health Centre. </w:t>
            </w:r>
          </w:p>
          <w:p w14:paraId="3D3858A9" w14:textId="4DE15FBB" w:rsidR="009965D9" w:rsidRDefault="009965D9" w:rsidP="009965D9"/>
        </w:tc>
      </w:tr>
    </w:tbl>
    <w:p w14:paraId="24A3F92D" w14:textId="77777777" w:rsidR="000B3826" w:rsidRPr="000B3826" w:rsidRDefault="000B3826" w:rsidP="000B3826">
      <w:pPr>
        <w:rPr>
          <w:b/>
        </w:rPr>
      </w:pPr>
    </w:p>
    <w:p w14:paraId="419AEC12" w14:textId="77777777" w:rsidR="000B3826" w:rsidRPr="000B3826" w:rsidRDefault="000B3826" w:rsidP="000B3826">
      <w:pPr>
        <w:numPr>
          <w:ilvl w:val="1"/>
          <w:numId w:val="29"/>
        </w:numPr>
        <w:rPr>
          <w:b/>
        </w:rPr>
      </w:pPr>
      <w:r w:rsidRPr="000B3826">
        <w:rPr>
          <w:b/>
        </w:rPr>
        <w:t>Risk 2</w:t>
      </w:r>
    </w:p>
    <w:p w14:paraId="6F5F3545" w14:textId="77777777" w:rsidR="000B3826" w:rsidRPr="000B3826" w:rsidRDefault="000B3826" w:rsidP="000B3826"/>
    <w:p w14:paraId="53784CF0" w14:textId="77777777" w:rsidR="004972FA" w:rsidRPr="00533A60" w:rsidRDefault="004972FA" w:rsidP="004972FA">
      <w:pPr>
        <w:rPr>
          <w:color w:val="FF0000"/>
        </w:rPr>
      </w:pPr>
      <w:r>
        <w:t>The delivery confidence assessment remains green with the delivery of excellent services continuing to be an overarching priority. A number of the actions that were previously delayed were completed in February and as such the risk assessment has been reviewed and remains green.</w:t>
      </w:r>
      <w:r w:rsidRPr="00533A60">
        <w:rPr>
          <w:color w:val="FF0000"/>
        </w:rPr>
        <w:t xml:space="preserve"> </w:t>
      </w:r>
    </w:p>
    <w:p w14:paraId="50DEAFC5" w14:textId="77777777" w:rsidR="00616F72" w:rsidRPr="000B3826" w:rsidRDefault="00616F72" w:rsidP="000B3826">
      <w:pPr>
        <w:rPr>
          <w:b/>
        </w:rPr>
      </w:pPr>
    </w:p>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0BED4FB1"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E8769A9" w14:textId="77777777" w:rsidR="000B3826" w:rsidRPr="000B3826" w:rsidRDefault="000B3826" w:rsidP="000B3826">
            <w:bookmarkStart w:id="7" w:name="Risk2"/>
            <w:bookmarkEnd w:id="7"/>
            <w:r w:rsidRPr="000B3826">
              <w:rPr>
                <w:b/>
              </w:rPr>
              <w:t>Risk Description</w:t>
            </w:r>
          </w:p>
        </w:tc>
      </w:tr>
      <w:tr w:rsidR="000B3826" w:rsidRPr="000B3826" w14:paraId="4A4A59B3"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2A16DDDE" w14:textId="77777777" w:rsidR="000B3826" w:rsidRPr="000B3826" w:rsidRDefault="000B3826" w:rsidP="000B3826">
            <w:r w:rsidRPr="000B3826">
              <w:t>There is a risk that Public Health Wales will not deliver its plans for delivering excellent services for population screening, health protection and infection caused by uncertainty of the impact of current and future health threats and lack of specialist workforce, resulting in inability to prioritise service delivery and transform models of care. </w:t>
            </w:r>
          </w:p>
        </w:tc>
      </w:tr>
      <w:tr w:rsidR="000B3826" w:rsidRPr="000B3826" w14:paraId="33A843BC"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600FE1"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D4DFB22" w14:textId="77777777" w:rsidR="000B3826" w:rsidRPr="000B3826" w:rsidRDefault="000B3826" w:rsidP="000B3826">
            <w:r w:rsidRPr="000B3826">
              <w:rPr>
                <w:b/>
              </w:rPr>
              <w:t>Proposal for de-escalation or removal*</w:t>
            </w:r>
          </w:p>
        </w:tc>
      </w:tr>
      <w:tr w:rsidR="000B3826" w:rsidRPr="000B3826" w14:paraId="4A339708"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593B4ADA" w14:textId="77777777" w:rsidR="000B3826" w:rsidRPr="00D2033C" w:rsidRDefault="000B3826" w:rsidP="000B3826">
            <w:r w:rsidRPr="00D2033C">
              <w:t xml:space="preserve">Cautious </w:t>
            </w:r>
          </w:p>
        </w:tc>
        <w:tc>
          <w:tcPr>
            <w:tcW w:w="4891" w:type="dxa"/>
            <w:gridSpan w:val="4"/>
            <w:tcBorders>
              <w:top w:val="single" w:sz="4" w:space="0" w:color="auto"/>
              <w:left w:val="single" w:sz="4" w:space="0" w:color="auto"/>
              <w:bottom w:val="single" w:sz="4" w:space="0" w:color="auto"/>
              <w:right w:val="single" w:sz="4" w:space="0" w:color="auto"/>
            </w:tcBorders>
            <w:hideMark/>
          </w:tcPr>
          <w:p w14:paraId="52B378F1" w14:textId="77777777" w:rsidR="000B3826" w:rsidRPr="00D2033C" w:rsidRDefault="000B3826" w:rsidP="000B3826">
            <w:r w:rsidRPr="00D2033C">
              <w:t>Not Applicable</w:t>
            </w:r>
          </w:p>
        </w:tc>
      </w:tr>
      <w:tr w:rsidR="000B3826" w:rsidRPr="000B3826" w14:paraId="15B36AFB"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835F3CF"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8D7273E" w14:textId="7F218641" w:rsidR="000B3826" w:rsidRPr="000B3826" w:rsidRDefault="000B3826" w:rsidP="00D2033C">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1091D3C" w14:textId="77777777" w:rsidR="000B3826" w:rsidRPr="000B3826" w:rsidRDefault="000B3826" w:rsidP="000B3826">
            <w:pPr>
              <w:rPr>
                <w:b/>
              </w:rPr>
            </w:pPr>
            <w:r w:rsidRPr="000B3826">
              <w:rPr>
                <w:b/>
              </w:rPr>
              <w:t>Present Score</w:t>
            </w:r>
          </w:p>
        </w:tc>
      </w:tr>
      <w:tr w:rsidR="000B3826" w:rsidRPr="000B3826" w14:paraId="686F4350"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F1BCD0B" w14:textId="77777777" w:rsidR="000B3826" w:rsidRPr="000B3826" w:rsidRDefault="000B3826" w:rsidP="000B3826">
            <w:r w:rsidRPr="000B3826">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95D8C5"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tcPr>
          <w:p w14:paraId="77A9B2C3" w14:textId="77777777" w:rsidR="000B3826" w:rsidRPr="000B3826" w:rsidRDefault="000B3826" w:rsidP="000B3826">
            <w:r w:rsidRPr="000B3826">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443BE1B2" w14:textId="77777777" w:rsidR="000B3826" w:rsidRPr="000B3826" w:rsidRDefault="000B3826" w:rsidP="000B3826">
            <w:r w:rsidRPr="000B3826">
              <w:t>9</w:t>
            </w:r>
          </w:p>
        </w:tc>
        <w:tc>
          <w:tcPr>
            <w:tcW w:w="1230" w:type="dxa"/>
            <w:tcBorders>
              <w:top w:val="single" w:sz="4" w:space="0" w:color="auto"/>
              <w:left w:val="single" w:sz="4" w:space="0" w:color="auto"/>
              <w:bottom w:val="single" w:sz="4" w:space="0" w:color="auto"/>
              <w:right w:val="single" w:sz="4" w:space="0" w:color="auto"/>
            </w:tcBorders>
            <w:hideMark/>
          </w:tcPr>
          <w:p w14:paraId="484E3112"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7ABD5D59" w14:textId="77777777" w:rsidR="000B3826" w:rsidRPr="000B3826" w:rsidRDefault="000B3826" w:rsidP="000B3826">
            <w:r w:rsidRPr="000B3826">
              <w:t>3</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4DB3090E" w14:textId="77777777" w:rsidR="000B3826" w:rsidRPr="000B3826" w:rsidRDefault="000B3826" w:rsidP="000B3826">
            <w:r w:rsidRPr="000B3826">
              <w:t>9</w:t>
            </w:r>
          </w:p>
        </w:tc>
      </w:tr>
      <w:tr w:rsidR="000B3826" w:rsidRPr="000B3826" w14:paraId="1206A9F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F763D1E" w14:textId="77777777" w:rsidR="000B3826" w:rsidRPr="000B3826" w:rsidRDefault="000B3826" w:rsidP="000B3826">
            <w:r w:rsidRPr="000B3826">
              <w:t>Current</w:t>
            </w:r>
          </w:p>
        </w:tc>
        <w:tc>
          <w:tcPr>
            <w:tcW w:w="1276" w:type="dxa"/>
            <w:tcBorders>
              <w:top w:val="single" w:sz="4" w:space="0" w:color="auto"/>
              <w:left w:val="single" w:sz="4" w:space="0" w:color="auto"/>
              <w:bottom w:val="single" w:sz="4" w:space="0" w:color="auto"/>
              <w:right w:val="single" w:sz="4" w:space="0" w:color="auto"/>
            </w:tcBorders>
          </w:tcPr>
          <w:p w14:paraId="46134E56" w14:textId="77777777" w:rsidR="000B3826" w:rsidRPr="000B3826" w:rsidRDefault="000B3826" w:rsidP="000B3826">
            <w:r w:rsidRPr="000B3826">
              <w:t>4</w:t>
            </w:r>
          </w:p>
        </w:tc>
        <w:tc>
          <w:tcPr>
            <w:tcW w:w="1276" w:type="dxa"/>
            <w:tcBorders>
              <w:top w:val="single" w:sz="4" w:space="0" w:color="auto"/>
              <w:left w:val="single" w:sz="4" w:space="0" w:color="auto"/>
              <w:bottom w:val="single" w:sz="4" w:space="0" w:color="auto"/>
              <w:right w:val="single" w:sz="4" w:space="0" w:color="auto"/>
            </w:tcBorders>
          </w:tcPr>
          <w:p w14:paraId="6DB11A0C" w14:textId="77777777" w:rsidR="000B3826" w:rsidRPr="000B3826" w:rsidRDefault="000B3826" w:rsidP="000B3826">
            <w:r w:rsidRPr="000B3826">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3E413246" w14:textId="77777777" w:rsidR="000B3826" w:rsidRPr="000B3826" w:rsidRDefault="000B3826" w:rsidP="000B3826">
            <w:r w:rsidRPr="000B3826">
              <w:t>12</w:t>
            </w:r>
          </w:p>
        </w:tc>
        <w:tc>
          <w:tcPr>
            <w:tcW w:w="1230" w:type="dxa"/>
            <w:tcBorders>
              <w:top w:val="single" w:sz="4" w:space="0" w:color="auto"/>
              <w:left w:val="single" w:sz="4" w:space="0" w:color="auto"/>
              <w:bottom w:val="single" w:sz="4" w:space="0" w:color="auto"/>
              <w:right w:val="single" w:sz="4" w:space="0" w:color="auto"/>
            </w:tcBorders>
            <w:hideMark/>
          </w:tcPr>
          <w:p w14:paraId="66328144" w14:textId="0A1404F3" w:rsidR="000B3826" w:rsidRPr="000B3826" w:rsidRDefault="00060F4B" w:rsidP="000B3826">
            <w:r>
              <w:t>3</w:t>
            </w:r>
          </w:p>
        </w:tc>
        <w:tc>
          <w:tcPr>
            <w:tcW w:w="1230" w:type="dxa"/>
            <w:tcBorders>
              <w:top w:val="single" w:sz="4" w:space="0" w:color="auto"/>
              <w:left w:val="single" w:sz="4" w:space="0" w:color="auto"/>
              <w:bottom w:val="single" w:sz="4" w:space="0" w:color="auto"/>
              <w:right w:val="single" w:sz="4" w:space="0" w:color="auto"/>
            </w:tcBorders>
            <w:hideMark/>
          </w:tcPr>
          <w:p w14:paraId="3A9605BD" w14:textId="77777777" w:rsidR="000B3826" w:rsidRPr="000B3826" w:rsidRDefault="000B3826" w:rsidP="000B3826">
            <w:r w:rsidRPr="000B3826">
              <w:t>3</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2866FD0D" w14:textId="77777777" w:rsidR="000B3826" w:rsidRPr="000B3826" w:rsidRDefault="000B3826" w:rsidP="000B3826">
            <w:r w:rsidRPr="000B3826">
              <w:t>9</w:t>
            </w:r>
          </w:p>
        </w:tc>
      </w:tr>
      <w:tr w:rsidR="000B3826" w:rsidRPr="000B3826" w14:paraId="449F64CE"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24B29B08" w14:textId="77777777" w:rsidR="000B3826" w:rsidRPr="000B3826" w:rsidRDefault="000B3826" w:rsidP="000B3826">
            <w:r w:rsidRPr="000B3826">
              <w:t>Target</w:t>
            </w:r>
          </w:p>
        </w:tc>
        <w:tc>
          <w:tcPr>
            <w:tcW w:w="1276" w:type="dxa"/>
            <w:tcBorders>
              <w:top w:val="single" w:sz="4" w:space="0" w:color="auto"/>
              <w:left w:val="single" w:sz="4" w:space="0" w:color="auto"/>
              <w:bottom w:val="single" w:sz="4" w:space="0" w:color="auto"/>
              <w:right w:val="single" w:sz="4" w:space="0" w:color="auto"/>
            </w:tcBorders>
          </w:tcPr>
          <w:p w14:paraId="72F24DE1"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tcPr>
          <w:p w14:paraId="54A2B7FC" w14:textId="77777777" w:rsidR="000B3826" w:rsidRPr="000B3826" w:rsidRDefault="000B3826" w:rsidP="000B3826">
            <w:r w:rsidRPr="000B3826">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tcPr>
          <w:p w14:paraId="01791325" w14:textId="77777777" w:rsidR="000B3826" w:rsidRPr="000B3826" w:rsidRDefault="000B3826" w:rsidP="000B3826">
            <w:r w:rsidRPr="000B3826">
              <w:t>6</w:t>
            </w:r>
          </w:p>
        </w:tc>
        <w:tc>
          <w:tcPr>
            <w:tcW w:w="1230" w:type="dxa"/>
            <w:tcBorders>
              <w:top w:val="single" w:sz="4" w:space="0" w:color="auto"/>
              <w:left w:val="single" w:sz="4" w:space="0" w:color="auto"/>
              <w:bottom w:val="single" w:sz="4" w:space="0" w:color="auto"/>
              <w:right w:val="single" w:sz="4" w:space="0" w:color="auto"/>
            </w:tcBorders>
            <w:hideMark/>
          </w:tcPr>
          <w:p w14:paraId="1CE028B1"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5E85D542" w14:textId="77777777" w:rsidR="000B3826" w:rsidRPr="000B3826" w:rsidRDefault="000B3826" w:rsidP="000B3826">
            <w:r w:rsidRPr="000B3826">
              <w:t>2</w:t>
            </w:r>
          </w:p>
        </w:tc>
        <w:tc>
          <w:tcPr>
            <w:tcW w:w="1231" w:type="dxa"/>
            <w:tcBorders>
              <w:top w:val="single" w:sz="4" w:space="0" w:color="auto"/>
              <w:left w:val="single" w:sz="4" w:space="0" w:color="auto"/>
              <w:bottom w:val="single" w:sz="4" w:space="0" w:color="auto"/>
              <w:right w:val="single" w:sz="4" w:space="0" w:color="auto"/>
            </w:tcBorders>
            <w:shd w:val="clear" w:color="auto" w:fill="FFFF00"/>
            <w:hideMark/>
          </w:tcPr>
          <w:p w14:paraId="4F532AD7" w14:textId="77777777" w:rsidR="000B3826" w:rsidRPr="000B3826" w:rsidRDefault="000B3826" w:rsidP="000B3826">
            <w:r w:rsidRPr="000B3826">
              <w:t>6</w:t>
            </w:r>
          </w:p>
        </w:tc>
      </w:tr>
      <w:tr w:rsidR="000B3826" w:rsidRPr="000B3826" w14:paraId="15676CF4" w14:textId="77777777" w:rsidTr="00D2033C">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1EAFF7D" w14:textId="1C1A8F82" w:rsidR="000B3826" w:rsidRPr="000B3826" w:rsidRDefault="000B3826" w:rsidP="000B3826">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F583148" w14:textId="77777777" w:rsidR="000B3826" w:rsidRPr="000B3826" w:rsidRDefault="000B3826" w:rsidP="000B3826">
            <w:pPr>
              <w:rPr>
                <w:b/>
              </w:rPr>
            </w:pPr>
            <w:r w:rsidRPr="000B3826">
              <w:rPr>
                <w:b/>
              </w:rPr>
              <w:t>Present Live DCA</w:t>
            </w:r>
          </w:p>
        </w:tc>
      </w:tr>
      <w:tr w:rsidR="000B3826" w:rsidRPr="000B3826" w14:paraId="758DBDA1" w14:textId="77777777" w:rsidTr="00616F72">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92D050"/>
            <w:vAlign w:val="center"/>
            <w:hideMark/>
          </w:tcPr>
          <w:p w14:paraId="3BCB7F4B" w14:textId="181341C1" w:rsidR="000B3826" w:rsidRPr="000B3826" w:rsidRDefault="00616F72" w:rsidP="000B3826">
            <w:r>
              <w:t>Green</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2D050"/>
            <w:vAlign w:val="center"/>
            <w:hideMark/>
          </w:tcPr>
          <w:p w14:paraId="08DF31FF" w14:textId="77777777" w:rsidR="000B3826" w:rsidRPr="000B3826" w:rsidRDefault="000B3826" w:rsidP="000B3826">
            <w:r w:rsidRPr="000B3826">
              <w:t>Green</w:t>
            </w:r>
          </w:p>
        </w:tc>
      </w:tr>
      <w:tr w:rsidR="000B3826" w:rsidRPr="000B3826" w14:paraId="6BDAB834"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9B0B9F4" w14:textId="77777777" w:rsidR="000B3826" w:rsidRPr="000B3826" w:rsidRDefault="000B3826" w:rsidP="000B3826">
            <w:pPr>
              <w:rPr>
                <w:b/>
              </w:rPr>
            </w:pPr>
            <w:r w:rsidRPr="000B3826">
              <w:rPr>
                <w:b/>
              </w:rPr>
              <w:t>Executive Sponsor Insight</w:t>
            </w:r>
          </w:p>
        </w:tc>
      </w:tr>
      <w:tr w:rsidR="000B3826" w:rsidRPr="000B3826" w14:paraId="64309F08" w14:textId="77777777" w:rsidTr="00D2033C">
        <w:tc>
          <w:tcPr>
            <w:tcW w:w="9782" w:type="dxa"/>
            <w:gridSpan w:val="8"/>
            <w:tcBorders>
              <w:top w:val="single" w:sz="4" w:space="0" w:color="auto"/>
              <w:left w:val="single" w:sz="4" w:space="0" w:color="auto"/>
              <w:bottom w:val="single" w:sz="4" w:space="0" w:color="auto"/>
              <w:right w:val="single" w:sz="4" w:space="0" w:color="auto"/>
            </w:tcBorders>
          </w:tcPr>
          <w:p w14:paraId="40D998AE" w14:textId="77777777" w:rsidR="000B3826" w:rsidRPr="00D2033C" w:rsidRDefault="000B3826" w:rsidP="000B3826"/>
          <w:p w14:paraId="5FE7BE6C" w14:textId="77777777" w:rsidR="00616F72" w:rsidRPr="003756EB" w:rsidRDefault="00616F72" w:rsidP="00616F72">
            <w:r w:rsidRPr="003756EB">
              <w:rPr>
                <w:rFonts w:eastAsia="Verdana" w:cs="Verdana"/>
                <w:szCs w:val="24"/>
              </w:rPr>
              <w:t>The current DCA remains stable, and the directorate continues to hold the delivery of excellent services as the overarching priority, in line with the development of the refreshed long-term strategy for the organisation. Both incremental continuous improvement and some service transformation initiatives continue against a backdrop of significant strategic and operational demands. The development of new screening programmes will place further demand on the specialist workforce.  </w:t>
            </w:r>
            <w:r w:rsidRPr="003756EB">
              <w:rPr>
                <w:rFonts w:eastAsia="Verdana" w:cs="Verdana"/>
                <w:szCs w:val="24"/>
                <w:lang w:val="en-US"/>
              </w:rPr>
              <w:t> </w:t>
            </w:r>
          </w:p>
          <w:p w14:paraId="34CAD3EB" w14:textId="77777777" w:rsidR="000B3826" w:rsidRPr="00D2033C" w:rsidRDefault="000B3826" w:rsidP="000B3826"/>
        </w:tc>
      </w:tr>
      <w:tr w:rsidR="000B3826" w:rsidRPr="000B3826" w14:paraId="6363C086"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851ECBE" w14:textId="77777777" w:rsidR="000B3826" w:rsidRPr="00D2033C" w:rsidRDefault="000B3826" w:rsidP="000B3826">
            <w:pPr>
              <w:rPr>
                <w:b/>
              </w:rPr>
            </w:pPr>
            <w:r w:rsidRPr="00D2033C">
              <w:rPr>
                <w:b/>
              </w:rPr>
              <w:t xml:space="preserve">Overview of changes to controls/actions </w:t>
            </w:r>
          </w:p>
          <w:p w14:paraId="39F41203" w14:textId="77777777" w:rsidR="000B3826" w:rsidRPr="00D2033C" w:rsidRDefault="000B3826" w:rsidP="000B3826">
            <w:r w:rsidRPr="00D2033C">
              <w:t>(text marked in red in full risk which can be found in Appendix 1.</w:t>
            </w:r>
          </w:p>
        </w:tc>
      </w:tr>
      <w:tr w:rsidR="000B3826" w:rsidRPr="000B3826" w14:paraId="5734FDA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4DDC0CE"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4A3A566F" w14:textId="5058C6A3" w:rsidR="000B3826" w:rsidRPr="00D2033C" w:rsidRDefault="000721E4" w:rsidP="000B3826">
            <w:r>
              <w:t>No changes</w:t>
            </w:r>
          </w:p>
          <w:p w14:paraId="3B12B19F" w14:textId="77777777" w:rsidR="000B3826" w:rsidRPr="00D2033C" w:rsidRDefault="000B3826" w:rsidP="000B3826"/>
        </w:tc>
      </w:tr>
      <w:tr w:rsidR="000B3826" w:rsidRPr="000B3826" w14:paraId="436B5A8E"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26F49251" w14:textId="77777777" w:rsidR="000B3826" w:rsidRPr="000B3826" w:rsidRDefault="000B3826" w:rsidP="000B3826">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689B9ADC" w14:textId="77777777" w:rsidR="000B3826" w:rsidRDefault="00616F72" w:rsidP="000B3826">
            <w:pPr>
              <w:rPr>
                <w:rFonts w:eastAsia="Verdana" w:cs="Verdana"/>
                <w:szCs w:val="24"/>
              </w:rPr>
            </w:pPr>
            <w:r w:rsidRPr="003756EB">
              <w:rPr>
                <w:rFonts w:eastAsia="Verdana" w:cs="Verdana"/>
                <w:szCs w:val="24"/>
              </w:rPr>
              <w:t>Actions have been reviewed and updated – now running into the 2023 / 24 planning year.</w:t>
            </w:r>
          </w:p>
          <w:p w14:paraId="3A2548EC" w14:textId="12DDF8B9" w:rsidR="00616F72" w:rsidRPr="00D2033C" w:rsidRDefault="00616F72" w:rsidP="000B3826"/>
        </w:tc>
      </w:tr>
      <w:tr w:rsidR="000B3826" w:rsidRPr="000B3826" w14:paraId="26391CFD"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87DC4BE" w14:textId="77777777" w:rsidR="000B3826" w:rsidRPr="000B3826" w:rsidRDefault="000B3826" w:rsidP="000B3826">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5BF1679E" w14:textId="27567C90" w:rsidR="000B3826" w:rsidRPr="00D2033C" w:rsidRDefault="000B3826" w:rsidP="000B3826">
            <w:r w:rsidRPr="00D2033C">
              <w:t xml:space="preserve">In addition to utilising the forecast underspend in the Directorate to expedite elements of service transformation; the Directorate is leveraging the opportunity presented by the refresh of the LTS to strengthen and articulate a compelling narrative and agreed understanding of excellent services for population screening, health protection and infection. </w:t>
            </w:r>
            <w:r w:rsidR="00616F72">
              <w:t>This was agreed and shared in December 2022.</w:t>
            </w:r>
          </w:p>
          <w:p w14:paraId="5720F3E3" w14:textId="77777777" w:rsidR="000B3826" w:rsidRPr="00D2033C" w:rsidRDefault="000B3826" w:rsidP="000B3826"/>
        </w:tc>
      </w:tr>
      <w:tr w:rsidR="009965D9" w:rsidRPr="000B3826" w14:paraId="0E300592" w14:textId="77777777" w:rsidTr="00D2033C">
        <w:tc>
          <w:tcPr>
            <w:tcW w:w="2263" w:type="dxa"/>
            <w:tcBorders>
              <w:top w:val="single" w:sz="4" w:space="0" w:color="auto"/>
              <w:left w:val="single" w:sz="4" w:space="0" w:color="auto"/>
              <w:bottom w:val="single" w:sz="4" w:space="0" w:color="auto"/>
              <w:right w:val="single" w:sz="4" w:space="0" w:color="auto"/>
            </w:tcBorders>
          </w:tcPr>
          <w:p w14:paraId="19A3803E" w14:textId="7558AAB9" w:rsidR="009965D9" w:rsidRPr="000B3826" w:rsidRDefault="009965D9" w:rsidP="008541B5">
            <w:pPr>
              <w:rPr>
                <w:b/>
              </w:rPr>
            </w:pPr>
            <w:r w:rsidRPr="007751BE">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09032CE0" w14:textId="5D2C9C05" w:rsidR="009965D9" w:rsidRPr="007751BE" w:rsidRDefault="009965D9" w:rsidP="009965D9">
            <w:r w:rsidRPr="007751BE">
              <w:t xml:space="preserve">The </w:t>
            </w:r>
            <w:r w:rsidRPr="009965D9">
              <w:rPr>
                <w:b/>
              </w:rPr>
              <w:t>Quality, Safety and Improvement Committee</w:t>
            </w:r>
            <w:r w:rsidRPr="007751BE">
              <w:t xml:space="preserve"> considered this Risk in detail in December 2022</w:t>
            </w:r>
            <w:r>
              <w:t xml:space="preserve"> and again in February 2023</w:t>
            </w:r>
            <w:r w:rsidRPr="007751BE">
              <w:t xml:space="preserve">. </w:t>
            </w:r>
          </w:p>
          <w:p w14:paraId="59DD3F0D" w14:textId="77777777" w:rsidR="009965D9" w:rsidRPr="007751BE" w:rsidRDefault="009965D9" w:rsidP="009965D9"/>
          <w:p w14:paraId="17C8BFF9" w14:textId="3A45C641" w:rsidR="009965D9" w:rsidRPr="007751BE" w:rsidRDefault="009965D9" w:rsidP="009965D9">
            <w:r w:rsidRPr="007751BE">
              <w:t xml:space="preserve">Issues raised </w:t>
            </w:r>
            <w:r>
              <w:t>in December</w:t>
            </w:r>
            <w:r w:rsidRPr="007751BE">
              <w:t xml:space="preserve"> meeting included:</w:t>
            </w:r>
          </w:p>
          <w:p w14:paraId="0B797CAA" w14:textId="77777777" w:rsidR="009965D9" w:rsidRPr="007751BE" w:rsidRDefault="009965D9" w:rsidP="009965D9">
            <w:pPr>
              <w:pStyle w:val="ListParagraph"/>
              <w:numPr>
                <w:ilvl w:val="0"/>
                <w:numId w:val="36"/>
              </w:numPr>
            </w:pPr>
            <w:r w:rsidRPr="007751BE">
              <w:t xml:space="preserve">Discussion on the change of approach to the model in Strategic Risk 2: advised that the Executive Leads were liaising with the People and Organisational Development Directorate on this matter, and that a paper on options to mitigate continued difficulties to recruit in North Wales would be considered at a January 2023 Business Executive Team meeting. This paper has also been included for the QSIC meeting as an appendix to this report for further information. </w:t>
            </w:r>
          </w:p>
          <w:p w14:paraId="4EB04AFE" w14:textId="77777777" w:rsidR="009965D9" w:rsidRDefault="009965D9" w:rsidP="009965D9"/>
          <w:p w14:paraId="5C39C5D1" w14:textId="77777777" w:rsidR="009965D9" w:rsidRPr="007751BE" w:rsidRDefault="009965D9" w:rsidP="009965D9">
            <w:r w:rsidRPr="007751BE">
              <w:t>Other recent consideration at Board / Committee level relevant to this risk:</w:t>
            </w:r>
          </w:p>
          <w:p w14:paraId="2F66D112" w14:textId="77777777" w:rsidR="009965D9" w:rsidRDefault="009965D9" w:rsidP="009965D9">
            <w:pPr>
              <w:pStyle w:val="ListParagraph"/>
              <w:numPr>
                <w:ilvl w:val="0"/>
                <w:numId w:val="37"/>
              </w:numPr>
              <w:tabs>
                <w:tab w:val="left" w:pos="2552"/>
              </w:tabs>
              <w:jc w:val="both"/>
              <w:rPr>
                <w:rFonts w:eastAsia="Calibri" w:cs="Times New Roman"/>
                <w:szCs w:val="24"/>
              </w:rPr>
            </w:pPr>
            <w:r>
              <w:t xml:space="preserve">In December, the Committee considered </w:t>
            </w:r>
            <w:r>
              <w:rPr>
                <w:rFonts w:eastAsia="Calibri" w:cs="Times New Roman"/>
                <w:szCs w:val="24"/>
              </w:rPr>
              <w:t xml:space="preserve">an </w:t>
            </w:r>
            <w:r w:rsidRPr="00B762CD">
              <w:rPr>
                <w:rFonts w:eastAsia="Calibri" w:cs="Times New Roman"/>
                <w:szCs w:val="24"/>
              </w:rPr>
              <w:t xml:space="preserve">in depth exploration of </w:t>
            </w:r>
            <w:r>
              <w:rPr>
                <w:rFonts w:eastAsia="Calibri" w:cs="Times New Roman"/>
                <w:szCs w:val="24"/>
              </w:rPr>
              <w:t xml:space="preserve">BTW, DESW </w:t>
            </w:r>
            <w:r w:rsidRPr="00B762CD">
              <w:rPr>
                <w:rFonts w:eastAsia="Calibri" w:cs="Times New Roman"/>
                <w:szCs w:val="24"/>
              </w:rPr>
              <w:t xml:space="preserve">and AAA; </w:t>
            </w:r>
            <w:r>
              <w:rPr>
                <w:rFonts w:eastAsia="Calibri" w:cs="Times New Roman"/>
                <w:szCs w:val="24"/>
              </w:rPr>
              <w:t>noting the expected recovery of the</w:t>
            </w:r>
            <w:r w:rsidRPr="00B762CD">
              <w:rPr>
                <w:rFonts w:eastAsia="Calibri" w:cs="Times New Roman"/>
                <w:szCs w:val="24"/>
              </w:rPr>
              <w:t xml:space="preserve"> AAA </w:t>
            </w:r>
            <w:r>
              <w:rPr>
                <w:rFonts w:eastAsia="Calibri" w:cs="Times New Roman"/>
                <w:szCs w:val="24"/>
              </w:rPr>
              <w:t xml:space="preserve">programme </w:t>
            </w:r>
            <w:r w:rsidRPr="00B762CD">
              <w:rPr>
                <w:rFonts w:eastAsia="Calibri" w:cs="Times New Roman"/>
                <w:szCs w:val="24"/>
              </w:rPr>
              <w:t>within the next two months.</w:t>
            </w:r>
          </w:p>
          <w:p w14:paraId="166F79D5" w14:textId="77777777" w:rsidR="009965D9" w:rsidRDefault="009965D9" w:rsidP="009965D9">
            <w:pPr>
              <w:pStyle w:val="ListParagraph"/>
              <w:numPr>
                <w:ilvl w:val="0"/>
                <w:numId w:val="37"/>
              </w:numPr>
              <w:tabs>
                <w:tab w:val="left" w:pos="2552"/>
              </w:tabs>
              <w:jc w:val="both"/>
              <w:rPr>
                <w:rFonts w:eastAsia="Calibri" w:cs="Times New Roman"/>
                <w:szCs w:val="24"/>
              </w:rPr>
            </w:pPr>
            <w:r>
              <w:rPr>
                <w:rFonts w:eastAsia="Calibri" w:cs="Times New Roman"/>
                <w:szCs w:val="24"/>
              </w:rPr>
              <w:t xml:space="preserve">Committee </w:t>
            </w:r>
            <w:r w:rsidRPr="00B762CD">
              <w:rPr>
                <w:rFonts w:eastAsia="Calibri" w:cs="Times New Roman"/>
                <w:szCs w:val="24"/>
              </w:rPr>
              <w:t>on-site visit to</w:t>
            </w:r>
            <w:r>
              <w:rPr>
                <w:rFonts w:eastAsia="Calibri" w:cs="Times New Roman"/>
                <w:szCs w:val="24"/>
              </w:rPr>
              <w:t xml:space="preserve"> Magden Park </w:t>
            </w:r>
            <w:r w:rsidRPr="00B762CD">
              <w:rPr>
                <w:rFonts w:eastAsia="Calibri" w:cs="Times New Roman"/>
                <w:szCs w:val="24"/>
              </w:rPr>
              <w:t>in December 2022</w:t>
            </w:r>
            <w:r>
              <w:rPr>
                <w:rFonts w:eastAsia="Calibri" w:cs="Times New Roman"/>
                <w:szCs w:val="24"/>
              </w:rPr>
              <w:t>, to meet with screening teams and to hear from the Director of Screening, Sharon Hillier.</w:t>
            </w:r>
          </w:p>
          <w:p w14:paraId="4DA18F22" w14:textId="77777777" w:rsidR="009965D9" w:rsidRPr="00385A32" w:rsidRDefault="009965D9" w:rsidP="009965D9">
            <w:pPr>
              <w:pStyle w:val="ListParagraph"/>
              <w:numPr>
                <w:ilvl w:val="0"/>
                <w:numId w:val="33"/>
              </w:numPr>
              <w:tabs>
                <w:tab w:val="left" w:pos="2552"/>
              </w:tabs>
              <w:jc w:val="both"/>
            </w:pPr>
            <w:r>
              <w:rPr>
                <w:rFonts w:eastAsia="Calibri" w:cs="Times New Roman"/>
                <w:szCs w:val="24"/>
              </w:rPr>
              <w:t xml:space="preserve">Detailed discussion on Screening as part of the Integrated Performance Report at Board in January, </w:t>
            </w:r>
            <w:r w:rsidRPr="00E46B7A">
              <w:rPr>
                <w:rFonts w:eastAsia="Calibri" w:cs="Times New Roman"/>
                <w:szCs w:val="24"/>
              </w:rPr>
              <w:t>referenc</w:t>
            </w:r>
            <w:r>
              <w:rPr>
                <w:rFonts w:eastAsia="Calibri" w:cs="Times New Roman"/>
                <w:szCs w:val="24"/>
              </w:rPr>
              <w:t>ing</w:t>
            </w:r>
            <w:r w:rsidRPr="00E46B7A">
              <w:rPr>
                <w:rFonts w:eastAsia="Calibri" w:cs="Times New Roman"/>
                <w:szCs w:val="24"/>
              </w:rPr>
              <w:t xml:space="preserve"> the need for transformation, of the kind underway currently across the DESW programme</w:t>
            </w:r>
            <w:r>
              <w:rPr>
                <w:rFonts w:eastAsia="Calibri" w:cs="Times New Roman"/>
                <w:szCs w:val="24"/>
              </w:rPr>
              <w:t xml:space="preserve"> and current challenges facing different screening programmes.</w:t>
            </w:r>
            <w:r w:rsidRPr="006C2C38">
              <w:rPr>
                <w:rFonts w:cstheme="minorHAnsi"/>
              </w:rPr>
              <w:t xml:space="preserve"> </w:t>
            </w:r>
          </w:p>
          <w:p w14:paraId="307B887E" w14:textId="1C765538" w:rsidR="009965D9" w:rsidRPr="00D2033C" w:rsidRDefault="009965D9" w:rsidP="009965D9"/>
        </w:tc>
      </w:tr>
    </w:tbl>
    <w:p w14:paraId="7819E15C" w14:textId="77777777" w:rsidR="000B3826" w:rsidRPr="000B3826" w:rsidRDefault="000B3826" w:rsidP="000B3826"/>
    <w:p w14:paraId="13E78341" w14:textId="77777777" w:rsidR="000B3826" w:rsidRPr="000B3826" w:rsidRDefault="000B3826" w:rsidP="000B3826">
      <w:pPr>
        <w:numPr>
          <w:ilvl w:val="1"/>
          <w:numId w:val="29"/>
        </w:numPr>
        <w:rPr>
          <w:b/>
        </w:rPr>
      </w:pPr>
      <w:r w:rsidRPr="000B3826">
        <w:rPr>
          <w:b/>
        </w:rPr>
        <w:t>Risk 3</w:t>
      </w:r>
    </w:p>
    <w:p w14:paraId="33A31FC4" w14:textId="77777777" w:rsidR="000B3826" w:rsidRPr="000B3826" w:rsidRDefault="000B3826" w:rsidP="000B3826"/>
    <w:p w14:paraId="659A7F88" w14:textId="77777777" w:rsidR="004972FA" w:rsidRDefault="004972FA" w:rsidP="004972FA">
      <w:r>
        <w:t>Progress continues to be made within the action due dates. A key element to note is the number of interdependencies with other functional areas and the progress made demonstrates that these are operating smoothly in pursuit of the actions. The organisation can take assurance that the risk is being appropriately managed.</w:t>
      </w:r>
    </w:p>
    <w:p w14:paraId="58E29761" w14:textId="77777777" w:rsidR="000B3826" w:rsidRPr="000B3826" w:rsidRDefault="000B3826" w:rsidP="000B3826"/>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45990314"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7D65C21" w14:textId="77777777" w:rsidR="000B3826" w:rsidRPr="000B3826" w:rsidRDefault="000B3826" w:rsidP="000B3826">
            <w:bookmarkStart w:id="8" w:name="Risk3"/>
            <w:bookmarkEnd w:id="8"/>
            <w:r w:rsidRPr="000B3826">
              <w:rPr>
                <w:b/>
              </w:rPr>
              <w:t>Risk Description</w:t>
            </w:r>
          </w:p>
        </w:tc>
      </w:tr>
      <w:tr w:rsidR="000B3826" w:rsidRPr="000B3826" w14:paraId="22E1B34D"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1A17ECBC" w14:textId="77777777" w:rsidR="000B3826" w:rsidRPr="000B3826" w:rsidRDefault="000B3826" w:rsidP="000B3826">
            <w:r w:rsidRPr="000B3826">
              <w:t>There is a risk that we will not manage organisational change well, caused by multiple change programmes being implemented simultaneously, but in isolation, and insufficient time to effectively engage an exhausted workforce, resulting in high levels of sickness absence, vacancies, staff turnover and stress. </w:t>
            </w:r>
          </w:p>
        </w:tc>
      </w:tr>
      <w:tr w:rsidR="000B3826" w:rsidRPr="000B3826" w14:paraId="7E145622"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7A863FE"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210EB01" w14:textId="77777777" w:rsidR="000B3826" w:rsidRPr="000B3826" w:rsidRDefault="000B3826" w:rsidP="000B3826">
            <w:r w:rsidRPr="000B3826">
              <w:rPr>
                <w:b/>
              </w:rPr>
              <w:t>Proposal for de-escalation or removal*</w:t>
            </w:r>
          </w:p>
        </w:tc>
      </w:tr>
      <w:tr w:rsidR="000B3826" w:rsidRPr="000B3826" w14:paraId="0FC0AF08"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6D394F35" w14:textId="77777777" w:rsidR="000B3826" w:rsidRPr="00D2033C" w:rsidRDefault="000B3826" w:rsidP="000B3826">
            <w:r w:rsidRPr="00D2033C">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4AA0A402" w14:textId="77777777" w:rsidR="000B3826" w:rsidRPr="00D2033C" w:rsidRDefault="000B3826" w:rsidP="000B3826">
            <w:r w:rsidRPr="00D2033C">
              <w:t>Not Applicable</w:t>
            </w:r>
          </w:p>
        </w:tc>
      </w:tr>
      <w:tr w:rsidR="000B3826" w:rsidRPr="000B3826" w14:paraId="3D9E471F"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E077243"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EB76290" w14:textId="378C22D0" w:rsidR="000B3826" w:rsidRPr="000B3826" w:rsidRDefault="000B3826" w:rsidP="000B3826">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4CE948" w14:textId="77777777" w:rsidR="000B3826" w:rsidRPr="000B3826" w:rsidRDefault="000B3826" w:rsidP="000B3826">
            <w:pPr>
              <w:rPr>
                <w:b/>
              </w:rPr>
            </w:pPr>
            <w:r w:rsidRPr="000B3826">
              <w:rPr>
                <w:b/>
              </w:rPr>
              <w:t>Present Score</w:t>
            </w:r>
          </w:p>
        </w:tc>
      </w:tr>
      <w:tr w:rsidR="000B3826" w:rsidRPr="000B3826" w14:paraId="11A44E05"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7C1B538A" w14:textId="77777777" w:rsidR="000B3826" w:rsidRPr="000B3826" w:rsidRDefault="000B3826" w:rsidP="000B3826">
            <w:r w:rsidRPr="000B3826">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60C8D3" w14:textId="77777777" w:rsidR="000B3826" w:rsidRPr="000B3826" w:rsidRDefault="000B3826" w:rsidP="000B3826">
            <w:r w:rsidRPr="000B3826">
              <w:t>5</w:t>
            </w:r>
          </w:p>
        </w:tc>
        <w:tc>
          <w:tcPr>
            <w:tcW w:w="1276" w:type="dxa"/>
            <w:tcBorders>
              <w:top w:val="single" w:sz="4" w:space="0" w:color="auto"/>
              <w:left w:val="single" w:sz="4" w:space="0" w:color="auto"/>
              <w:bottom w:val="single" w:sz="4" w:space="0" w:color="auto"/>
              <w:right w:val="single" w:sz="4" w:space="0" w:color="auto"/>
            </w:tcBorders>
          </w:tcPr>
          <w:p w14:paraId="7F050B82" w14:textId="77777777" w:rsidR="000B3826" w:rsidRPr="000B3826" w:rsidRDefault="000B3826" w:rsidP="000B3826">
            <w:r w:rsidRPr="000B3826">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7F9777A7" w14:textId="77777777" w:rsidR="000B3826" w:rsidRPr="000B3826" w:rsidRDefault="000B3826" w:rsidP="000B3826">
            <w:r w:rsidRPr="000B3826">
              <w:t>25</w:t>
            </w:r>
          </w:p>
        </w:tc>
        <w:tc>
          <w:tcPr>
            <w:tcW w:w="1230" w:type="dxa"/>
            <w:tcBorders>
              <w:top w:val="single" w:sz="4" w:space="0" w:color="auto"/>
              <w:left w:val="single" w:sz="4" w:space="0" w:color="auto"/>
              <w:bottom w:val="single" w:sz="4" w:space="0" w:color="auto"/>
              <w:right w:val="single" w:sz="4" w:space="0" w:color="auto"/>
            </w:tcBorders>
            <w:hideMark/>
          </w:tcPr>
          <w:p w14:paraId="70D64491" w14:textId="77777777" w:rsidR="000B3826" w:rsidRPr="000B3826" w:rsidRDefault="000B3826" w:rsidP="000B3826">
            <w:r w:rsidRPr="000B3826">
              <w:t>5</w:t>
            </w:r>
          </w:p>
        </w:tc>
        <w:tc>
          <w:tcPr>
            <w:tcW w:w="1230" w:type="dxa"/>
            <w:tcBorders>
              <w:top w:val="single" w:sz="4" w:space="0" w:color="auto"/>
              <w:left w:val="single" w:sz="4" w:space="0" w:color="auto"/>
              <w:bottom w:val="single" w:sz="4" w:space="0" w:color="auto"/>
              <w:right w:val="single" w:sz="4" w:space="0" w:color="auto"/>
            </w:tcBorders>
            <w:hideMark/>
          </w:tcPr>
          <w:p w14:paraId="6711551A" w14:textId="77777777" w:rsidR="000B3826" w:rsidRPr="000B3826" w:rsidRDefault="000B3826" w:rsidP="000B3826">
            <w:r w:rsidRPr="000B3826">
              <w:t>5</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1EFAABFA" w14:textId="77777777" w:rsidR="000B3826" w:rsidRPr="000B3826" w:rsidRDefault="000B3826" w:rsidP="000B3826">
            <w:r w:rsidRPr="000B3826">
              <w:t>25</w:t>
            </w:r>
          </w:p>
        </w:tc>
      </w:tr>
      <w:tr w:rsidR="000B3826" w:rsidRPr="000B3826" w14:paraId="527D8A7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751D222" w14:textId="77777777" w:rsidR="000B3826" w:rsidRPr="000B3826" w:rsidRDefault="000B3826" w:rsidP="000B3826">
            <w:r w:rsidRPr="000B3826">
              <w:t>Current</w:t>
            </w:r>
          </w:p>
        </w:tc>
        <w:tc>
          <w:tcPr>
            <w:tcW w:w="1276" w:type="dxa"/>
            <w:tcBorders>
              <w:top w:val="single" w:sz="4" w:space="0" w:color="auto"/>
              <w:left w:val="single" w:sz="4" w:space="0" w:color="auto"/>
              <w:bottom w:val="single" w:sz="4" w:space="0" w:color="auto"/>
              <w:right w:val="single" w:sz="4" w:space="0" w:color="auto"/>
            </w:tcBorders>
          </w:tcPr>
          <w:p w14:paraId="48F744A8"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tcPr>
          <w:p w14:paraId="5111C6DC" w14:textId="77777777" w:rsidR="000B3826" w:rsidRPr="000B3826" w:rsidRDefault="000B3826" w:rsidP="000B3826">
            <w:r w:rsidRPr="000B3826">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3206B9FE" w14:textId="77777777" w:rsidR="000B3826" w:rsidRPr="000B3826" w:rsidRDefault="000B3826" w:rsidP="000B3826">
            <w:r w:rsidRPr="000B3826">
              <w:t>15</w:t>
            </w:r>
          </w:p>
        </w:tc>
        <w:tc>
          <w:tcPr>
            <w:tcW w:w="1230" w:type="dxa"/>
            <w:tcBorders>
              <w:top w:val="single" w:sz="4" w:space="0" w:color="auto"/>
              <w:left w:val="single" w:sz="4" w:space="0" w:color="auto"/>
              <w:bottom w:val="single" w:sz="4" w:space="0" w:color="auto"/>
              <w:right w:val="single" w:sz="4" w:space="0" w:color="auto"/>
            </w:tcBorders>
            <w:hideMark/>
          </w:tcPr>
          <w:p w14:paraId="471A1778"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4F033A66" w14:textId="77777777" w:rsidR="000B3826" w:rsidRPr="000B3826" w:rsidRDefault="000B3826" w:rsidP="000B3826">
            <w:r w:rsidRPr="000B3826">
              <w:t>5</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49E432CC" w14:textId="77777777" w:rsidR="000B3826" w:rsidRPr="000B3826" w:rsidRDefault="000B3826" w:rsidP="000B3826">
            <w:r w:rsidRPr="000B3826">
              <w:t>15</w:t>
            </w:r>
          </w:p>
        </w:tc>
      </w:tr>
      <w:tr w:rsidR="000B3826" w:rsidRPr="000B3826" w14:paraId="4480C32E"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353690BD" w14:textId="77777777" w:rsidR="000B3826" w:rsidRPr="000B3826" w:rsidRDefault="000B3826" w:rsidP="000B3826">
            <w:r w:rsidRPr="000B3826">
              <w:t>Target</w:t>
            </w:r>
          </w:p>
        </w:tc>
        <w:tc>
          <w:tcPr>
            <w:tcW w:w="1276" w:type="dxa"/>
            <w:tcBorders>
              <w:top w:val="single" w:sz="4" w:space="0" w:color="auto"/>
              <w:left w:val="single" w:sz="4" w:space="0" w:color="auto"/>
              <w:bottom w:val="single" w:sz="4" w:space="0" w:color="auto"/>
              <w:right w:val="single" w:sz="4" w:space="0" w:color="auto"/>
            </w:tcBorders>
          </w:tcPr>
          <w:p w14:paraId="095B6666"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tcPr>
          <w:p w14:paraId="12741253" w14:textId="77777777" w:rsidR="000B3826" w:rsidRPr="000B3826" w:rsidRDefault="000B3826" w:rsidP="000B3826">
            <w:r w:rsidRPr="000B3826">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09EFC7A2" w14:textId="77777777" w:rsidR="000B3826" w:rsidRPr="000B3826" w:rsidRDefault="000B3826" w:rsidP="000B3826">
            <w:r w:rsidRPr="000B3826">
              <w:t>9</w:t>
            </w:r>
          </w:p>
        </w:tc>
        <w:tc>
          <w:tcPr>
            <w:tcW w:w="1230" w:type="dxa"/>
            <w:tcBorders>
              <w:top w:val="single" w:sz="4" w:space="0" w:color="auto"/>
              <w:left w:val="single" w:sz="4" w:space="0" w:color="auto"/>
              <w:bottom w:val="single" w:sz="4" w:space="0" w:color="auto"/>
              <w:right w:val="single" w:sz="4" w:space="0" w:color="auto"/>
            </w:tcBorders>
            <w:hideMark/>
          </w:tcPr>
          <w:p w14:paraId="4ECA3E49"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3FC44558" w14:textId="77777777" w:rsidR="000B3826" w:rsidRPr="000B3826" w:rsidRDefault="000B3826" w:rsidP="000B3826">
            <w:r w:rsidRPr="000B3826">
              <w:t>3</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67A51E1A" w14:textId="77777777" w:rsidR="000B3826" w:rsidRPr="000B3826" w:rsidRDefault="000B3826" w:rsidP="000B3826">
            <w:r w:rsidRPr="000B3826">
              <w:t>9</w:t>
            </w:r>
          </w:p>
        </w:tc>
      </w:tr>
      <w:tr w:rsidR="000B3826" w:rsidRPr="000B3826" w14:paraId="78ED7EED" w14:textId="77777777" w:rsidTr="00D2033C">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ACC9F98" w14:textId="3458AD8C" w:rsidR="000B3826" w:rsidRPr="000B3826" w:rsidRDefault="000B3826" w:rsidP="000B3826">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134291" w14:textId="77777777" w:rsidR="000B3826" w:rsidRPr="000B3826" w:rsidRDefault="000B3826" w:rsidP="000B3826">
            <w:pPr>
              <w:rPr>
                <w:b/>
              </w:rPr>
            </w:pPr>
            <w:r w:rsidRPr="000B3826">
              <w:rPr>
                <w:b/>
              </w:rPr>
              <w:t>Present Live DCA</w:t>
            </w:r>
          </w:p>
        </w:tc>
      </w:tr>
      <w:tr w:rsidR="000B3826" w:rsidRPr="000B3826" w14:paraId="42F8B9BF" w14:textId="77777777" w:rsidTr="00D2033C">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4A2B4A86" w14:textId="77777777" w:rsidR="000B3826" w:rsidRPr="000B3826" w:rsidRDefault="000B3826" w:rsidP="000B3826">
            <w:r w:rsidRPr="000B3826">
              <w:t>Amber</w:t>
            </w:r>
          </w:p>
        </w:tc>
        <w:tc>
          <w:tcPr>
            <w:tcW w:w="4967"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79D6DD67" w14:textId="77777777" w:rsidR="000B3826" w:rsidRPr="000B3826" w:rsidRDefault="000B3826" w:rsidP="000B3826">
            <w:r w:rsidRPr="000B3826">
              <w:t>Amber</w:t>
            </w:r>
          </w:p>
        </w:tc>
      </w:tr>
      <w:tr w:rsidR="000B3826" w:rsidRPr="000B3826" w14:paraId="5B31D8D0"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AFA9BA4" w14:textId="77777777" w:rsidR="000B3826" w:rsidRPr="000B3826" w:rsidRDefault="000B3826" w:rsidP="000B3826">
            <w:pPr>
              <w:rPr>
                <w:b/>
              </w:rPr>
            </w:pPr>
            <w:r w:rsidRPr="000B3826">
              <w:rPr>
                <w:b/>
              </w:rPr>
              <w:t>Executive Sponsor Insight</w:t>
            </w:r>
          </w:p>
        </w:tc>
      </w:tr>
      <w:tr w:rsidR="000B3826" w:rsidRPr="000B3826" w14:paraId="31BD07E7" w14:textId="77777777" w:rsidTr="00D2033C">
        <w:tc>
          <w:tcPr>
            <w:tcW w:w="9782" w:type="dxa"/>
            <w:gridSpan w:val="8"/>
            <w:tcBorders>
              <w:top w:val="single" w:sz="4" w:space="0" w:color="auto"/>
              <w:left w:val="single" w:sz="4" w:space="0" w:color="auto"/>
              <w:bottom w:val="single" w:sz="4" w:space="0" w:color="auto"/>
              <w:right w:val="single" w:sz="4" w:space="0" w:color="auto"/>
            </w:tcBorders>
          </w:tcPr>
          <w:p w14:paraId="22579588" w14:textId="77777777" w:rsidR="000B3826" w:rsidRPr="00D2033C" w:rsidRDefault="000B3826" w:rsidP="000B3826"/>
          <w:p w14:paraId="15104073" w14:textId="77777777" w:rsidR="000B3826" w:rsidRPr="00D2033C" w:rsidRDefault="000B3826" w:rsidP="000B3826">
            <w:r w:rsidRPr="00D2033C">
              <w:t xml:space="preserve">The current DCA remains stable and the planned actions are being progressed, noting the interdependencies with other functional areas across the organisation.  </w:t>
            </w:r>
          </w:p>
          <w:p w14:paraId="2B853E8A" w14:textId="77777777" w:rsidR="000B3826" w:rsidRPr="00D2033C" w:rsidRDefault="000B3826" w:rsidP="000B3826"/>
        </w:tc>
      </w:tr>
      <w:tr w:rsidR="000B3826" w:rsidRPr="000B3826" w14:paraId="26DEA90B"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BE5059B" w14:textId="77777777" w:rsidR="000B3826" w:rsidRPr="00D2033C" w:rsidRDefault="000B3826" w:rsidP="000B3826">
            <w:pPr>
              <w:rPr>
                <w:b/>
              </w:rPr>
            </w:pPr>
            <w:r w:rsidRPr="00D2033C">
              <w:rPr>
                <w:b/>
              </w:rPr>
              <w:t xml:space="preserve">Overview of changes to controls/actions </w:t>
            </w:r>
          </w:p>
          <w:p w14:paraId="5C14D93C" w14:textId="77777777" w:rsidR="000B3826" w:rsidRPr="00D2033C" w:rsidRDefault="000B3826" w:rsidP="000B3826">
            <w:r w:rsidRPr="00D2033C">
              <w:t>(text marked in red in full risk which can be found in Appendix 1.</w:t>
            </w:r>
          </w:p>
        </w:tc>
      </w:tr>
      <w:tr w:rsidR="000B3826" w:rsidRPr="000B3826" w14:paraId="634C730F"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707C118"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0F87951B" w14:textId="0FBA6794" w:rsidR="000B3826" w:rsidRPr="00D2033C" w:rsidRDefault="001D7EEF" w:rsidP="000B3826">
            <w:r>
              <w:t>No changes</w:t>
            </w:r>
          </w:p>
          <w:p w14:paraId="5F6FE90D" w14:textId="77777777" w:rsidR="000B3826" w:rsidRPr="00D2033C" w:rsidRDefault="000B3826" w:rsidP="000B3826"/>
        </w:tc>
      </w:tr>
      <w:tr w:rsidR="000B3826" w:rsidRPr="000B3826" w14:paraId="71FEC8A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6E6F067" w14:textId="77777777" w:rsidR="000B3826" w:rsidRPr="000B3826" w:rsidRDefault="000B3826" w:rsidP="000B3826">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tcPr>
          <w:p w14:paraId="64A14CBF" w14:textId="62FD208D" w:rsidR="000B3826" w:rsidRPr="00D2033C" w:rsidRDefault="001D7EEF" w:rsidP="000B3826">
            <w:r>
              <w:t xml:space="preserve">Actions have been reviewed and due dates amended since last submission to Board. </w:t>
            </w:r>
          </w:p>
          <w:p w14:paraId="1B0A3778" w14:textId="77777777" w:rsidR="000B3826" w:rsidRPr="00D2033C" w:rsidRDefault="000B3826" w:rsidP="000B3826"/>
        </w:tc>
      </w:tr>
      <w:tr w:rsidR="000B3826" w:rsidRPr="000B3826" w14:paraId="0FCE77BA"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6641172" w14:textId="77777777" w:rsidR="000B3826" w:rsidRPr="000B3826" w:rsidRDefault="000B3826" w:rsidP="000B3826">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4B80306C" w14:textId="45584EED" w:rsidR="000B3826" w:rsidRPr="00D2033C" w:rsidRDefault="000B3826" w:rsidP="009965D9">
            <w:r w:rsidRPr="00D2033C">
              <w:t xml:space="preserve">The Long Term Strategy refresh and Quality as </w:t>
            </w:r>
            <w:r w:rsidR="006B0AD3">
              <w:t xml:space="preserve">an Organisation </w:t>
            </w:r>
            <w:r w:rsidRPr="00D2033C">
              <w:t>Strategy work provides an opportunity to enable a more planned and sustainable approach to the management of change</w:t>
            </w:r>
            <w:r w:rsidR="001D7EEF">
              <w:t>.  Directorate workforce planning activity will also support resourcing, which will mitigate the identified level o</w:t>
            </w:r>
            <w:r w:rsidRPr="00D2033C">
              <w:t xml:space="preserve">f risk.  </w:t>
            </w:r>
          </w:p>
        </w:tc>
      </w:tr>
      <w:tr w:rsidR="009965D9" w:rsidRPr="000B3826" w14:paraId="1B900E31" w14:textId="77777777" w:rsidTr="00D2033C">
        <w:tc>
          <w:tcPr>
            <w:tcW w:w="2263" w:type="dxa"/>
            <w:tcBorders>
              <w:top w:val="single" w:sz="4" w:space="0" w:color="auto"/>
              <w:left w:val="single" w:sz="4" w:space="0" w:color="auto"/>
              <w:bottom w:val="single" w:sz="4" w:space="0" w:color="auto"/>
              <w:right w:val="single" w:sz="4" w:space="0" w:color="auto"/>
            </w:tcBorders>
          </w:tcPr>
          <w:p w14:paraId="7020484A" w14:textId="373832D6" w:rsidR="009965D9" w:rsidRPr="000B3826" w:rsidRDefault="009965D9" w:rsidP="009965D9">
            <w:pPr>
              <w:rPr>
                <w:b/>
              </w:rPr>
            </w:pPr>
            <w:r>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2182374B" w14:textId="2C739A17" w:rsidR="009965D9" w:rsidRPr="00D2033C" w:rsidRDefault="009965D9" w:rsidP="00F705F3">
            <w:r>
              <w:t xml:space="preserve">The </w:t>
            </w:r>
            <w:r w:rsidRPr="009965D9">
              <w:rPr>
                <w:b/>
              </w:rPr>
              <w:t>People and Organisational Development Committee</w:t>
            </w:r>
            <w:r>
              <w:t xml:space="preserve"> </w:t>
            </w:r>
            <w:r w:rsidR="00F705F3">
              <w:t>considered</w:t>
            </w:r>
            <w:r>
              <w:t xml:space="preserve"> this risk in March 2023.  The Committee considers the data relating to </w:t>
            </w:r>
            <w:r w:rsidRPr="00316A88">
              <w:t>sickness absence, vacan</w:t>
            </w:r>
            <w:r>
              <w:t xml:space="preserve">cies and staff turnover and at each meeting through review of the Performance Assurance Dashboard. </w:t>
            </w:r>
          </w:p>
        </w:tc>
      </w:tr>
    </w:tbl>
    <w:p w14:paraId="7ED3E1E6" w14:textId="77777777" w:rsidR="000B3826" w:rsidRPr="000B3826" w:rsidRDefault="000B3826" w:rsidP="000B3826"/>
    <w:p w14:paraId="218E31C3" w14:textId="77777777" w:rsidR="000B3826" w:rsidRPr="000B3826" w:rsidRDefault="000B3826" w:rsidP="000B3826">
      <w:pPr>
        <w:numPr>
          <w:ilvl w:val="1"/>
          <w:numId w:val="29"/>
        </w:numPr>
        <w:rPr>
          <w:b/>
        </w:rPr>
      </w:pPr>
      <w:r w:rsidRPr="000B3826">
        <w:rPr>
          <w:b/>
        </w:rPr>
        <w:t>Risk 4</w:t>
      </w:r>
    </w:p>
    <w:p w14:paraId="6717CD65" w14:textId="77777777" w:rsidR="000B3826" w:rsidRPr="000B3826" w:rsidRDefault="000B3826" w:rsidP="000B3826"/>
    <w:p w14:paraId="4B7AF5B7" w14:textId="3CB11564" w:rsidR="001D7EEF" w:rsidRDefault="001D7EEF" w:rsidP="000B3826">
      <w:r>
        <w:t xml:space="preserve">Many of the actions to address this risk are expected to be completed by the end of the financial year, which should result in a notable change to the risk status. </w:t>
      </w:r>
      <w:r w:rsidR="004972FA">
        <w:t>Two actions remain overdue from their original delivery date.</w:t>
      </w:r>
    </w:p>
    <w:p w14:paraId="0780F44A" w14:textId="77777777" w:rsidR="001D7EEF" w:rsidRPr="000B3826" w:rsidRDefault="001D7EEF" w:rsidP="000B3826"/>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3143A7B8" w14:textId="77777777" w:rsidTr="232C3938">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0121886" w14:textId="77777777" w:rsidR="000B3826" w:rsidRPr="000B3826" w:rsidRDefault="000B3826" w:rsidP="000B3826">
            <w:bookmarkStart w:id="9" w:name="Risk4"/>
            <w:bookmarkEnd w:id="9"/>
            <w:r w:rsidRPr="000B3826">
              <w:rPr>
                <w:b/>
              </w:rPr>
              <w:t>Risk Description</w:t>
            </w:r>
          </w:p>
        </w:tc>
      </w:tr>
      <w:tr w:rsidR="000B3826" w:rsidRPr="000B3826" w14:paraId="30841A8D" w14:textId="77777777" w:rsidTr="232C3938">
        <w:tc>
          <w:tcPr>
            <w:tcW w:w="9782" w:type="dxa"/>
            <w:gridSpan w:val="8"/>
            <w:tcBorders>
              <w:top w:val="single" w:sz="4" w:space="0" w:color="auto"/>
              <w:left w:val="single" w:sz="4" w:space="0" w:color="auto"/>
              <w:bottom w:val="single" w:sz="4" w:space="0" w:color="auto"/>
              <w:right w:val="single" w:sz="4" w:space="0" w:color="auto"/>
            </w:tcBorders>
            <w:hideMark/>
          </w:tcPr>
          <w:p w14:paraId="0B860BEC" w14:textId="77777777" w:rsidR="000B3826" w:rsidRPr="000B3826" w:rsidRDefault="000B3826" w:rsidP="000B3826">
            <w:r w:rsidRPr="000B3826">
              <w:t>There is a risk that we are unable to attract and retain the required professional workforce caused by skill shortages and increased pressures on staff, which has been exacerbated by the Covid-19 pandemic, resulting in there being insufficient capability and capacity to deliver our plans </w:t>
            </w:r>
          </w:p>
        </w:tc>
      </w:tr>
      <w:tr w:rsidR="000B3826" w:rsidRPr="000B3826" w14:paraId="2110F8A4" w14:textId="77777777" w:rsidTr="232C3938">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6FB6771"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BC3A30" w14:textId="77777777" w:rsidR="000B3826" w:rsidRPr="000B3826" w:rsidRDefault="000B3826" w:rsidP="000B3826">
            <w:r w:rsidRPr="000B3826">
              <w:rPr>
                <w:b/>
              </w:rPr>
              <w:t>Proposal for de-escalation or removal*</w:t>
            </w:r>
          </w:p>
        </w:tc>
      </w:tr>
      <w:tr w:rsidR="000B3826" w:rsidRPr="000B3826" w14:paraId="032212D7" w14:textId="77777777" w:rsidTr="232C3938">
        <w:tc>
          <w:tcPr>
            <w:tcW w:w="4891" w:type="dxa"/>
            <w:gridSpan w:val="4"/>
            <w:tcBorders>
              <w:top w:val="single" w:sz="4" w:space="0" w:color="auto"/>
              <w:left w:val="single" w:sz="4" w:space="0" w:color="auto"/>
              <w:bottom w:val="single" w:sz="4" w:space="0" w:color="auto"/>
              <w:right w:val="single" w:sz="4" w:space="0" w:color="auto"/>
            </w:tcBorders>
            <w:hideMark/>
          </w:tcPr>
          <w:p w14:paraId="231F5DB5" w14:textId="77777777" w:rsidR="000B3826" w:rsidRPr="00D2033C" w:rsidRDefault="000B3826" w:rsidP="000B3826">
            <w:r w:rsidRPr="00D2033C">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055AB017" w14:textId="77777777" w:rsidR="000B3826" w:rsidRPr="00D2033C" w:rsidRDefault="000B3826" w:rsidP="000B3826">
            <w:r w:rsidRPr="00D2033C">
              <w:t>Not Applicable</w:t>
            </w:r>
          </w:p>
        </w:tc>
      </w:tr>
      <w:tr w:rsidR="000B3826" w:rsidRPr="000B3826" w14:paraId="7D61A620" w14:textId="77777777" w:rsidTr="232C3938">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396339"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DA0667D" w14:textId="482A94D3" w:rsidR="000B3826" w:rsidRPr="000B3826" w:rsidRDefault="000B3826" w:rsidP="000B3826">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D889FA6" w14:textId="77777777" w:rsidR="000B3826" w:rsidRPr="000B3826" w:rsidRDefault="000B3826" w:rsidP="000B3826">
            <w:pPr>
              <w:rPr>
                <w:b/>
              </w:rPr>
            </w:pPr>
            <w:r w:rsidRPr="000B3826">
              <w:rPr>
                <w:b/>
              </w:rPr>
              <w:t>Present Score</w:t>
            </w:r>
          </w:p>
        </w:tc>
      </w:tr>
      <w:tr w:rsidR="000B3826" w:rsidRPr="000B3826" w14:paraId="33C37CD9"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262F1F86" w14:textId="77777777" w:rsidR="000B3826" w:rsidRPr="000B3826" w:rsidRDefault="000B3826" w:rsidP="000B3826">
            <w:r w:rsidRPr="000B3826">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D921EE" w14:textId="77777777" w:rsidR="000B3826" w:rsidRPr="000B3826" w:rsidRDefault="000B3826" w:rsidP="000B3826">
            <w:r w:rsidRPr="000B3826">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F7A7E3" w14:textId="77777777" w:rsidR="000B3826" w:rsidRPr="000B3826" w:rsidRDefault="000B3826" w:rsidP="000B3826">
            <w:r w:rsidRPr="000B3826">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03F09632" w14:textId="77777777" w:rsidR="000B3826" w:rsidRPr="000B3826" w:rsidRDefault="000B3826" w:rsidP="000B3826">
            <w:r w:rsidRPr="000B3826">
              <w:t>25</w:t>
            </w:r>
          </w:p>
        </w:tc>
        <w:tc>
          <w:tcPr>
            <w:tcW w:w="1230" w:type="dxa"/>
            <w:tcBorders>
              <w:top w:val="single" w:sz="4" w:space="0" w:color="auto"/>
              <w:left w:val="single" w:sz="4" w:space="0" w:color="auto"/>
              <w:bottom w:val="single" w:sz="4" w:space="0" w:color="auto"/>
              <w:right w:val="single" w:sz="4" w:space="0" w:color="auto"/>
            </w:tcBorders>
            <w:hideMark/>
          </w:tcPr>
          <w:p w14:paraId="3FBEB0C4" w14:textId="77777777" w:rsidR="000B3826" w:rsidRPr="000B3826" w:rsidRDefault="000B3826" w:rsidP="000B3826">
            <w:r w:rsidRPr="000B3826">
              <w:t>5</w:t>
            </w:r>
          </w:p>
        </w:tc>
        <w:tc>
          <w:tcPr>
            <w:tcW w:w="1230" w:type="dxa"/>
            <w:tcBorders>
              <w:top w:val="single" w:sz="4" w:space="0" w:color="auto"/>
              <w:left w:val="single" w:sz="4" w:space="0" w:color="auto"/>
              <w:bottom w:val="single" w:sz="4" w:space="0" w:color="auto"/>
              <w:right w:val="single" w:sz="4" w:space="0" w:color="auto"/>
            </w:tcBorders>
            <w:hideMark/>
          </w:tcPr>
          <w:p w14:paraId="11901650" w14:textId="77777777" w:rsidR="000B3826" w:rsidRPr="000B3826" w:rsidRDefault="000B3826" w:rsidP="000B3826">
            <w:r w:rsidRPr="000B3826">
              <w:t>5</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5FB4BCFF" w14:textId="77777777" w:rsidR="000B3826" w:rsidRPr="000B3826" w:rsidRDefault="000B3826" w:rsidP="000B3826">
            <w:r w:rsidRPr="000B3826">
              <w:t>25</w:t>
            </w:r>
          </w:p>
        </w:tc>
      </w:tr>
      <w:tr w:rsidR="000B3826" w:rsidRPr="000B3826" w14:paraId="2382E8CC"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6D994E1F" w14:textId="77777777" w:rsidR="000B3826" w:rsidRPr="000B3826" w:rsidRDefault="000B3826" w:rsidP="000B3826">
            <w:r w:rsidRPr="000B3826">
              <w:t>Current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56EB6E"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92B1A6" w14:textId="77777777" w:rsidR="000B3826" w:rsidRPr="000B3826" w:rsidRDefault="000B3826" w:rsidP="000B3826">
            <w:r w:rsidRPr="000B3826">
              <w:t>5</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68B63393" w14:textId="77777777" w:rsidR="000B3826" w:rsidRPr="000B3826" w:rsidRDefault="000B3826" w:rsidP="000B3826">
            <w:r w:rsidRPr="000B3826">
              <w:t>15</w:t>
            </w:r>
          </w:p>
        </w:tc>
        <w:tc>
          <w:tcPr>
            <w:tcW w:w="1230" w:type="dxa"/>
            <w:tcBorders>
              <w:top w:val="single" w:sz="4" w:space="0" w:color="auto"/>
              <w:left w:val="single" w:sz="4" w:space="0" w:color="auto"/>
              <w:bottom w:val="single" w:sz="4" w:space="0" w:color="auto"/>
              <w:right w:val="single" w:sz="4" w:space="0" w:color="auto"/>
            </w:tcBorders>
            <w:hideMark/>
          </w:tcPr>
          <w:p w14:paraId="30E57B6D"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6EBCC316" w14:textId="77777777" w:rsidR="000B3826" w:rsidRPr="000B3826" w:rsidRDefault="000B3826" w:rsidP="000B3826">
            <w:r w:rsidRPr="000B3826">
              <w:t>5</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5A950F90" w14:textId="77777777" w:rsidR="000B3826" w:rsidRPr="000B3826" w:rsidRDefault="000B3826" w:rsidP="000B3826">
            <w:r w:rsidRPr="000B3826">
              <w:t>15</w:t>
            </w:r>
          </w:p>
        </w:tc>
      </w:tr>
      <w:tr w:rsidR="000B3826" w:rsidRPr="000B3826" w14:paraId="34E4B8A5"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702999A5" w14:textId="77777777" w:rsidR="000B3826" w:rsidRPr="000B3826" w:rsidRDefault="000B3826" w:rsidP="000B3826">
            <w:r w:rsidRPr="000B3826">
              <w:t>Target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F85059"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F0E1E" w14:textId="77777777" w:rsidR="000B3826" w:rsidRPr="000B3826" w:rsidRDefault="000B3826" w:rsidP="000B3826">
            <w:r w:rsidRPr="000B3826">
              <w:t>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4B3D800C" w14:textId="77777777" w:rsidR="000B3826" w:rsidRPr="000B3826" w:rsidRDefault="000B3826" w:rsidP="000B3826">
            <w:r w:rsidRPr="000B3826">
              <w:t>9</w:t>
            </w:r>
          </w:p>
        </w:tc>
        <w:tc>
          <w:tcPr>
            <w:tcW w:w="1230" w:type="dxa"/>
            <w:tcBorders>
              <w:top w:val="single" w:sz="4" w:space="0" w:color="auto"/>
              <w:left w:val="single" w:sz="4" w:space="0" w:color="auto"/>
              <w:bottom w:val="single" w:sz="4" w:space="0" w:color="auto"/>
              <w:right w:val="single" w:sz="4" w:space="0" w:color="auto"/>
            </w:tcBorders>
            <w:hideMark/>
          </w:tcPr>
          <w:p w14:paraId="11661C9C"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156454C1" w14:textId="77777777" w:rsidR="000B3826" w:rsidRPr="000B3826" w:rsidRDefault="000B3826" w:rsidP="000B3826">
            <w:r w:rsidRPr="000B3826">
              <w:t>3</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45143FE9" w14:textId="77777777" w:rsidR="000B3826" w:rsidRPr="000B3826" w:rsidRDefault="000B3826" w:rsidP="000B3826">
            <w:r w:rsidRPr="000B3826">
              <w:t>9</w:t>
            </w:r>
          </w:p>
        </w:tc>
      </w:tr>
      <w:tr w:rsidR="000B3826" w:rsidRPr="000B3826" w14:paraId="4FF51F74" w14:textId="77777777" w:rsidTr="232C3938">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58C541A" w14:textId="1BD1AD69" w:rsidR="000B3826" w:rsidRPr="000B3826" w:rsidRDefault="000B3826" w:rsidP="000B3826">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3835232" w14:textId="77777777" w:rsidR="000B3826" w:rsidRPr="000B3826" w:rsidRDefault="000B3826" w:rsidP="000B3826">
            <w:pPr>
              <w:rPr>
                <w:b/>
              </w:rPr>
            </w:pPr>
            <w:r w:rsidRPr="000B3826">
              <w:rPr>
                <w:b/>
              </w:rPr>
              <w:t>Present Live DCA</w:t>
            </w:r>
          </w:p>
        </w:tc>
      </w:tr>
      <w:tr w:rsidR="000B3826" w:rsidRPr="000B3826" w14:paraId="0B3806BB" w14:textId="77777777" w:rsidTr="232C3938">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09C49670" w14:textId="77777777" w:rsidR="000B3826" w:rsidRPr="000B3826" w:rsidRDefault="000B3826" w:rsidP="000B3826">
            <w:r w:rsidRPr="000B3826">
              <w:t>Amber</w:t>
            </w:r>
          </w:p>
        </w:tc>
        <w:tc>
          <w:tcPr>
            <w:tcW w:w="4967"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55CBEC60" w14:textId="77777777" w:rsidR="000B3826" w:rsidRPr="000B3826" w:rsidRDefault="000B3826" w:rsidP="000B3826">
            <w:r w:rsidRPr="000B3826">
              <w:t>Amber</w:t>
            </w:r>
          </w:p>
        </w:tc>
      </w:tr>
      <w:tr w:rsidR="000B3826" w:rsidRPr="000B3826" w14:paraId="285E491D" w14:textId="77777777" w:rsidTr="232C3938">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F66DDF7" w14:textId="77777777" w:rsidR="000B3826" w:rsidRPr="000B3826" w:rsidRDefault="000B3826" w:rsidP="000B3826">
            <w:pPr>
              <w:rPr>
                <w:b/>
              </w:rPr>
            </w:pPr>
            <w:r w:rsidRPr="000B3826">
              <w:rPr>
                <w:b/>
              </w:rPr>
              <w:t>Executive Sponsor Insight</w:t>
            </w:r>
          </w:p>
        </w:tc>
      </w:tr>
      <w:tr w:rsidR="000B3826" w:rsidRPr="000B3826" w14:paraId="319A5F00" w14:textId="77777777" w:rsidTr="232C3938">
        <w:tc>
          <w:tcPr>
            <w:tcW w:w="9782" w:type="dxa"/>
            <w:gridSpan w:val="8"/>
            <w:tcBorders>
              <w:top w:val="single" w:sz="4" w:space="0" w:color="auto"/>
              <w:left w:val="single" w:sz="4" w:space="0" w:color="auto"/>
              <w:bottom w:val="single" w:sz="4" w:space="0" w:color="auto"/>
              <w:right w:val="single" w:sz="4" w:space="0" w:color="auto"/>
            </w:tcBorders>
          </w:tcPr>
          <w:p w14:paraId="4427A517" w14:textId="77777777" w:rsidR="000B3826" w:rsidRPr="0020482E" w:rsidRDefault="000B3826" w:rsidP="000B3826">
            <w:pPr>
              <w:rPr>
                <w:color w:val="FF0000"/>
              </w:rPr>
            </w:pPr>
          </w:p>
          <w:p w14:paraId="7B92BF58" w14:textId="77777777" w:rsidR="001D7EEF" w:rsidRPr="006E4F2F" w:rsidRDefault="001D7EEF" w:rsidP="001D7EEF">
            <w:r w:rsidRPr="006E4F2F">
              <w:t>Actions to reduce the risk are ongoing.  The first stage of workforce planning – which is a significant enabler to reduce the risk has been completed.  Key roles for succession planning have been identified and action plans and interventions will now be developed to close any gaps and reduce risk.  Work to articulate a compelling EVP (People Promise) and develop a robust implementation plan to close any gaps is on plan.</w:t>
            </w:r>
          </w:p>
          <w:p w14:paraId="2D7B52DF" w14:textId="77777777" w:rsidR="001D7EEF" w:rsidRPr="0020482E" w:rsidRDefault="001D7EEF" w:rsidP="232C3938"/>
          <w:p w14:paraId="40E879ED" w14:textId="77777777" w:rsidR="000B3826" w:rsidRPr="000B3826" w:rsidRDefault="000B3826" w:rsidP="000B3826"/>
        </w:tc>
      </w:tr>
      <w:tr w:rsidR="000B3826" w:rsidRPr="000B3826" w14:paraId="0DCACAF0" w14:textId="77777777" w:rsidTr="232C3938">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A3B5E0B" w14:textId="77777777" w:rsidR="000B3826" w:rsidRPr="000B3826" w:rsidRDefault="000B3826" w:rsidP="000B3826">
            <w:pPr>
              <w:rPr>
                <w:b/>
              </w:rPr>
            </w:pPr>
            <w:r w:rsidRPr="000B3826">
              <w:rPr>
                <w:b/>
              </w:rPr>
              <w:t xml:space="preserve">Overview of changes to controls/actions </w:t>
            </w:r>
          </w:p>
          <w:p w14:paraId="229373B6" w14:textId="77777777" w:rsidR="000B3826" w:rsidRPr="000B3826" w:rsidRDefault="000B3826" w:rsidP="000B3826">
            <w:r w:rsidRPr="000B3826">
              <w:t>(text marked in red in full risk which can be found in Appendix 1.</w:t>
            </w:r>
          </w:p>
        </w:tc>
      </w:tr>
      <w:tr w:rsidR="000B3826" w:rsidRPr="000B3826" w14:paraId="280CCBDD"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37D8070B"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75931120" w14:textId="77777777" w:rsidR="000B3826" w:rsidRPr="0020482E" w:rsidRDefault="000B3826" w:rsidP="232C3938">
            <w:r w:rsidRPr="232C3938">
              <w:t xml:space="preserve">No changes. </w:t>
            </w:r>
          </w:p>
          <w:p w14:paraId="2604FA8D" w14:textId="77777777" w:rsidR="000B3826" w:rsidRPr="0020482E" w:rsidRDefault="000B3826" w:rsidP="232C3938"/>
        </w:tc>
      </w:tr>
      <w:tr w:rsidR="000B3826" w:rsidRPr="000B3826" w14:paraId="393BB2DB"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0DF5B28F" w14:textId="77777777" w:rsidR="000B3826" w:rsidRPr="000B3826" w:rsidRDefault="000B3826" w:rsidP="000B3826">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22F5F934" w14:textId="77777777" w:rsidR="000B3826" w:rsidRDefault="001D7EEF" w:rsidP="001D7EEF">
            <w:pPr>
              <w:rPr>
                <w:szCs w:val="24"/>
              </w:rPr>
            </w:pPr>
            <w:r>
              <w:rPr>
                <w:szCs w:val="24"/>
              </w:rPr>
              <w:t>Actions reported on within the risk action log.  Two actions remain overdue and have been reviewed by BET to confirm the delays are acceptable.</w:t>
            </w:r>
          </w:p>
          <w:p w14:paraId="2E0CB9AB" w14:textId="3B2F5C55" w:rsidR="001D7EEF" w:rsidRPr="001D7EEF" w:rsidRDefault="001D7EEF" w:rsidP="001D7EEF">
            <w:pPr>
              <w:rPr>
                <w:szCs w:val="24"/>
              </w:rPr>
            </w:pPr>
          </w:p>
        </w:tc>
      </w:tr>
      <w:tr w:rsidR="000B3826" w:rsidRPr="000B3826" w14:paraId="1FDEDEB9" w14:textId="77777777" w:rsidTr="232C3938">
        <w:tc>
          <w:tcPr>
            <w:tcW w:w="2263" w:type="dxa"/>
            <w:tcBorders>
              <w:top w:val="single" w:sz="4" w:space="0" w:color="auto"/>
              <w:left w:val="single" w:sz="4" w:space="0" w:color="auto"/>
              <w:bottom w:val="single" w:sz="4" w:space="0" w:color="auto"/>
              <w:right w:val="single" w:sz="4" w:space="0" w:color="auto"/>
            </w:tcBorders>
            <w:hideMark/>
          </w:tcPr>
          <w:p w14:paraId="42495E50" w14:textId="77777777" w:rsidR="000B3826" w:rsidRPr="000B3826" w:rsidRDefault="000B3826" w:rsidP="000B3826">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5145BA8B" w14:textId="77777777" w:rsidR="000B3826" w:rsidRDefault="001D7EEF" w:rsidP="232C3938">
            <w:pPr>
              <w:rPr>
                <w:szCs w:val="24"/>
              </w:rPr>
            </w:pPr>
            <w:r>
              <w:rPr>
                <w:szCs w:val="24"/>
              </w:rPr>
              <w:t>There is an opportunity to develop a programme management approach to Workforce planning, drawing on resource from across all Directorates.  This will help embed process and ensure we consider opportunities to create greater agility across the organisation in order to deliver out LTS.</w:t>
            </w:r>
          </w:p>
          <w:p w14:paraId="7D4A20F2" w14:textId="26FCF4BD" w:rsidR="001D7EEF" w:rsidRPr="0020482E" w:rsidRDefault="001D7EEF" w:rsidP="232C3938"/>
        </w:tc>
      </w:tr>
      <w:tr w:rsidR="009965D9" w:rsidRPr="000B3826" w14:paraId="628FB405" w14:textId="77777777" w:rsidTr="232C3938">
        <w:tc>
          <w:tcPr>
            <w:tcW w:w="2263" w:type="dxa"/>
            <w:tcBorders>
              <w:top w:val="single" w:sz="4" w:space="0" w:color="auto"/>
              <w:left w:val="single" w:sz="4" w:space="0" w:color="auto"/>
              <w:bottom w:val="single" w:sz="4" w:space="0" w:color="auto"/>
              <w:right w:val="single" w:sz="4" w:space="0" w:color="auto"/>
            </w:tcBorders>
          </w:tcPr>
          <w:p w14:paraId="33BE54E9" w14:textId="13B40DF7" w:rsidR="009965D9" w:rsidRPr="000B3826" w:rsidRDefault="009965D9" w:rsidP="009965D9">
            <w:pPr>
              <w:rPr>
                <w:b/>
              </w:rPr>
            </w:pPr>
            <w:r>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27CC456A" w14:textId="481C4DEA" w:rsidR="009965D9" w:rsidRDefault="009965D9" w:rsidP="00F705F3">
            <w:pPr>
              <w:rPr>
                <w:szCs w:val="24"/>
              </w:rPr>
            </w:pPr>
            <w:r>
              <w:rPr>
                <w:rFonts w:eastAsia="Times New Roman"/>
                <w:szCs w:val="24"/>
              </w:rPr>
              <w:t xml:space="preserve">The </w:t>
            </w:r>
            <w:r w:rsidRPr="009965D9">
              <w:rPr>
                <w:rFonts w:eastAsia="Times New Roman"/>
                <w:b/>
                <w:szCs w:val="24"/>
              </w:rPr>
              <w:t>People and Organisational Development Committee</w:t>
            </w:r>
            <w:r>
              <w:rPr>
                <w:rFonts w:eastAsia="Times New Roman"/>
                <w:szCs w:val="24"/>
              </w:rPr>
              <w:t xml:space="preserve"> </w:t>
            </w:r>
            <w:r w:rsidR="00F705F3">
              <w:rPr>
                <w:rFonts w:eastAsia="Times New Roman"/>
                <w:szCs w:val="24"/>
              </w:rPr>
              <w:t xml:space="preserve">considered this risk in January 2023 and March 2023.  In January the Committee </w:t>
            </w:r>
            <w:r>
              <w:rPr>
                <w:rFonts w:eastAsia="Times New Roman"/>
                <w:szCs w:val="24"/>
              </w:rPr>
              <w:t>discussed the Employee Value Proposition, with a detailed look at how this was being developed in support of retaining and attracting staff.</w:t>
            </w:r>
          </w:p>
        </w:tc>
      </w:tr>
    </w:tbl>
    <w:p w14:paraId="44132DF5" w14:textId="77777777" w:rsidR="000B3826" w:rsidRPr="000B3826" w:rsidRDefault="000B3826" w:rsidP="000B3826"/>
    <w:p w14:paraId="2ED6E62C" w14:textId="77777777" w:rsidR="000B3826" w:rsidRPr="000B3826" w:rsidRDefault="000B3826" w:rsidP="000B3826">
      <w:pPr>
        <w:numPr>
          <w:ilvl w:val="1"/>
          <w:numId w:val="29"/>
        </w:numPr>
        <w:rPr>
          <w:b/>
        </w:rPr>
      </w:pPr>
      <w:r w:rsidRPr="000B3826">
        <w:rPr>
          <w:b/>
        </w:rPr>
        <w:t>Risk 5</w:t>
      </w:r>
    </w:p>
    <w:p w14:paraId="0548FB7B" w14:textId="77777777" w:rsidR="000B3826" w:rsidRPr="000B3826" w:rsidRDefault="000B3826" w:rsidP="000B3826">
      <w:pPr>
        <w:rPr>
          <w:b/>
        </w:rPr>
      </w:pPr>
    </w:p>
    <w:p w14:paraId="5E51C30F" w14:textId="77777777" w:rsidR="004972FA" w:rsidRDefault="004972FA" w:rsidP="004972FA">
      <w:pPr>
        <w:rPr>
          <w:rFonts w:eastAsia="Calibri" w:cs="Times New Roman"/>
        </w:rPr>
      </w:pPr>
      <w:r w:rsidRPr="002701FB">
        <w:rPr>
          <w:rFonts w:eastAsia="Calibri" w:cs="Times New Roman"/>
        </w:rPr>
        <w:t>The curre</w:t>
      </w:r>
      <w:r>
        <w:rPr>
          <w:rFonts w:eastAsia="Calibri" w:cs="Times New Roman"/>
        </w:rPr>
        <w:t xml:space="preserve">nt risk score remains the same with progress continuing across all actions and significant progress across the discovery and alpha phases.  </w:t>
      </w:r>
      <w:r w:rsidRPr="005F400C">
        <w:rPr>
          <w:rFonts w:eastAsia="Calibri" w:cs="Times New Roman"/>
        </w:rPr>
        <w:t>All programmes remain on track for reporting findings in April 2023.</w:t>
      </w:r>
    </w:p>
    <w:p w14:paraId="627D32E2" w14:textId="77777777" w:rsidR="000B3826" w:rsidRPr="000B3826" w:rsidRDefault="000B3826" w:rsidP="000B3826"/>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7B4A438E"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815E6F5" w14:textId="77777777" w:rsidR="000B3826" w:rsidRPr="000B3826" w:rsidRDefault="000B3826" w:rsidP="000B3826">
            <w:bookmarkStart w:id="10" w:name="Risk5"/>
            <w:bookmarkEnd w:id="10"/>
            <w:r w:rsidRPr="000B3826">
              <w:rPr>
                <w:b/>
              </w:rPr>
              <w:t>Risk Description</w:t>
            </w:r>
          </w:p>
        </w:tc>
      </w:tr>
      <w:tr w:rsidR="000B3826" w:rsidRPr="000B3826" w14:paraId="29BDCAD7"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6B0E96D8" w14:textId="77777777" w:rsidR="000B3826" w:rsidRPr="000B3826" w:rsidRDefault="000B3826" w:rsidP="000B3826">
            <w:r w:rsidRPr="000B3826">
              <w:t>There is a risk that we will fail to exploit data to inform and direct public health action and interventions. This will be caused by data being held in silos, difficulty accessing the data and inability to access to provide the impact on public health. This will result in worse public health outcomes in Wales and increased information governance risk within Public Health Wales. </w:t>
            </w:r>
          </w:p>
        </w:tc>
      </w:tr>
      <w:tr w:rsidR="000B3826" w:rsidRPr="000B3826" w14:paraId="4A60C497"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11B6302"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2B239D0" w14:textId="77777777" w:rsidR="000B3826" w:rsidRPr="000B3826" w:rsidRDefault="000B3826" w:rsidP="000B3826">
            <w:r w:rsidRPr="000B3826">
              <w:rPr>
                <w:b/>
              </w:rPr>
              <w:t>Proposal for de-escalation or removal*</w:t>
            </w:r>
          </w:p>
        </w:tc>
      </w:tr>
      <w:tr w:rsidR="000B3826" w:rsidRPr="000B3826" w14:paraId="1320F344"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7D62C180" w14:textId="77777777" w:rsidR="000B3826" w:rsidRPr="00E12DA1" w:rsidRDefault="000B3826" w:rsidP="000B3826">
            <w:r w:rsidRPr="00E12DA1">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50A633E0" w14:textId="77777777" w:rsidR="000B3826" w:rsidRPr="00E12DA1" w:rsidRDefault="000B3826" w:rsidP="000B3826">
            <w:r w:rsidRPr="00E12DA1">
              <w:t>Not Applicable</w:t>
            </w:r>
          </w:p>
        </w:tc>
      </w:tr>
      <w:tr w:rsidR="000B3826" w:rsidRPr="000B3826" w14:paraId="66DCD5B6"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2137D7"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F681F86" w14:textId="2D4CA08D" w:rsidR="000B3826" w:rsidRPr="000B3826" w:rsidRDefault="000B3826" w:rsidP="000B3826">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88E5196" w14:textId="77777777" w:rsidR="000B3826" w:rsidRPr="000B3826" w:rsidRDefault="000B3826" w:rsidP="000B3826">
            <w:pPr>
              <w:rPr>
                <w:b/>
              </w:rPr>
            </w:pPr>
            <w:r w:rsidRPr="000B3826">
              <w:rPr>
                <w:b/>
              </w:rPr>
              <w:t>Present Score</w:t>
            </w:r>
          </w:p>
        </w:tc>
      </w:tr>
      <w:tr w:rsidR="000B3826" w:rsidRPr="000B3826" w14:paraId="46413BE4"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0FF8860" w14:textId="77777777" w:rsidR="000B3826" w:rsidRPr="000B3826" w:rsidRDefault="000B3826" w:rsidP="000B3826">
            <w:r w:rsidRPr="000B3826">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1F9BE0" w14:textId="77777777" w:rsidR="000B3826" w:rsidRPr="000B3826" w:rsidRDefault="000B3826" w:rsidP="000B3826">
            <w:r w:rsidRPr="000B3826">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ABA16A"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445C2C76" w14:textId="77777777" w:rsidR="000B3826" w:rsidRPr="000B3826" w:rsidRDefault="000B3826" w:rsidP="000B3826">
            <w:r w:rsidRPr="000B3826">
              <w:t>20</w:t>
            </w:r>
          </w:p>
        </w:tc>
        <w:tc>
          <w:tcPr>
            <w:tcW w:w="1230" w:type="dxa"/>
            <w:tcBorders>
              <w:top w:val="single" w:sz="4" w:space="0" w:color="auto"/>
              <w:left w:val="single" w:sz="4" w:space="0" w:color="auto"/>
              <w:bottom w:val="single" w:sz="4" w:space="0" w:color="auto"/>
              <w:right w:val="single" w:sz="4" w:space="0" w:color="auto"/>
            </w:tcBorders>
            <w:hideMark/>
          </w:tcPr>
          <w:p w14:paraId="1F227340" w14:textId="77777777" w:rsidR="000B3826" w:rsidRPr="000B3826" w:rsidRDefault="000B3826" w:rsidP="000B3826">
            <w:r w:rsidRPr="000B3826">
              <w:t>5</w:t>
            </w:r>
          </w:p>
        </w:tc>
        <w:tc>
          <w:tcPr>
            <w:tcW w:w="1230" w:type="dxa"/>
            <w:tcBorders>
              <w:top w:val="single" w:sz="4" w:space="0" w:color="auto"/>
              <w:left w:val="single" w:sz="4" w:space="0" w:color="auto"/>
              <w:bottom w:val="single" w:sz="4" w:space="0" w:color="auto"/>
              <w:right w:val="single" w:sz="4" w:space="0" w:color="auto"/>
            </w:tcBorders>
            <w:hideMark/>
          </w:tcPr>
          <w:p w14:paraId="07AC2390"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71DCFF76" w14:textId="77777777" w:rsidR="000B3826" w:rsidRPr="000B3826" w:rsidRDefault="000B3826" w:rsidP="000B3826">
            <w:r w:rsidRPr="000B3826">
              <w:t>20</w:t>
            </w:r>
          </w:p>
        </w:tc>
      </w:tr>
      <w:tr w:rsidR="000B3826" w:rsidRPr="000B3826" w14:paraId="10468A8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FA37491" w14:textId="77777777" w:rsidR="000B3826" w:rsidRPr="000B3826" w:rsidRDefault="000B3826" w:rsidP="000B3826">
            <w:r w:rsidRPr="000B3826">
              <w:t>Current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BBB73E" w14:textId="77777777" w:rsidR="000B3826" w:rsidRPr="000B3826" w:rsidRDefault="000B3826" w:rsidP="000B3826">
            <w:r w:rsidRPr="000B3826">
              <w:t>5</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7193D3"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1840D860" w14:textId="77777777" w:rsidR="000B3826" w:rsidRPr="000B3826" w:rsidRDefault="000B3826" w:rsidP="000B3826">
            <w:r w:rsidRPr="000B3826">
              <w:t>20</w:t>
            </w:r>
          </w:p>
        </w:tc>
        <w:tc>
          <w:tcPr>
            <w:tcW w:w="1230" w:type="dxa"/>
            <w:tcBorders>
              <w:top w:val="single" w:sz="4" w:space="0" w:color="auto"/>
              <w:left w:val="single" w:sz="4" w:space="0" w:color="auto"/>
              <w:bottom w:val="single" w:sz="4" w:space="0" w:color="auto"/>
              <w:right w:val="single" w:sz="4" w:space="0" w:color="auto"/>
            </w:tcBorders>
            <w:hideMark/>
          </w:tcPr>
          <w:p w14:paraId="0AB9A2BC" w14:textId="77777777" w:rsidR="000B3826" w:rsidRPr="000B3826" w:rsidRDefault="000B3826" w:rsidP="000B3826">
            <w:r w:rsidRPr="000B3826">
              <w:t>5</w:t>
            </w:r>
          </w:p>
        </w:tc>
        <w:tc>
          <w:tcPr>
            <w:tcW w:w="1230" w:type="dxa"/>
            <w:tcBorders>
              <w:top w:val="single" w:sz="4" w:space="0" w:color="auto"/>
              <w:left w:val="single" w:sz="4" w:space="0" w:color="auto"/>
              <w:bottom w:val="single" w:sz="4" w:space="0" w:color="auto"/>
              <w:right w:val="single" w:sz="4" w:space="0" w:color="auto"/>
            </w:tcBorders>
            <w:hideMark/>
          </w:tcPr>
          <w:p w14:paraId="0EA4C132"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619445CC" w14:textId="77777777" w:rsidR="000B3826" w:rsidRPr="000B3826" w:rsidRDefault="000B3826" w:rsidP="000B3826">
            <w:r w:rsidRPr="000B3826">
              <w:t>20</w:t>
            </w:r>
          </w:p>
        </w:tc>
      </w:tr>
      <w:tr w:rsidR="000B3826" w:rsidRPr="000B3826" w14:paraId="525B00E0"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7D3C908A" w14:textId="77777777" w:rsidR="000B3826" w:rsidRPr="000B3826" w:rsidRDefault="000B3826" w:rsidP="000B3826">
            <w:r w:rsidRPr="000B3826">
              <w:t>Target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81ECE1" w14:textId="77777777" w:rsidR="000B3826" w:rsidRPr="000B3826" w:rsidRDefault="000B3826" w:rsidP="000B3826">
            <w:r w:rsidRPr="000B3826">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693932" w14:textId="77777777" w:rsidR="000B3826" w:rsidRPr="000B3826" w:rsidRDefault="000B3826" w:rsidP="000B3826">
            <w:r w:rsidRPr="000B3826">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55C41B9D" w14:textId="77777777" w:rsidR="000B3826" w:rsidRPr="000B3826" w:rsidRDefault="000B3826" w:rsidP="000B3826">
            <w:r w:rsidRPr="000B3826">
              <w:t>12</w:t>
            </w:r>
          </w:p>
        </w:tc>
        <w:tc>
          <w:tcPr>
            <w:tcW w:w="1230" w:type="dxa"/>
            <w:tcBorders>
              <w:top w:val="single" w:sz="4" w:space="0" w:color="auto"/>
              <w:left w:val="single" w:sz="4" w:space="0" w:color="auto"/>
              <w:bottom w:val="single" w:sz="4" w:space="0" w:color="auto"/>
              <w:right w:val="single" w:sz="4" w:space="0" w:color="auto"/>
            </w:tcBorders>
            <w:hideMark/>
          </w:tcPr>
          <w:p w14:paraId="5F6437F7" w14:textId="77777777" w:rsidR="000B3826" w:rsidRPr="000B3826" w:rsidRDefault="000B3826" w:rsidP="000B3826">
            <w:r w:rsidRPr="000B3826">
              <w:t>3</w:t>
            </w:r>
          </w:p>
        </w:tc>
        <w:tc>
          <w:tcPr>
            <w:tcW w:w="1230" w:type="dxa"/>
            <w:tcBorders>
              <w:top w:val="single" w:sz="4" w:space="0" w:color="auto"/>
              <w:left w:val="single" w:sz="4" w:space="0" w:color="auto"/>
              <w:bottom w:val="single" w:sz="4" w:space="0" w:color="auto"/>
              <w:right w:val="single" w:sz="4" w:space="0" w:color="auto"/>
            </w:tcBorders>
            <w:hideMark/>
          </w:tcPr>
          <w:p w14:paraId="22C3E815" w14:textId="77777777" w:rsidR="000B3826" w:rsidRPr="000B3826" w:rsidRDefault="000B3826" w:rsidP="000B3826">
            <w:r w:rsidRPr="000B3826">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50AB2FF1" w14:textId="77777777" w:rsidR="000B3826" w:rsidRPr="000B3826" w:rsidRDefault="000B3826" w:rsidP="000B3826">
            <w:r w:rsidRPr="000B3826">
              <w:t>12</w:t>
            </w:r>
          </w:p>
        </w:tc>
      </w:tr>
      <w:tr w:rsidR="000B3826" w:rsidRPr="000B3826" w14:paraId="2FA2C5CE" w14:textId="77777777" w:rsidTr="00D2033C">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83D606E" w14:textId="56CAF1D8" w:rsidR="000B3826" w:rsidRPr="000B3826" w:rsidRDefault="000B3826" w:rsidP="000B3826">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90147" w14:textId="77777777" w:rsidR="000B3826" w:rsidRPr="000B3826" w:rsidRDefault="000B3826" w:rsidP="000B3826">
            <w:pPr>
              <w:rPr>
                <w:b/>
              </w:rPr>
            </w:pPr>
            <w:r w:rsidRPr="000B3826">
              <w:rPr>
                <w:b/>
              </w:rPr>
              <w:t>Present Live DCA</w:t>
            </w:r>
          </w:p>
        </w:tc>
      </w:tr>
      <w:tr w:rsidR="000B3826" w:rsidRPr="000B3826" w14:paraId="35D0F865" w14:textId="77777777" w:rsidTr="00D2033C">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FFC000"/>
            <w:vAlign w:val="center"/>
            <w:hideMark/>
          </w:tcPr>
          <w:p w14:paraId="128B2E7B" w14:textId="77777777" w:rsidR="000B3826" w:rsidRPr="000B3826" w:rsidRDefault="000B3826" w:rsidP="000B3826">
            <w:r w:rsidRPr="000B3826">
              <w:t>Amber</w:t>
            </w:r>
          </w:p>
        </w:tc>
        <w:tc>
          <w:tcPr>
            <w:tcW w:w="4967" w:type="dxa"/>
            <w:gridSpan w:val="5"/>
            <w:tcBorders>
              <w:top w:val="single" w:sz="4" w:space="0" w:color="auto"/>
              <w:left w:val="single" w:sz="4" w:space="0" w:color="auto"/>
              <w:bottom w:val="single" w:sz="4" w:space="0" w:color="auto"/>
              <w:right w:val="single" w:sz="4" w:space="0" w:color="auto"/>
            </w:tcBorders>
            <w:shd w:val="clear" w:color="auto" w:fill="FFC000"/>
            <w:vAlign w:val="center"/>
            <w:hideMark/>
          </w:tcPr>
          <w:p w14:paraId="0082D278" w14:textId="77777777" w:rsidR="000B3826" w:rsidRPr="000B3826" w:rsidRDefault="000B3826" w:rsidP="000B3826">
            <w:r w:rsidRPr="000B3826">
              <w:t>Amber</w:t>
            </w:r>
          </w:p>
        </w:tc>
      </w:tr>
      <w:tr w:rsidR="000B3826" w:rsidRPr="000B3826" w14:paraId="2CBEB875"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CD61A61" w14:textId="77777777" w:rsidR="000B3826" w:rsidRPr="000B3826" w:rsidRDefault="000B3826" w:rsidP="000B3826">
            <w:pPr>
              <w:rPr>
                <w:b/>
              </w:rPr>
            </w:pPr>
            <w:r w:rsidRPr="000B3826">
              <w:rPr>
                <w:b/>
              </w:rPr>
              <w:t>Executive Sponsor Insight</w:t>
            </w:r>
          </w:p>
        </w:tc>
      </w:tr>
      <w:tr w:rsidR="000B3826" w:rsidRPr="000B3826" w14:paraId="1859F113"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6151CA35" w14:textId="77777777" w:rsidR="001D7EEF" w:rsidRDefault="001D7EEF" w:rsidP="001D7EEF">
            <w:r w:rsidRPr="00EA3F8B">
              <w:t xml:space="preserve">Progress continues across all actions with significant </w:t>
            </w:r>
            <w:r>
              <w:t xml:space="preserve">progress across </w:t>
            </w:r>
            <w:r w:rsidRPr="00EA3F8B">
              <w:t xml:space="preserve">discovery and alpha phases </w:t>
            </w:r>
            <w:r>
              <w:t>that are all now in train. This includes:</w:t>
            </w:r>
          </w:p>
          <w:p w14:paraId="19C73137" w14:textId="77777777" w:rsidR="001D7EEF" w:rsidRDefault="001D7EEF" w:rsidP="001D7EEF">
            <w:r>
              <w:t>Discovery Phase – Single Disease Register, Screening IT, Web estate and Alpha Phase for Diabetic Eye Screening</w:t>
            </w:r>
            <w:r w:rsidRPr="00EA3F8B">
              <w:t xml:space="preserve">. </w:t>
            </w:r>
            <w:r>
              <w:t>All programmes remain on track for reporting findings in April 2023.</w:t>
            </w:r>
          </w:p>
          <w:p w14:paraId="09B7DC48" w14:textId="77777777" w:rsidR="001D7EEF" w:rsidRDefault="001D7EEF" w:rsidP="001D7EEF"/>
          <w:p w14:paraId="6D8A6CB4" w14:textId="77777777" w:rsidR="001D7EEF" w:rsidRDefault="001D7EEF" w:rsidP="001D7EEF">
            <w:r w:rsidRPr="00EA3F8B">
              <w:t>We remain at the early stages of developing into digital and data</w:t>
            </w:r>
            <w:r>
              <w:t>, with the draft principles of the digital and data strategy being agreed, with further iterations</w:t>
            </w:r>
            <w:r w:rsidRPr="00EA3F8B">
              <w:t xml:space="preserve">. </w:t>
            </w:r>
            <w:r>
              <w:t xml:space="preserve">The </w:t>
            </w:r>
            <w:r w:rsidRPr="00EA3F8B">
              <w:t xml:space="preserve">developing strategies </w:t>
            </w:r>
            <w:r>
              <w:t xml:space="preserve">are </w:t>
            </w:r>
            <w:r w:rsidRPr="00EA3F8B">
              <w:t>necessary to mitigate this risk and need to gain cross-organisation momentum which will</w:t>
            </w:r>
            <w:r>
              <w:t>,</w:t>
            </w:r>
            <w:r w:rsidRPr="00EA3F8B">
              <w:t xml:space="preserve"> in the future</w:t>
            </w:r>
            <w:r>
              <w:t>,</w:t>
            </w:r>
            <w:r w:rsidRPr="00EA3F8B">
              <w:t xml:space="preserve"> help lower the risk rating, but these are at early stages.</w:t>
            </w:r>
            <w:r>
              <w:t xml:space="preserve"> </w:t>
            </w:r>
          </w:p>
          <w:p w14:paraId="72791838" w14:textId="77777777" w:rsidR="001D7EEF" w:rsidRDefault="001D7EEF" w:rsidP="001D7EEF"/>
          <w:p w14:paraId="2AA30CAA" w14:textId="77777777" w:rsidR="001D7EEF" w:rsidRPr="00EA3F8B" w:rsidRDefault="001D7EEF" w:rsidP="001D7EEF">
            <w:r>
              <w:t>In addition, we are identifying how the directorate can partner with other directorate in regard to IMTP deliverables. Some of the dependencies and scope of work will be defined as a result of the outputs following the conclusion of the discovery and alpha project phases.</w:t>
            </w:r>
          </w:p>
          <w:p w14:paraId="6FFB5788" w14:textId="77777777" w:rsidR="000B3826" w:rsidRPr="000B3826" w:rsidRDefault="000B3826" w:rsidP="000B3826"/>
        </w:tc>
      </w:tr>
      <w:tr w:rsidR="000B3826" w:rsidRPr="000B3826" w14:paraId="143B3551"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821256" w14:textId="77777777" w:rsidR="000B3826" w:rsidRPr="000B3826" w:rsidRDefault="000B3826" w:rsidP="000B3826">
            <w:pPr>
              <w:rPr>
                <w:b/>
              </w:rPr>
            </w:pPr>
            <w:r w:rsidRPr="000B3826">
              <w:rPr>
                <w:b/>
              </w:rPr>
              <w:t xml:space="preserve">Overview of changes to controls/actions </w:t>
            </w:r>
          </w:p>
          <w:p w14:paraId="12063C12" w14:textId="77777777" w:rsidR="000B3826" w:rsidRPr="000B3826" w:rsidRDefault="000B3826" w:rsidP="000B3826">
            <w:r w:rsidRPr="000B3826">
              <w:t>(text marked in red in full risk, which can be found in Appendix 1.)</w:t>
            </w:r>
          </w:p>
        </w:tc>
      </w:tr>
      <w:tr w:rsidR="000B3826" w:rsidRPr="000B3826" w14:paraId="3BECC43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3E790F6F"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4551F934" w14:textId="5C8F8EAB" w:rsidR="000B3826" w:rsidRPr="00E12DA1" w:rsidRDefault="001D7EEF" w:rsidP="000B3826">
            <w:r>
              <w:t>No changes</w:t>
            </w:r>
          </w:p>
          <w:p w14:paraId="74D21E99" w14:textId="77777777" w:rsidR="000B3826" w:rsidRPr="00E12DA1" w:rsidRDefault="000B3826" w:rsidP="000B3826"/>
        </w:tc>
      </w:tr>
      <w:tr w:rsidR="000B3826" w:rsidRPr="000B3826" w14:paraId="682944A0"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52FB2AC" w14:textId="77777777" w:rsidR="000B3826" w:rsidRPr="000B3826" w:rsidRDefault="000B3826" w:rsidP="000B3826">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tcPr>
          <w:p w14:paraId="021618A0" w14:textId="77777777" w:rsidR="001D7EEF" w:rsidRPr="00EA3F8B" w:rsidRDefault="001D7EEF" w:rsidP="001D7EEF">
            <w:pPr>
              <w:pStyle w:val="ListParagraph"/>
              <w:numPr>
                <w:ilvl w:val="0"/>
                <w:numId w:val="33"/>
              </w:numPr>
            </w:pPr>
            <w:r w:rsidRPr="00EA3F8B">
              <w:t xml:space="preserve">Discovery phases </w:t>
            </w:r>
            <w:r>
              <w:t>in progress for:</w:t>
            </w:r>
          </w:p>
          <w:p w14:paraId="24BB5D36" w14:textId="77777777" w:rsidR="001D7EEF" w:rsidRPr="00513929" w:rsidRDefault="001D7EEF" w:rsidP="001D7EEF">
            <w:pPr>
              <w:pStyle w:val="ListParagraph"/>
              <w:numPr>
                <w:ilvl w:val="1"/>
                <w:numId w:val="33"/>
              </w:numPr>
            </w:pPr>
            <w:r>
              <w:t>Disease</w:t>
            </w:r>
            <w:r w:rsidRPr="00513929">
              <w:t xml:space="preserve"> registr</w:t>
            </w:r>
            <w:r>
              <w:t xml:space="preserve">y (formerly known as </w:t>
            </w:r>
            <w:proofErr w:type="spellStart"/>
            <w:r>
              <w:t>non communicable</w:t>
            </w:r>
            <w:proofErr w:type="spellEnd"/>
            <w:r>
              <w:t xml:space="preserve"> disease registry)</w:t>
            </w:r>
          </w:p>
          <w:p w14:paraId="42F3A51B" w14:textId="77777777" w:rsidR="001D7EEF" w:rsidRPr="00EA3F8B" w:rsidRDefault="001D7EEF" w:rsidP="001D7EEF">
            <w:pPr>
              <w:pStyle w:val="ListParagraph"/>
              <w:numPr>
                <w:ilvl w:val="1"/>
                <w:numId w:val="33"/>
              </w:numPr>
            </w:pPr>
            <w:r w:rsidRPr="00EA3F8B">
              <w:t>Screening Services Information System.</w:t>
            </w:r>
          </w:p>
          <w:p w14:paraId="1811C80A" w14:textId="77777777" w:rsidR="001D7EEF" w:rsidRPr="00EA3F8B" w:rsidRDefault="001D7EEF" w:rsidP="001D7EEF">
            <w:pPr>
              <w:pStyle w:val="ListParagraph"/>
              <w:numPr>
                <w:ilvl w:val="0"/>
                <w:numId w:val="33"/>
              </w:numPr>
            </w:pPr>
            <w:r w:rsidRPr="00EA3F8B">
              <w:t xml:space="preserve">Alpha Phase for Diabetic Eye Screening </w:t>
            </w:r>
            <w:r>
              <w:t xml:space="preserve">commenced </w:t>
            </w:r>
            <w:r w:rsidRPr="00EA3F8B">
              <w:t>in January 2023.</w:t>
            </w:r>
          </w:p>
          <w:p w14:paraId="7D33E931" w14:textId="77777777" w:rsidR="001D7EEF" w:rsidRDefault="001D7EEF" w:rsidP="001D7EEF">
            <w:r w:rsidRPr="00EA3F8B">
              <w:t xml:space="preserve">User Centric key hires </w:t>
            </w:r>
            <w:r>
              <w:t>commenced in January 2023.</w:t>
            </w:r>
          </w:p>
          <w:p w14:paraId="6D90D431" w14:textId="4B85FA88" w:rsidR="000B3826" w:rsidRPr="00E12DA1" w:rsidRDefault="001D7EEF" w:rsidP="001D7EEF">
            <w:r>
              <w:t>Digital &amp; Data Strategy and Research and Evaluation strategy principles agreed.</w:t>
            </w:r>
          </w:p>
        </w:tc>
      </w:tr>
      <w:tr w:rsidR="000B3826" w:rsidRPr="000B3826" w14:paraId="5602A7AA"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23A8C76" w14:textId="77777777" w:rsidR="000B3826" w:rsidRPr="000B3826" w:rsidRDefault="000B3826" w:rsidP="000B3826">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6B2B58A4" w14:textId="5CE32122" w:rsidR="000B3826" w:rsidRPr="00E12DA1" w:rsidRDefault="000721E4" w:rsidP="000B3826">
            <w:r>
              <w:t>None identified</w:t>
            </w:r>
          </w:p>
          <w:p w14:paraId="78F47A3E" w14:textId="77777777" w:rsidR="000B3826" w:rsidRPr="00E12DA1" w:rsidRDefault="000B3826" w:rsidP="000B3826"/>
        </w:tc>
      </w:tr>
      <w:tr w:rsidR="00F705F3" w:rsidRPr="000B3826" w14:paraId="333E439B" w14:textId="77777777" w:rsidTr="00D2033C">
        <w:tc>
          <w:tcPr>
            <w:tcW w:w="2263" w:type="dxa"/>
            <w:tcBorders>
              <w:top w:val="single" w:sz="4" w:space="0" w:color="auto"/>
              <w:left w:val="single" w:sz="4" w:space="0" w:color="auto"/>
              <w:bottom w:val="single" w:sz="4" w:space="0" w:color="auto"/>
              <w:right w:val="single" w:sz="4" w:space="0" w:color="auto"/>
            </w:tcBorders>
          </w:tcPr>
          <w:p w14:paraId="5C864974" w14:textId="56A3C6A2" w:rsidR="00F705F3" w:rsidRPr="00F705F3" w:rsidRDefault="00F705F3" w:rsidP="000B3826">
            <w:pPr>
              <w:rPr>
                <w:b/>
              </w:rPr>
            </w:pPr>
            <w:r>
              <w:rPr>
                <w:b/>
              </w:rPr>
              <w:t>Committee conisation</w:t>
            </w:r>
          </w:p>
        </w:tc>
        <w:tc>
          <w:tcPr>
            <w:tcW w:w="7519" w:type="dxa"/>
            <w:gridSpan w:val="7"/>
            <w:tcBorders>
              <w:top w:val="single" w:sz="4" w:space="0" w:color="auto"/>
              <w:left w:val="single" w:sz="4" w:space="0" w:color="auto"/>
              <w:bottom w:val="single" w:sz="4" w:space="0" w:color="auto"/>
              <w:right w:val="single" w:sz="4" w:space="0" w:color="auto"/>
            </w:tcBorders>
          </w:tcPr>
          <w:p w14:paraId="26BCC780" w14:textId="101AEB87" w:rsidR="00F705F3" w:rsidRDefault="008541B5" w:rsidP="000B3826">
            <w:r w:rsidRPr="00060F4B">
              <w:t xml:space="preserve">The </w:t>
            </w:r>
            <w:r w:rsidRPr="00060F4B">
              <w:rPr>
                <w:b/>
              </w:rPr>
              <w:t xml:space="preserve">Knowledge, Research and Information Committee </w:t>
            </w:r>
            <w:r w:rsidRPr="00060F4B">
              <w:t>considered this risk in December 2022 and March 2023</w:t>
            </w:r>
          </w:p>
        </w:tc>
      </w:tr>
    </w:tbl>
    <w:p w14:paraId="3EE70A70" w14:textId="77777777" w:rsidR="000B3826" w:rsidRPr="000B3826" w:rsidRDefault="000B3826" w:rsidP="000B3826"/>
    <w:p w14:paraId="408830D2" w14:textId="77777777" w:rsidR="000B3826" w:rsidRPr="000B3826" w:rsidRDefault="000B3826" w:rsidP="000B3826">
      <w:pPr>
        <w:numPr>
          <w:ilvl w:val="1"/>
          <w:numId w:val="29"/>
        </w:numPr>
        <w:rPr>
          <w:b/>
        </w:rPr>
      </w:pPr>
      <w:r w:rsidRPr="000B3826">
        <w:rPr>
          <w:b/>
        </w:rPr>
        <w:t>Risk 6</w:t>
      </w:r>
    </w:p>
    <w:p w14:paraId="7A3EA4E8" w14:textId="77FA91B1" w:rsidR="000B3826" w:rsidRPr="000B3826" w:rsidRDefault="000B3826" w:rsidP="000B3826"/>
    <w:tbl>
      <w:tblPr>
        <w:tblW w:w="9782" w:type="dxa"/>
        <w:tblLook w:val="04A0" w:firstRow="1" w:lastRow="0" w:firstColumn="1" w:lastColumn="0" w:noHBand="0" w:noVBand="1"/>
      </w:tblPr>
      <w:tblGrid>
        <w:gridCol w:w="2263"/>
        <w:gridCol w:w="1276"/>
        <w:gridCol w:w="1276"/>
        <w:gridCol w:w="76"/>
        <w:gridCol w:w="1200"/>
        <w:gridCol w:w="1230"/>
        <w:gridCol w:w="1230"/>
        <w:gridCol w:w="1231"/>
      </w:tblGrid>
      <w:tr w:rsidR="000B3826" w:rsidRPr="000B3826" w14:paraId="2789CD98"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494FDE" w14:textId="77777777" w:rsidR="000B3826" w:rsidRPr="000B3826" w:rsidRDefault="000B3826" w:rsidP="000B3826">
            <w:bookmarkStart w:id="11" w:name="Risk6"/>
            <w:bookmarkEnd w:id="11"/>
            <w:r w:rsidRPr="000B3826">
              <w:rPr>
                <w:b/>
              </w:rPr>
              <w:t>Risk Description</w:t>
            </w:r>
          </w:p>
        </w:tc>
      </w:tr>
      <w:tr w:rsidR="000B3826" w:rsidRPr="000B3826" w14:paraId="77A8CEB3" w14:textId="77777777" w:rsidTr="00FD6DBE">
        <w:tc>
          <w:tcPr>
            <w:tcW w:w="9782" w:type="dxa"/>
            <w:gridSpan w:val="8"/>
            <w:tcBorders>
              <w:top w:val="single" w:sz="4" w:space="0" w:color="auto"/>
              <w:left w:val="single" w:sz="4" w:space="0" w:color="auto"/>
              <w:bottom w:val="single" w:sz="4" w:space="0" w:color="auto"/>
              <w:right w:val="single" w:sz="4" w:space="0" w:color="auto"/>
            </w:tcBorders>
            <w:shd w:val="clear" w:color="auto" w:fill="000000" w:themeFill="text1"/>
            <w:hideMark/>
          </w:tcPr>
          <w:p w14:paraId="09C522C5" w14:textId="77777777" w:rsidR="000B3826" w:rsidRDefault="000B3826" w:rsidP="000B3826"/>
          <w:p w14:paraId="3ADE1031" w14:textId="77777777" w:rsidR="00FD6DBE" w:rsidRDefault="00FD6DBE" w:rsidP="000B3826"/>
          <w:p w14:paraId="6CA100CE" w14:textId="5F14C533" w:rsidR="00FD6DBE" w:rsidRPr="000B3826" w:rsidRDefault="00FD6DBE" w:rsidP="000B3826"/>
        </w:tc>
      </w:tr>
      <w:tr w:rsidR="000B3826" w:rsidRPr="000B3826" w14:paraId="0744645C"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20EB093" w14:textId="77777777" w:rsidR="000B3826" w:rsidRPr="000B3826" w:rsidRDefault="000B3826" w:rsidP="000B3826">
            <w:r w:rsidRPr="000B3826">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98C182" w14:textId="77777777" w:rsidR="000B3826" w:rsidRPr="000B3826" w:rsidRDefault="000B3826" w:rsidP="000B3826">
            <w:r w:rsidRPr="000B3826">
              <w:rPr>
                <w:b/>
              </w:rPr>
              <w:t>Proposal for de-escalation or removal*</w:t>
            </w:r>
          </w:p>
        </w:tc>
      </w:tr>
      <w:tr w:rsidR="000B3826" w:rsidRPr="000B3826" w14:paraId="681668D3" w14:textId="77777777" w:rsidTr="00FD6DBE">
        <w:tc>
          <w:tcPr>
            <w:tcW w:w="4891"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65CABF83" w14:textId="0638ECB8" w:rsidR="00FD6DBE" w:rsidRPr="00D2033C" w:rsidRDefault="00FD6DBE" w:rsidP="000B3826"/>
        </w:tc>
        <w:tc>
          <w:tcPr>
            <w:tcW w:w="4891"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2E21F73B" w14:textId="0A08DE21" w:rsidR="000B3826" w:rsidRPr="00D2033C" w:rsidRDefault="000B3826" w:rsidP="000B3826"/>
        </w:tc>
      </w:tr>
      <w:tr w:rsidR="000B3826" w:rsidRPr="000B3826" w14:paraId="2B0C2B06"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EC0510D" w14:textId="77777777" w:rsidR="000B3826" w:rsidRPr="000B3826" w:rsidRDefault="000B3826" w:rsidP="000B3826">
            <w:pPr>
              <w:rPr>
                <w:b/>
              </w:rPr>
            </w:pPr>
            <w:r w:rsidRPr="000B3826">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F236DD" w14:textId="02F0EA9E" w:rsidR="000B3826" w:rsidRPr="000B3826" w:rsidRDefault="000B3826" w:rsidP="000B3826">
            <w:pPr>
              <w:rPr>
                <w:b/>
              </w:rPr>
            </w:pPr>
            <w:r w:rsidRPr="000B3826">
              <w:rPr>
                <w:b/>
              </w:rPr>
              <w:t xml:space="preserve">Score at last </w:t>
            </w:r>
            <w:r w:rsidR="00D2033C">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12F9FA4" w14:textId="77777777" w:rsidR="000B3826" w:rsidRPr="000B3826" w:rsidRDefault="000B3826" w:rsidP="000B3826">
            <w:pPr>
              <w:rPr>
                <w:b/>
              </w:rPr>
            </w:pPr>
            <w:r w:rsidRPr="000B3826">
              <w:rPr>
                <w:b/>
              </w:rPr>
              <w:t>Present Score</w:t>
            </w:r>
          </w:p>
        </w:tc>
      </w:tr>
      <w:tr w:rsidR="000B3826" w:rsidRPr="000B3826" w14:paraId="39A1DE46"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0CDB53DC" w14:textId="77777777" w:rsidR="000B3826" w:rsidRPr="000B3826" w:rsidRDefault="000B3826" w:rsidP="000B3826">
            <w:r w:rsidRPr="000B3826">
              <w:t xml:space="preserve">Inherent </w:t>
            </w:r>
          </w:p>
        </w:tc>
        <w:tc>
          <w:tcPr>
            <w:tcW w:w="1276" w:type="dxa"/>
            <w:tcBorders>
              <w:top w:val="single" w:sz="4" w:space="0" w:color="auto"/>
              <w:bottom w:val="single" w:sz="4" w:space="0" w:color="auto"/>
              <w:right w:val="single" w:sz="4" w:space="0" w:color="auto"/>
            </w:tcBorders>
            <w:shd w:val="clear" w:color="auto" w:fill="000000" w:themeFill="text1"/>
          </w:tcPr>
          <w:p w14:paraId="552CC7C2" w14:textId="06498653" w:rsidR="000B3826" w:rsidRPr="000B3826" w:rsidRDefault="000B3826" w:rsidP="000B3826"/>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31F83718" w14:textId="2AE3F562" w:rsidR="000B3826" w:rsidRPr="000B3826" w:rsidRDefault="000B3826" w:rsidP="000B3826"/>
        </w:tc>
        <w:tc>
          <w:tcPr>
            <w:tcW w:w="1276" w:type="dxa"/>
            <w:gridSpan w:val="2"/>
            <w:tcBorders>
              <w:top w:val="single" w:sz="4" w:space="0" w:color="auto"/>
              <w:left w:val="single" w:sz="4" w:space="0" w:color="auto"/>
              <w:bottom w:val="single" w:sz="4" w:space="0" w:color="auto"/>
            </w:tcBorders>
            <w:shd w:val="clear" w:color="auto" w:fill="000000" w:themeFill="text1"/>
          </w:tcPr>
          <w:p w14:paraId="1A66507D" w14:textId="0CA82D71"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622A8ACC" w14:textId="778D8EB2"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151BA794" w14:textId="79817C61" w:rsidR="000B3826" w:rsidRPr="000B3826" w:rsidRDefault="000B3826" w:rsidP="000B3826"/>
        </w:tc>
        <w:tc>
          <w:tcPr>
            <w:tcW w:w="1231" w:type="dxa"/>
            <w:tcBorders>
              <w:top w:val="single" w:sz="4" w:space="0" w:color="auto"/>
              <w:left w:val="single" w:sz="4" w:space="0" w:color="auto"/>
              <w:bottom w:val="single" w:sz="4" w:space="0" w:color="auto"/>
              <w:right w:val="single" w:sz="4" w:space="0" w:color="auto"/>
            </w:tcBorders>
            <w:shd w:val="clear" w:color="auto" w:fill="000000" w:themeFill="text1"/>
          </w:tcPr>
          <w:p w14:paraId="60F888B8" w14:textId="1F396FC4" w:rsidR="000B3826" w:rsidRPr="000B3826" w:rsidRDefault="000B3826" w:rsidP="000B3826"/>
        </w:tc>
      </w:tr>
      <w:tr w:rsidR="000B3826" w:rsidRPr="000B3826" w14:paraId="651BE862"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11D8FEB2" w14:textId="77777777" w:rsidR="000B3826" w:rsidRPr="000B3826" w:rsidRDefault="000B3826" w:rsidP="000B3826">
            <w:r w:rsidRPr="000B3826">
              <w:t>Current</w:t>
            </w:r>
          </w:p>
        </w:tc>
        <w:tc>
          <w:tcPr>
            <w:tcW w:w="1276" w:type="dxa"/>
            <w:tcBorders>
              <w:top w:val="single" w:sz="4" w:space="0" w:color="auto"/>
              <w:bottom w:val="single" w:sz="4" w:space="0" w:color="auto"/>
              <w:right w:val="single" w:sz="4" w:space="0" w:color="auto"/>
            </w:tcBorders>
            <w:shd w:val="clear" w:color="auto" w:fill="000000" w:themeFill="text1"/>
          </w:tcPr>
          <w:p w14:paraId="4CAFAF48" w14:textId="10BD14CA" w:rsidR="000B3826" w:rsidRPr="000B3826" w:rsidRDefault="000B3826" w:rsidP="000B3826"/>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0AE434FA" w14:textId="6CF1BBC3" w:rsidR="000B3826" w:rsidRPr="000B3826" w:rsidRDefault="000B3826" w:rsidP="000B3826"/>
        </w:tc>
        <w:tc>
          <w:tcPr>
            <w:tcW w:w="1276" w:type="dxa"/>
            <w:gridSpan w:val="2"/>
            <w:tcBorders>
              <w:top w:val="single" w:sz="4" w:space="0" w:color="auto"/>
              <w:left w:val="single" w:sz="4" w:space="0" w:color="auto"/>
              <w:bottom w:val="single" w:sz="4" w:space="0" w:color="auto"/>
            </w:tcBorders>
            <w:shd w:val="clear" w:color="auto" w:fill="000000" w:themeFill="text1"/>
          </w:tcPr>
          <w:p w14:paraId="6FD109CC" w14:textId="0B2386A9"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4171D30B" w14:textId="1B82FCA8"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46BA1141" w14:textId="5EF5EC9C" w:rsidR="000B3826" w:rsidRPr="000B3826" w:rsidRDefault="000B3826" w:rsidP="000B3826"/>
        </w:tc>
        <w:tc>
          <w:tcPr>
            <w:tcW w:w="1231" w:type="dxa"/>
            <w:tcBorders>
              <w:top w:val="single" w:sz="4" w:space="0" w:color="auto"/>
              <w:left w:val="single" w:sz="4" w:space="0" w:color="auto"/>
              <w:bottom w:val="single" w:sz="4" w:space="0" w:color="auto"/>
              <w:right w:val="single" w:sz="4" w:space="0" w:color="auto"/>
            </w:tcBorders>
            <w:shd w:val="clear" w:color="auto" w:fill="000000" w:themeFill="text1"/>
          </w:tcPr>
          <w:p w14:paraId="6B34D6A8" w14:textId="4DB2C9D6" w:rsidR="000B3826" w:rsidRPr="000B3826" w:rsidRDefault="000B3826" w:rsidP="000B3826"/>
        </w:tc>
      </w:tr>
      <w:tr w:rsidR="000B3826" w:rsidRPr="000B3826" w14:paraId="4C35E5C4"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7AAEF374" w14:textId="77777777" w:rsidR="000B3826" w:rsidRPr="000B3826" w:rsidRDefault="000B3826" w:rsidP="000B3826">
            <w:r w:rsidRPr="000B3826">
              <w:t>Target</w:t>
            </w:r>
          </w:p>
        </w:tc>
        <w:tc>
          <w:tcPr>
            <w:tcW w:w="1276" w:type="dxa"/>
            <w:tcBorders>
              <w:top w:val="single" w:sz="4" w:space="0" w:color="auto"/>
              <w:bottom w:val="single" w:sz="4" w:space="0" w:color="auto"/>
              <w:right w:val="single" w:sz="4" w:space="0" w:color="auto"/>
            </w:tcBorders>
            <w:shd w:val="clear" w:color="auto" w:fill="000000" w:themeFill="text1"/>
          </w:tcPr>
          <w:p w14:paraId="24BEB303" w14:textId="11839671" w:rsidR="000B3826" w:rsidRPr="000B3826" w:rsidRDefault="000B3826" w:rsidP="000B3826"/>
        </w:tc>
        <w:tc>
          <w:tcPr>
            <w:tcW w:w="1276" w:type="dxa"/>
            <w:tcBorders>
              <w:top w:val="single" w:sz="4" w:space="0" w:color="auto"/>
              <w:left w:val="single" w:sz="4" w:space="0" w:color="auto"/>
              <w:bottom w:val="single" w:sz="4" w:space="0" w:color="auto"/>
              <w:right w:val="single" w:sz="4" w:space="0" w:color="auto"/>
            </w:tcBorders>
            <w:shd w:val="clear" w:color="auto" w:fill="000000" w:themeFill="text1"/>
          </w:tcPr>
          <w:p w14:paraId="42E635F5" w14:textId="26F49EFA" w:rsidR="000B3826" w:rsidRPr="000B3826" w:rsidRDefault="000B3826" w:rsidP="000B3826"/>
        </w:tc>
        <w:tc>
          <w:tcPr>
            <w:tcW w:w="1276" w:type="dxa"/>
            <w:gridSpan w:val="2"/>
            <w:tcBorders>
              <w:top w:val="single" w:sz="4" w:space="0" w:color="auto"/>
              <w:left w:val="single" w:sz="4" w:space="0" w:color="auto"/>
              <w:bottom w:val="single" w:sz="4" w:space="0" w:color="auto"/>
            </w:tcBorders>
            <w:shd w:val="clear" w:color="auto" w:fill="000000" w:themeFill="text1"/>
          </w:tcPr>
          <w:p w14:paraId="14B0D6DE" w14:textId="53DED740"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5F2FB479" w14:textId="0328EB7D" w:rsidR="000B3826" w:rsidRPr="000B3826" w:rsidRDefault="000B3826" w:rsidP="000B3826"/>
        </w:tc>
        <w:tc>
          <w:tcPr>
            <w:tcW w:w="1230" w:type="dxa"/>
            <w:tcBorders>
              <w:top w:val="single" w:sz="4" w:space="0" w:color="auto"/>
              <w:left w:val="single" w:sz="4" w:space="0" w:color="auto"/>
              <w:bottom w:val="single" w:sz="4" w:space="0" w:color="auto"/>
              <w:right w:val="single" w:sz="4" w:space="0" w:color="auto"/>
            </w:tcBorders>
            <w:shd w:val="clear" w:color="auto" w:fill="000000" w:themeFill="text1"/>
          </w:tcPr>
          <w:p w14:paraId="442B7E24" w14:textId="03738E5B" w:rsidR="000B3826" w:rsidRPr="000B3826" w:rsidRDefault="000B3826" w:rsidP="000B3826"/>
        </w:tc>
        <w:tc>
          <w:tcPr>
            <w:tcW w:w="1231" w:type="dxa"/>
            <w:tcBorders>
              <w:top w:val="single" w:sz="4" w:space="0" w:color="auto"/>
              <w:left w:val="single" w:sz="4" w:space="0" w:color="auto"/>
              <w:bottom w:val="single" w:sz="4" w:space="0" w:color="auto"/>
              <w:right w:val="single" w:sz="4" w:space="0" w:color="auto"/>
            </w:tcBorders>
            <w:shd w:val="clear" w:color="auto" w:fill="000000" w:themeFill="text1"/>
          </w:tcPr>
          <w:p w14:paraId="53931267" w14:textId="40D3410E" w:rsidR="000B3826" w:rsidRPr="000B3826" w:rsidRDefault="000B3826" w:rsidP="000B3826"/>
        </w:tc>
      </w:tr>
      <w:tr w:rsidR="000B3826" w:rsidRPr="000B3826" w14:paraId="464D4DF9" w14:textId="77777777" w:rsidTr="00D2033C">
        <w:tc>
          <w:tcPr>
            <w:tcW w:w="4815"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ABC5CB4" w14:textId="3CEEB90A" w:rsidR="000B3826" w:rsidRPr="000B3826" w:rsidRDefault="000B3826" w:rsidP="000B3826">
            <w:pPr>
              <w:rPr>
                <w:b/>
              </w:rPr>
            </w:pPr>
            <w:r w:rsidRPr="000B3826">
              <w:rPr>
                <w:b/>
              </w:rPr>
              <w:t xml:space="preserve">DCA at last </w:t>
            </w:r>
            <w:r w:rsidR="00D2033C">
              <w:rPr>
                <w:b/>
              </w:rPr>
              <w:t>Board</w:t>
            </w:r>
          </w:p>
        </w:tc>
        <w:tc>
          <w:tcPr>
            <w:tcW w:w="4967" w:type="dxa"/>
            <w:gridSpan w:val="5"/>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73D50B0" w14:textId="77777777" w:rsidR="000B3826" w:rsidRPr="000B3826" w:rsidRDefault="000B3826" w:rsidP="000B3826">
            <w:pPr>
              <w:rPr>
                <w:b/>
              </w:rPr>
            </w:pPr>
            <w:r w:rsidRPr="000B3826">
              <w:rPr>
                <w:b/>
              </w:rPr>
              <w:t>Present Live DCA</w:t>
            </w:r>
          </w:p>
        </w:tc>
      </w:tr>
      <w:tr w:rsidR="000B3826" w:rsidRPr="000B3826" w14:paraId="7309AFD7" w14:textId="77777777" w:rsidTr="00FD6DBE">
        <w:trPr>
          <w:trHeight w:val="614"/>
        </w:trPr>
        <w:tc>
          <w:tcPr>
            <w:tcW w:w="4815"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EB521BA" w14:textId="4C7BBBDD" w:rsidR="000B3826" w:rsidRPr="000B3826" w:rsidRDefault="000B3826" w:rsidP="000B3826"/>
        </w:tc>
        <w:tc>
          <w:tcPr>
            <w:tcW w:w="4967"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5DB8F00" w14:textId="72DE1294" w:rsidR="000B3826" w:rsidRPr="000B3826" w:rsidRDefault="000B3826" w:rsidP="000B3826"/>
        </w:tc>
      </w:tr>
      <w:tr w:rsidR="000B3826" w:rsidRPr="000B3826" w14:paraId="37B80912"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5ABB7D3" w14:textId="77777777" w:rsidR="000B3826" w:rsidRPr="000B3826" w:rsidRDefault="000B3826" w:rsidP="000B3826">
            <w:pPr>
              <w:rPr>
                <w:b/>
              </w:rPr>
            </w:pPr>
            <w:r w:rsidRPr="000B3826">
              <w:rPr>
                <w:b/>
              </w:rPr>
              <w:t>Executive Sponsor Insight</w:t>
            </w:r>
          </w:p>
        </w:tc>
      </w:tr>
      <w:tr w:rsidR="000B3826" w:rsidRPr="000B3826" w14:paraId="142C14D7" w14:textId="77777777" w:rsidTr="00FD6DBE">
        <w:tc>
          <w:tcPr>
            <w:tcW w:w="9782" w:type="dxa"/>
            <w:gridSpan w:val="8"/>
            <w:tcBorders>
              <w:top w:val="single" w:sz="4" w:space="0" w:color="auto"/>
              <w:left w:val="single" w:sz="4" w:space="0" w:color="auto"/>
              <w:bottom w:val="single" w:sz="4" w:space="0" w:color="auto"/>
              <w:right w:val="single" w:sz="4" w:space="0" w:color="auto"/>
            </w:tcBorders>
            <w:shd w:val="clear" w:color="auto" w:fill="000000" w:themeFill="text1"/>
          </w:tcPr>
          <w:p w14:paraId="2A40D533" w14:textId="77777777" w:rsidR="000B3826" w:rsidRPr="000B3826" w:rsidRDefault="000B3826" w:rsidP="000B3826"/>
          <w:p w14:paraId="3964C77B" w14:textId="77777777" w:rsidR="000B3826" w:rsidRDefault="000B3826" w:rsidP="000B3826"/>
          <w:p w14:paraId="71B3A775" w14:textId="7CCC018F" w:rsidR="00FD6DBE" w:rsidRPr="000B3826" w:rsidRDefault="00FD6DBE" w:rsidP="000B3826"/>
        </w:tc>
      </w:tr>
      <w:tr w:rsidR="000B3826" w:rsidRPr="000B3826" w14:paraId="7D13FCA2"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282DC8" w14:textId="77777777" w:rsidR="000B3826" w:rsidRPr="000B3826" w:rsidRDefault="000B3826" w:rsidP="000B3826">
            <w:pPr>
              <w:rPr>
                <w:b/>
              </w:rPr>
            </w:pPr>
            <w:r w:rsidRPr="000B3826">
              <w:rPr>
                <w:b/>
              </w:rPr>
              <w:t xml:space="preserve">Overview of changes to controls/actions </w:t>
            </w:r>
          </w:p>
          <w:p w14:paraId="72713BE7" w14:textId="77777777" w:rsidR="000B3826" w:rsidRPr="000B3826" w:rsidRDefault="000B3826" w:rsidP="000B3826">
            <w:r w:rsidRPr="000B3826">
              <w:t>(text marked in red in full risk which can be found in Appendix 2.</w:t>
            </w:r>
          </w:p>
        </w:tc>
      </w:tr>
      <w:tr w:rsidR="000B3826" w:rsidRPr="000B3826" w14:paraId="29B43A00"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02CFCC77" w14:textId="77777777" w:rsidR="000B3826" w:rsidRPr="000B3826" w:rsidRDefault="000B3826" w:rsidP="000B3826">
            <w:pPr>
              <w:rPr>
                <w:b/>
              </w:rPr>
            </w:pPr>
            <w:r w:rsidRPr="000B3826">
              <w:rPr>
                <w:b/>
              </w:rPr>
              <w:t>Controls</w:t>
            </w:r>
          </w:p>
        </w:tc>
        <w:tc>
          <w:tcPr>
            <w:tcW w:w="7519" w:type="dxa"/>
            <w:gridSpan w:val="7"/>
            <w:tcBorders>
              <w:top w:val="single" w:sz="4" w:space="0" w:color="auto"/>
              <w:left w:val="single" w:sz="4" w:space="0" w:color="auto"/>
              <w:bottom w:val="single" w:sz="4" w:space="0" w:color="auto"/>
              <w:right w:val="single" w:sz="4" w:space="0" w:color="auto"/>
            </w:tcBorders>
            <w:shd w:val="clear" w:color="auto" w:fill="000000" w:themeFill="text1"/>
            <w:hideMark/>
          </w:tcPr>
          <w:p w14:paraId="0BE320E6" w14:textId="77777777" w:rsidR="000B3826" w:rsidRDefault="000B3826" w:rsidP="000B3826"/>
          <w:p w14:paraId="4F13125C" w14:textId="03D134CC" w:rsidR="00FD6DBE" w:rsidRPr="0020482E" w:rsidRDefault="00FD6DBE" w:rsidP="000B3826">
            <w:pPr>
              <w:rPr>
                <w:color w:val="FF0000"/>
              </w:rPr>
            </w:pPr>
          </w:p>
        </w:tc>
      </w:tr>
      <w:tr w:rsidR="00D2033C" w:rsidRPr="000B3826" w14:paraId="23525322"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0221DF08" w14:textId="77777777" w:rsidR="00D2033C" w:rsidRPr="000B3826" w:rsidRDefault="00D2033C" w:rsidP="00D2033C">
            <w:pPr>
              <w:rPr>
                <w:b/>
              </w:rPr>
            </w:pPr>
            <w:r w:rsidRPr="000B3826">
              <w:rPr>
                <w:b/>
              </w:rPr>
              <w:t>Actions</w:t>
            </w:r>
          </w:p>
        </w:tc>
        <w:tc>
          <w:tcPr>
            <w:tcW w:w="7519" w:type="dxa"/>
            <w:gridSpan w:val="7"/>
            <w:tcBorders>
              <w:top w:val="single" w:sz="4" w:space="0" w:color="auto"/>
              <w:left w:val="single" w:sz="4" w:space="0" w:color="auto"/>
              <w:bottom w:val="single" w:sz="4" w:space="0" w:color="auto"/>
              <w:right w:val="single" w:sz="4" w:space="0" w:color="auto"/>
            </w:tcBorders>
            <w:shd w:val="clear" w:color="auto" w:fill="000000" w:themeFill="text1"/>
            <w:hideMark/>
          </w:tcPr>
          <w:p w14:paraId="16D22CF1" w14:textId="77777777" w:rsidR="00D2033C" w:rsidRDefault="00D2033C" w:rsidP="00FD6DBE"/>
          <w:p w14:paraId="0CF4B863" w14:textId="708E1BEC" w:rsidR="00FD6DBE" w:rsidRPr="00D2033C" w:rsidRDefault="00FD6DBE" w:rsidP="00FD6DBE"/>
        </w:tc>
      </w:tr>
      <w:tr w:rsidR="00D2033C" w:rsidRPr="000B3826" w14:paraId="2869A37A" w14:textId="77777777" w:rsidTr="00FD6DBE">
        <w:tc>
          <w:tcPr>
            <w:tcW w:w="2263" w:type="dxa"/>
            <w:tcBorders>
              <w:top w:val="single" w:sz="4" w:space="0" w:color="auto"/>
              <w:left w:val="single" w:sz="4" w:space="0" w:color="auto"/>
              <w:bottom w:val="single" w:sz="4" w:space="0" w:color="auto"/>
              <w:right w:val="single" w:sz="4" w:space="0" w:color="auto"/>
            </w:tcBorders>
            <w:hideMark/>
          </w:tcPr>
          <w:p w14:paraId="284BF66D" w14:textId="77777777" w:rsidR="00D2033C" w:rsidRPr="000B3826" w:rsidRDefault="00D2033C" w:rsidP="00D2033C">
            <w:pPr>
              <w:rPr>
                <w:b/>
              </w:rPr>
            </w:pPr>
            <w:r w:rsidRPr="000B3826">
              <w:rPr>
                <w:b/>
              </w:rPr>
              <w:t>Opportunities</w:t>
            </w:r>
          </w:p>
        </w:tc>
        <w:tc>
          <w:tcPr>
            <w:tcW w:w="7519" w:type="dxa"/>
            <w:gridSpan w:val="7"/>
            <w:tcBorders>
              <w:top w:val="single" w:sz="4" w:space="0" w:color="auto"/>
              <w:left w:val="single" w:sz="4" w:space="0" w:color="auto"/>
              <w:bottom w:val="single" w:sz="4" w:space="0" w:color="auto"/>
              <w:right w:val="single" w:sz="4" w:space="0" w:color="auto"/>
            </w:tcBorders>
            <w:shd w:val="clear" w:color="auto" w:fill="000000" w:themeFill="text1"/>
            <w:hideMark/>
          </w:tcPr>
          <w:p w14:paraId="4891BB11" w14:textId="77777777" w:rsidR="00D2033C" w:rsidRDefault="00D2033C" w:rsidP="00FD6DBE"/>
          <w:p w14:paraId="091C9415" w14:textId="5B4A32F5" w:rsidR="00FD6DBE" w:rsidRPr="0020482E" w:rsidRDefault="00FD6DBE" w:rsidP="00FD6DBE">
            <w:pPr>
              <w:rPr>
                <w:color w:val="FF0000"/>
              </w:rPr>
            </w:pPr>
          </w:p>
        </w:tc>
      </w:tr>
    </w:tbl>
    <w:p w14:paraId="3FF347AF" w14:textId="77777777" w:rsidR="009A5C99" w:rsidRPr="002E739C" w:rsidRDefault="009A5C99" w:rsidP="009A5C99">
      <w:pPr>
        <w:pStyle w:val="Heading1"/>
        <w:numPr>
          <w:ilvl w:val="0"/>
          <w:numId w:val="2"/>
        </w:numPr>
        <w:rPr>
          <w:szCs w:val="24"/>
        </w:rPr>
      </w:pPr>
      <w:r w:rsidRPr="002E739C">
        <w:rPr>
          <w:szCs w:val="24"/>
        </w:rPr>
        <w:t>Corporate Risk Register</w:t>
      </w:r>
    </w:p>
    <w:p w14:paraId="50C10ABF" w14:textId="77777777" w:rsidR="000721E4" w:rsidRDefault="00DE42BB" w:rsidP="000B3826">
      <w:pPr>
        <w:pStyle w:val="Heading1"/>
        <w:rPr>
          <w:rFonts w:eastAsiaTheme="minorHAnsi" w:cs="Verdana"/>
          <w:b w:val="0"/>
          <w:bCs w:val="0"/>
          <w:szCs w:val="24"/>
        </w:rPr>
      </w:pPr>
      <w:r>
        <w:rPr>
          <w:rFonts w:eastAsiaTheme="minorHAnsi" w:cs="Verdana"/>
          <w:b w:val="0"/>
          <w:bCs w:val="0"/>
          <w:szCs w:val="24"/>
        </w:rPr>
        <w:t>Since the Board last received t</w:t>
      </w:r>
      <w:r w:rsidR="00773F06">
        <w:rPr>
          <w:rFonts w:eastAsiaTheme="minorHAnsi" w:cs="Verdana"/>
          <w:b w:val="0"/>
          <w:bCs w:val="0"/>
          <w:szCs w:val="24"/>
        </w:rPr>
        <w:t>he Corporate Risk Register</w:t>
      </w:r>
      <w:r>
        <w:rPr>
          <w:rFonts w:eastAsiaTheme="minorHAnsi" w:cs="Verdana"/>
          <w:b w:val="0"/>
          <w:bCs w:val="0"/>
          <w:szCs w:val="24"/>
        </w:rPr>
        <w:t xml:space="preserve"> one risk (302) was closed by BET in December 2022</w:t>
      </w:r>
      <w:r w:rsidR="00773F06">
        <w:rPr>
          <w:rFonts w:eastAsiaTheme="minorHAnsi" w:cs="Verdana"/>
          <w:b w:val="0"/>
          <w:bCs w:val="0"/>
          <w:szCs w:val="24"/>
        </w:rPr>
        <w:t xml:space="preserve"> </w:t>
      </w:r>
      <w:r>
        <w:rPr>
          <w:rFonts w:eastAsiaTheme="minorHAnsi" w:cs="Verdana"/>
          <w:b w:val="0"/>
          <w:bCs w:val="0"/>
          <w:szCs w:val="24"/>
        </w:rPr>
        <w:t>and one new risk (303) approved to be added by BET in January 2023.  Therefore, Public Health Wales still has six approved corporate risks</w:t>
      </w:r>
      <w:r w:rsidR="009A5C99" w:rsidRPr="000D77D3">
        <w:rPr>
          <w:rFonts w:eastAsiaTheme="minorHAnsi" w:cs="Verdana"/>
          <w:b w:val="0"/>
          <w:bCs w:val="0"/>
          <w:szCs w:val="24"/>
        </w:rPr>
        <w:t>.</w:t>
      </w:r>
      <w:r w:rsidR="009A5C99">
        <w:rPr>
          <w:rFonts w:eastAsiaTheme="minorHAnsi" w:cs="Verdana"/>
          <w:b w:val="0"/>
          <w:bCs w:val="0"/>
          <w:szCs w:val="24"/>
        </w:rPr>
        <w:t xml:space="preserve"> </w:t>
      </w:r>
      <w:r w:rsidR="009A5C99" w:rsidRPr="000D77D3">
        <w:rPr>
          <w:rFonts w:eastAsiaTheme="minorHAnsi" w:cs="Verdana"/>
          <w:b w:val="0"/>
          <w:bCs w:val="0"/>
          <w:szCs w:val="24"/>
        </w:rPr>
        <w:t xml:space="preserve">An assessment of each of </w:t>
      </w:r>
      <w:r w:rsidR="009A5C99">
        <w:rPr>
          <w:rFonts w:eastAsiaTheme="minorHAnsi" w:cs="Verdana"/>
          <w:b w:val="0"/>
          <w:bCs w:val="0"/>
          <w:szCs w:val="24"/>
        </w:rPr>
        <w:t xml:space="preserve">the </w:t>
      </w:r>
      <w:r w:rsidR="009A5C99" w:rsidRPr="000D77D3">
        <w:rPr>
          <w:rFonts w:eastAsiaTheme="minorHAnsi" w:cs="Verdana"/>
          <w:b w:val="0"/>
          <w:bCs w:val="0"/>
          <w:szCs w:val="24"/>
        </w:rPr>
        <w:t>risks by the respective risk owner is shown below</w:t>
      </w:r>
      <w:r>
        <w:rPr>
          <w:rFonts w:eastAsiaTheme="minorHAnsi" w:cs="Verdana"/>
          <w:b w:val="0"/>
          <w:bCs w:val="0"/>
          <w:szCs w:val="24"/>
        </w:rPr>
        <w:t>.</w:t>
      </w:r>
      <w:r w:rsidR="009A5C99" w:rsidRPr="000D77D3">
        <w:rPr>
          <w:rFonts w:eastAsiaTheme="minorHAnsi" w:cs="Verdana"/>
          <w:b w:val="0"/>
          <w:bCs w:val="0"/>
          <w:szCs w:val="24"/>
        </w:rPr>
        <w:t xml:space="preserve"> </w:t>
      </w:r>
      <w:r w:rsidR="009A5C99">
        <w:rPr>
          <w:rFonts w:eastAsiaTheme="minorHAnsi" w:cs="Verdana"/>
          <w:b w:val="0"/>
          <w:bCs w:val="0"/>
          <w:szCs w:val="24"/>
        </w:rPr>
        <w:t>The full risks have been provided in Appendix 3.</w:t>
      </w:r>
      <w:r>
        <w:rPr>
          <w:rFonts w:eastAsiaTheme="minorHAnsi" w:cs="Verdana"/>
          <w:b w:val="0"/>
          <w:bCs w:val="0"/>
          <w:szCs w:val="24"/>
        </w:rPr>
        <w:t xml:space="preserve"> </w:t>
      </w:r>
    </w:p>
    <w:p w14:paraId="14CAD998" w14:textId="5797E63F" w:rsidR="000B3826" w:rsidRPr="000B3826" w:rsidRDefault="00DE42BB" w:rsidP="000B3826">
      <w:pPr>
        <w:pStyle w:val="Heading1"/>
        <w:rPr>
          <w:rFonts w:eastAsiaTheme="minorHAnsi" w:cs="Verdana"/>
          <w:b w:val="0"/>
          <w:bCs w:val="0"/>
          <w:szCs w:val="24"/>
        </w:rPr>
      </w:pPr>
      <w:r w:rsidRPr="00DE42BB">
        <w:rPr>
          <w:rFonts w:eastAsiaTheme="minorHAnsi" w:cs="Verdana"/>
          <w:b w:val="0"/>
          <w:bCs w:val="0"/>
          <w:szCs w:val="24"/>
        </w:rPr>
        <w:t>An additional column has been added to the Corporate Risk Register in response to an assessment by Audit Wales. This additional column details the responsible Committee delegated to scrutinise the corporate risks on behalf on the Board</w:t>
      </w:r>
      <w:r>
        <w:rPr>
          <w:rFonts w:eastAsiaTheme="minorHAnsi" w:cs="Verdana"/>
          <w:b w:val="0"/>
          <w:bCs w:val="0"/>
          <w:szCs w:val="24"/>
        </w:rPr>
        <w:t>.</w:t>
      </w:r>
    </w:p>
    <w:p w14:paraId="7FEC263F"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203</w:t>
      </w:r>
    </w:p>
    <w:p w14:paraId="21844490" w14:textId="77777777" w:rsidR="000B3826" w:rsidRDefault="000B3826" w:rsidP="000B3826">
      <w:pPr>
        <w:rPr>
          <w:rFonts w:eastAsia="Calibri" w:cs="Times New Roman"/>
        </w:rPr>
      </w:pPr>
    </w:p>
    <w:p w14:paraId="30504396" w14:textId="237CA17A" w:rsidR="004972FA" w:rsidRDefault="004972FA" w:rsidP="004972FA">
      <w:r>
        <w:t xml:space="preserve">The risk remains the same with only one action identified. A number of significant changes are planned including an IT upgrade, outsourcing of letter printing and funding for specialist </w:t>
      </w:r>
      <w:r w:rsidR="00060F4B">
        <w:t>expertise, which</w:t>
      </w:r>
      <w:r>
        <w:t xml:space="preserve"> is likely to have a positive impact on the status of the risk.</w:t>
      </w:r>
    </w:p>
    <w:p w14:paraId="43F09B1E" w14:textId="77777777" w:rsidR="000B3826" w:rsidRPr="00BA69BD" w:rsidRDefault="000B3826" w:rsidP="000B3826">
      <w:pPr>
        <w:rPr>
          <w:rFonts w:eastAsia="Calibri" w:cs="Times New Roman"/>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0B3826" w:rsidRPr="00A20CD9" w14:paraId="24BBF9DE"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07BB42E" w14:textId="77777777" w:rsidR="000B3826" w:rsidRPr="00A20CD9" w:rsidRDefault="000B3826" w:rsidP="00D2033C">
            <w:bookmarkStart w:id="12" w:name="Risk203"/>
            <w:bookmarkEnd w:id="12"/>
            <w:r w:rsidRPr="00A20CD9">
              <w:rPr>
                <w:b/>
              </w:rPr>
              <w:t>Risk Description</w:t>
            </w:r>
          </w:p>
        </w:tc>
      </w:tr>
      <w:tr w:rsidR="000B3826" w:rsidRPr="00A20CD9" w14:paraId="33E63774"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5A6D731E" w14:textId="77777777" w:rsidR="000B3826" w:rsidRPr="00A20CD9" w:rsidRDefault="000B3826" w:rsidP="00D2033C">
            <w:r w:rsidRPr="00A20CD9">
              <w:t>DESW is unable to provide an accurate and quality-assured programme to the diabetic population of Wales, and to transform the service to provide quality-assured programme for the increasing diabetic population.</w:t>
            </w:r>
          </w:p>
        </w:tc>
      </w:tr>
      <w:tr w:rsidR="000B3826" w:rsidRPr="00A20CD9" w14:paraId="43F47586"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1EA2E5D"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0017BBB" w14:textId="77777777" w:rsidR="000B3826" w:rsidRPr="00A20CD9" w:rsidRDefault="000B3826" w:rsidP="00D2033C">
            <w:r w:rsidRPr="00A20CD9">
              <w:rPr>
                <w:b/>
              </w:rPr>
              <w:t>Proposal for de-escalation or removal*</w:t>
            </w:r>
          </w:p>
        </w:tc>
      </w:tr>
      <w:tr w:rsidR="000B3826" w:rsidRPr="00A20CD9" w14:paraId="573B2122"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144D5F30" w14:textId="77777777" w:rsidR="000B3826" w:rsidRPr="00D2033C" w:rsidRDefault="000B3826" w:rsidP="00D2033C">
            <w:r w:rsidRPr="00D2033C">
              <w:t>Cautious</w:t>
            </w:r>
          </w:p>
        </w:tc>
        <w:tc>
          <w:tcPr>
            <w:tcW w:w="4891" w:type="dxa"/>
            <w:gridSpan w:val="4"/>
            <w:tcBorders>
              <w:top w:val="single" w:sz="4" w:space="0" w:color="auto"/>
              <w:left w:val="single" w:sz="4" w:space="0" w:color="auto"/>
              <w:bottom w:val="single" w:sz="4" w:space="0" w:color="auto"/>
              <w:right w:val="single" w:sz="4" w:space="0" w:color="auto"/>
            </w:tcBorders>
            <w:hideMark/>
          </w:tcPr>
          <w:p w14:paraId="77496F2E" w14:textId="77777777" w:rsidR="000B3826" w:rsidRPr="00D2033C" w:rsidRDefault="000B3826" w:rsidP="00D2033C">
            <w:r w:rsidRPr="00D2033C">
              <w:t>Not applicable</w:t>
            </w:r>
          </w:p>
        </w:tc>
      </w:tr>
      <w:tr w:rsidR="000B3826" w:rsidRPr="00A20CD9" w14:paraId="31B8AAC4"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2730513" w14:textId="77777777" w:rsidR="000B3826" w:rsidRPr="00A20CD9" w:rsidRDefault="000B3826" w:rsidP="00D2033C">
            <w:pPr>
              <w:rPr>
                <w:b/>
              </w:rPr>
            </w:pPr>
            <w:r w:rsidRPr="00A20CD9">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19656B5" w14:textId="28755800" w:rsidR="000B3826" w:rsidRPr="00A20CD9" w:rsidRDefault="000B3826" w:rsidP="00D2033C">
            <w:pPr>
              <w:rPr>
                <w:b/>
              </w:rPr>
            </w:pPr>
            <w:r w:rsidRPr="00A20CD9">
              <w:rPr>
                <w:b/>
              </w:rPr>
              <w:t xml:space="preserve">Score at last </w:t>
            </w:r>
            <w:r w:rsidR="00D2033C">
              <w:rPr>
                <w:b/>
              </w:rPr>
              <w:t xml:space="preserve">Board </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F894F6B" w14:textId="77777777" w:rsidR="000B3826" w:rsidRPr="00A20CD9" w:rsidRDefault="000B3826" w:rsidP="00D2033C">
            <w:pPr>
              <w:rPr>
                <w:b/>
              </w:rPr>
            </w:pPr>
            <w:r w:rsidRPr="00A20CD9">
              <w:rPr>
                <w:b/>
              </w:rPr>
              <w:t>Present Score</w:t>
            </w:r>
          </w:p>
        </w:tc>
      </w:tr>
      <w:tr w:rsidR="000B3826" w:rsidRPr="00A20CD9" w14:paraId="4C519072"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47BF474" w14:textId="77777777" w:rsidR="000B3826" w:rsidRPr="00A20CD9" w:rsidRDefault="000B3826" w:rsidP="00D2033C">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hideMark/>
          </w:tcPr>
          <w:p w14:paraId="725DB20C" w14:textId="77777777" w:rsidR="000B3826" w:rsidRPr="00A20CD9" w:rsidRDefault="000B3826" w:rsidP="00D2033C">
            <w:pPr>
              <w:jc w:val="center"/>
            </w:pPr>
            <w:r w:rsidRPr="00A20CD9">
              <w:t>5</w:t>
            </w:r>
          </w:p>
        </w:tc>
        <w:tc>
          <w:tcPr>
            <w:tcW w:w="1276" w:type="dxa"/>
            <w:tcBorders>
              <w:top w:val="single" w:sz="4" w:space="0" w:color="auto"/>
              <w:left w:val="single" w:sz="4" w:space="0" w:color="auto"/>
              <w:bottom w:val="single" w:sz="4" w:space="0" w:color="auto"/>
              <w:right w:val="single" w:sz="4" w:space="0" w:color="auto"/>
            </w:tcBorders>
            <w:hideMark/>
          </w:tcPr>
          <w:p w14:paraId="0F846123"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48F290B" w14:textId="77777777" w:rsidR="000B3826" w:rsidRPr="00A20CD9" w:rsidRDefault="000B3826" w:rsidP="00D2033C">
            <w:pPr>
              <w:jc w:val="center"/>
            </w:pPr>
            <w:r w:rsidRPr="00A20CD9">
              <w:t>20</w:t>
            </w:r>
          </w:p>
        </w:tc>
        <w:tc>
          <w:tcPr>
            <w:tcW w:w="1230" w:type="dxa"/>
            <w:tcBorders>
              <w:top w:val="single" w:sz="4" w:space="0" w:color="auto"/>
              <w:left w:val="single" w:sz="4" w:space="0" w:color="auto"/>
              <w:bottom w:val="single" w:sz="4" w:space="0" w:color="auto"/>
              <w:right w:val="single" w:sz="4" w:space="0" w:color="auto"/>
            </w:tcBorders>
            <w:hideMark/>
          </w:tcPr>
          <w:p w14:paraId="63268713" w14:textId="77777777" w:rsidR="000B3826" w:rsidRPr="00A20CD9" w:rsidRDefault="000B3826" w:rsidP="00D2033C">
            <w:pPr>
              <w:jc w:val="center"/>
            </w:pPr>
            <w:r w:rsidRPr="00A20CD9">
              <w:t>5</w:t>
            </w:r>
          </w:p>
        </w:tc>
        <w:tc>
          <w:tcPr>
            <w:tcW w:w="1230" w:type="dxa"/>
            <w:tcBorders>
              <w:top w:val="single" w:sz="4" w:space="0" w:color="auto"/>
              <w:left w:val="single" w:sz="4" w:space="0" w:color="auto"/>
              <w:bottom w:val="single" w:sz="4" w:space="0" w:color="auto"/>
              <w:right w:val="single" w:sz="4" w:space="0" w:color="auto"/>
            </w:tcBorders>
            <w:hideMark/>
          </w:tcPr>
          <w:p w14:paraId="5818DC50"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4CC8BEEE" w14:textId="77777777" w:rsidR="000B3826" w:rsidRPr="00A20CD9" w:rsidRDefault="000B3826" w:rsidP="00D2033C">
            <w:pPr>
              <w:jc w:val="center"/>
            </w:pPr>
            <w:r w:rsidRPr="00A20CD9">
              <w:t>20</w:t>
            </w:r>
          </w:p>
        </w:tc>
      </w:tr>
      <w:tr w:rsidR="000B3826" w:rsidRPr="00A20CD9" w14:paraId="3E916C8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701F330A" w14:textId="77777777" w:rsidR="000B3826" w:rsidRPr="00A20CD9" w:rsidRDefault="000B3826" w:rsidP="00D2033C">
            <w:r w:rsidRPr="00A20CD9">
              <w:t>Current</w:t>
            </w:r>
          </w:p>
        </w:tc>
        <w:tc>
          <w:tcPr>
            <w:tcW w:w="1276" w:type="dxa"/>
            <w:tcBorders>
              <w:top w:val="single" w:sz="4" w:space="0" w:color="auto"/>
              <w:left w:val="single" w:sz="4" w:space="0" w:color="auto"/>
              <w:bottom w:val="single" w:sz="4" w:space="0" w:color="auto"/>
              <w:right w:val="single" w:sz="4" w:space="0" w:color="auto"/>
            </w:tcBorders>
            <w:hideMark/>
          </w:tcPr>
          <w:p w14:paraId="77F5E75D" w14:textId="77777777" w:rsidR="000B3826" w:rsidRPr="00A20CD9" w:rsidRDefault="000B3826" w:rsidP="00D2033C">
            <w:pPr>
              <w:jc w:val="center"/>
            </w:pPr>
            <w:r w:rsidRPr="00A20CD9">
              <w:t>5</w:t>
            </w:r>
          </w:p>
        </w:tc>
        <w:tc>
          <w:tcPr>
            <w:tcW w:w="1276" w:type="dxa"/>
            <w:tcBorders>
              <w:top w:val="single" w:sz="4" w:space="0" w:color="auto"/>
              <w:left w:val="single" w:sz="4" w:space="0" w:color="auto"/>
              <w:bottom w:val="single" w:sz="4" w:space="0" w:color="auto"/>
              <w:right w:val="single" w:sz="4" w:space="0" w:color="auto"/>
            </w:tcBorders>
            <w:hideMark/>
          </w:tcPr>
          <w:p w14:paraId="2FB9C7CF"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05330EC5" w14:textId="77777777" w:rsidR="000B3826" w:rsidRPr="00A20CD9" w:rsidRDefault="000B3826" w:rsidP="00D2033C">
            <w:pPr>
              <w:jc w:val="center"/>
            </w:pPr>
            <w:r w:rsidRPr="00A20CD9">
              <w:t>20</w:t>
            </w:r>
          </w:p>
        </w:tc>
        <w:tc>
          <w:tcPr>
            <w:tcW w:w="1230" w:type="dxa"/>
            <w:tcBorders>
              <w:top w:val="single" w:sz="4" w:space="0" w:color="auto"/>
              <w:left w:val="single" w:sz="4" w:space="0" w:color="auto"/>
              <w:bottom w:val="single" w:sz="4" w:space="0" w:color="auto"/>
              <w:right w:val="single" w:sz="4" w:space="0" w:color="auto"/>
            </w:tcBorders>
            <w:hideMark/>
          </w:tcPr>
          <w:p w14:paraId="12CA4262" w14:textId="77777777" w:rsidR="000B3826" w:rsidRPr="00A20CD9" w:rsidRDefault="000B3826" w:rsidP="00D2033C">
            <w:pPr>
              <w:jc w:val="center"/>
            </w:pPr>
            <w:r w:rsidRPr="00A20CD9">
              <w:t>5</w:t>
            </w:r>
          </w:p>
        </w:tc>
        <w:tc>
          <w:tcPr>
            <w:tcW w:w="1230" w:type="dxa"/>
            <w:tcBorders>
              <w:top w:val="single" w:sz="4" w:space="0" w:color="auto"/>
              <w:left w:val="single" w:sz="4" w:space="0" w:color="auto"/>
              <w:bottom w:val="single" w:sz="4" w:space="0" w:color="auto"/>
              <w:right w:val="single" w:sz="4" w:space="0" w:color="auto"/>
            </w:tcBorders>
            <w:hideMark/>
          </w:tcPr>
          <w:p w14:paraId="74616085"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56C0D3FD" w14:textId="77777777" w:rsidR="000B3826" w:rsidRPr="00A20CD9" w:rsidRDefault="000B3826" w:rsidP="00D2033C">
            <w:pPr>
              <w:jc w:val="center"/>
            </w:pPr>
            <w:r w:rsidRPr="00A20CD9">
              <w:t>20</w:t>
            </w:r>
          </w:p>
        </w:tc>
      </w:tr>
      <w:tr w:rsidR="000B3826" w:rsidRPr="00A20CD9" w14:paraId="676CB54D"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BFE1651" w14:textId="77777777" w:rsidR="000B3826" w:rsidRPr="00A20CD9" w:rsidRDefault="000B3826" w:rsidP="00D2033C">
            <w:r w:rsidRPr="00A20CD9">
              <w:t>Target</w:t>
            </w:r>
          </w:p>
        </w:tc>
        <w:tc>
          <w:tcPr>
            <w:tcW w:w="1276" w:type="dxa"/>
            <w:tcBorders>
              <w:top w:val="single" w:sz="4" w:space="0" w:color="auto"/>
              <w:left w:val="single" w:sz="4" w:space="0" w:color="auto"/>
              <w:bottom w:val="single" w:sz="4" w:space="0" w:color="auto"/>
              <w:right w:val="single" w:sz="4" w:space="0" w:color="auto"/>
            </w:tcBorders>
            <w:hideMark/>
          </w:tcPr>
          <w:p w14:paraId="0DAB0B01" w14:textId="77777777" w:rsidR="000B3826" w:rsidRPr="00A20CD9" w:rsidRDefault="000B3826" w:rsidP="00D2033C">
            <w:pPr>
              <w:jc w:val="center"/>
            </w:pPr>
            <w:r w:rsidRPr="00A20CD9">
              <w:t>3</w:t>
            </w:r>
          </w:p>
        </w:tc>
        <w:tc>
          <w:tcPr>
            <w:tcW w:w="1276" w:type="dxa"/>
            <w:tcBorders>
              <w:top w:val="single" w:sz="4" w:space="0" w:color="auto"/>
              <w:left w:val="single" w:sz="4" w:space="0" w:color="auto"/>
              <w:bottom w:val="single" w:sz="4" w:space="0" w:color="auto"/>
              <w:right w:val="single" w:sz="4" w:space="0" w:color="auto"/>
            </w:tcBorders>
            <w:hideMark/>
          </w:tcPr>
          <w:p w14:paraId="75D1D64A"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0E16C62E" w14:textId="77777777" w:rsidR="000B3826" w:rsidRPr="00A20CD9" w:rsidRDefault="000B3826" w:rsidP="00D2033C">
            <w:pPr>
              <w:jc w:val="center"/>
            </w:pPr>
            <w:r w:rsidRPr="00A20CD9">
              <w:t>12</w:t>
            </w:r>
          </w:p>
        </w:tc>
        <w:tc>
          <w:tcPr>
            <w:tcW w:w="1230" w:type="dxa"/>
            <w:tcBorders>
              <w:top w:val="single" w:sz="4" w:space="0" w:color="auto"/>
              <w:left w:val="single" w:sz="4" w:space="0" w:color="auto"/>
              <w:bottom w:val="single" w:sz="4" w:space="0" w:color="auto"/>
              <w:right w:val="single" w:sz="4" w:space="0" w:color="auto"/>
            </w:tcBorders>
            <w:hideMark/>
          </w:tcPr>
          <w:p w14:paraId="1ABD7867" w14:textId="77777777" w:rsidR="000B3826" w:rsidRPr="00A20CD9" w:rsidRDefault="000B3826" w:rsidP="00D2033C">
            <w:pPr>
              <w:jc w:val="center"/>
            </w:pPr>
            <w:r w:rsidRPr="00A20CD9">
              <w:t>3</w:t>
            </w:r>
          </w:p>
        </w:tc>
        <w:tc>
          <w:tcPr>
            <w:tcW w:w="1230" w:type="dxa"/>
            <w:tcBorders>
              <w:top w:val="single" w:sz="4" w:space="0" w:color="auto"/>
              <w:left w:val="single" w:sz="4" w:space="0" w:color="auto"/>
              <w:bottom w:val="single" w:sz="4" w:space="0" w:color="auto"/>
              <w:right w:val="single" w:sz="4" w:space="0" w:color="auto"/>
            </w:tcBorders>
            <w:hideMark/>
          </w:tcPr>
          <w:p w14:paraId="71C0C8E7"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0BE83CAF" w14:textId="77777777" w:rsidR="000B3826" w:rsidRPr="00A20CD9" w:rsidRDefault="000B3826" w:rsidP="00D2033C">
            <w:pPr>
              <w:jc w:val="center"/>
            </w:pPr>
            <w:r w:rsidRPr="00A20CD9">
              <w:t>12</w:t>
            </w:r>
          </w:p>
        </w:tc>
      </w:tr>
      <w:tr w:rsidR="000B3826" w:rsidRPr="00A20CD9" w14:paraId="48AE56B7"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743FDC" w14:textId="77777777" w:rsidR="000B3826" w:rsidRPr="00A20CD9" w:rsidRDefault="000B3826" w:rsidP="00D2033C">
            <w:pPr>
              <w:rPr>
                <w:b/>
              </w:rPr>
            </w:pPr>
            <w:r w:rsidRPr="00A20CD9">
              <w:rPr>
                <w:b/>
              </w:rPr>
              <w:t xml:space="preserve">Overview of changes to controls/actions </w:t>
            </w:r>
          </w:p>
          <w:p w14:paraId="16C2C28D" w14:textId="77777777" w:rsidR="000B3826" w:rsidRPr="00A20CD9" w:rsidRDefault="000B3826" w:rsidP="00D2033C">
            <w:r w:rsidRPr="00A20CD9">
              <w:t>(text marked in red in full risk which can be found in Appendix 3.</w:t>
            </w:r>
          </w:p>
        </w:tc>
      </w:tr>
      <w:tr w:rsidR="000B3826" w:rsidRPr="00A20CD9" w14:paraId="55669851"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3418CDC" w14:textId="77777777" w:rsidR="000B3826" w:rsidRPr="00A20CD9" w:rsidRDefault="000B3826" w:rsidP="00D2033C">
            <w:pPr>
              <w:rPr>
                <w:b/>
              </w:rPr>
            </w:pPr>
            <w:r w:rsidRPr="00A20CD9">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64C5C0B7" w14:textId="6EBE60D3" w:rsidR="000B3826" w:rsidRPr="00D2033C" w:rsidRDefault="00DE42BB" w:rsidP="00D2033C">
            <w:r>
              <w:t>No changes</w:t>
            </w:r>
          </w:p>
          <w:p w14:paraId="117F22CC" w14:textId="77777777" w:rsidR="000B3826" w:rsidRPr="00D2033C" w:rsidRDefault="000B3826" w:rsidP="00D2033C"/>
        </w:tc>
      </w:tr>
      <w:tr w:rsidR="000B3826" w:rsidRPr="00A20CD9" w14:paraId="7E9325D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BEE3BB5" w14:textId="77777777" w:rsidR="000B3826" w:rsidRPr="00A20CD9" w:rsidRDefault="000B3826" w:rsidP="00D2033C">
            <w:pPr>
              <w:rPr>
                <w:b/>
              </w:rPr>
            </w:pPr>
            <w:r w:rsidRPr="00A20CD9">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5D757840" w14:textId="08709EA7" w:rsidR="000B3826" w:rsidRPr="00D2033C" w:rsidRDefault="00DE42BB" w:rsidP="00D2033C">
            <w:r w:rsidRPr="00AC71AE">
              <w:rPr>
                <w:rFonts w:eastAsia="Verdana" w:cs="Verdana"/>
                <w:szCs w:val="24"/>
              </w:rPr>
              <w:t>Progress has been made for some element of the action but delays have been incurred due to time needed to resolve issue with an IT upgrade</w:t>
            </w:r>
          </w:p>
        </w:tc>
      </w:tr>
      <w:tr w:rsidR="000B3826" w:rsidRPr="00A20CD9" w14:paraId="4339BCD2"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E20575D" w14:textId="77777777" w:rsidR="000B3826" w:rsidRPr="00A20CD9" w:rsidRDefault="000B3826" w:rsidP="00D2033C">
            <w:pPr>
              <w:rPr>
                <w:b/>
              </w:rPr>
            </w:pPr>
            <w:r w:rsidRPr="00A20CD9">
              <w:rPr>
                <w:b/>
              </w:rPr>
              <w:t>Opportunities</w:t>
            </w:r>
          </w:p>
        </w:tc>
        <w:tc>
          <w:tcPr>
            <w:tcW w:w="7519" w:type="dxa"/>
            <w:gridSpan w:val="7"/>
            <w:tcBorders>
              <w:top w:val="single" w:sz="4" w:space="0" w:color="auto"/>
              <w:left w:val="single" w:sz="4" w:space="0" w:color="auto"/>
              <w:bottom w:val="single" w:sz="4" w:space="0" w:color="auto"/>
              <w:right w:val="single" w:sz="4" w:space="0" w:color="auto"/>
            </w:tcBorders>
          </w:tcPr>
          <w:p w14:paraId="32996EBB" w14:textId="00B79DCC" w:rsidR="000B3826" w:rsidRPr="00D2033C" w:rsidRDefault="000B3826" w:rsidP="00F705F3">
            <w:r w:rsidRPr="00D2033C">
              <w:t>Exploiting the opportunity provided</w:t>
            </w:r>
            <w:r w:rsidR="00DE42BB">
              <w:t xml:space="preserve"> by the directorate underspend.</w:t>
            </w:r>
          </w:p>
        </w:tc>
      </w:tr>
      <w:tr w:rsidR="00F705F3" w:rsidRPr="00A20CD9" w14:paraId="129B1496" w14:textId="77777777" w:rsidTr="00D2033C">
        <w:tc>
          <w:tcPr>
            <w:tcW w:w="2263" w:type="dxa"/>
            <w:tcBorders>
              <w:top w:val="single" w:sz="4" w:space="0" w:color="auto"/>
              <w:left w:val="single" w:sz="4" w:space="0" w:color="auto"/>
              <w:bottom w:val="single" w:sz="4" w:space="0" w:color="auto"/>
              <w:right w:val="single" w:sz="4" w:space="0" w:color="auto"/>
            </w:tcBorders>
          </w:tcPr>
          <w:p w14:paraId="5AEEA5CA" w14:textId="56BAE901" w:rsidR="00F705F3" w:rsidRPr="00A20CD9" w:rsidRDefault="00F705F3" w:rsidP="008541B5">
            <w:pPr>
              <w:rPr>
                <w:b/>
              </w:rPr>
            </w:pPr>
            <w:r w:rsidRPr="00D439F1">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4AC7B8BA" w14:textId="77777777" w:rsidR="00F705F3" w:rsidRDefault="00F705F3" w:rsidP="00F705F3">
            <w:r>
              <w:t xml:space="preserve">The </w:t>
            </w:r>
            <w:r w:rsidRPr="00F705F3">
              <w:rPr>
                <w:b/>
              </w:rPr>
              <w:t>Quality, Safety and Improvement Committee</w:t>
            </w:r>
            <w:r>
              <w:t xml:space="preserve"> considered this risk in December 2022 and February 2023.</w:t>
            </w:r>
          </w:p>
          <w:p w14:paraId="286FC937" w14:textId="77777777" w:rsidR="00F705F3" w:rsidRDefault="00F705F3" w:rsidP="00F705F3"/>
          <w:p w14:paraId="18D14AF6" w14:textId="53C0D9C9" w:rsidR="00F705F3" w:rsidRPr="00D439F1" w:rsidRDefault="00F705F3" w:rsidP="00F705F3">
            <w:r w:rsidRPr="00D439F1">
              <w:t>Other recent consideration at Board / Committee level relevant to this risk:</w:t>
            </w:r>
          </w:p>
          <w:p w14:paraId="30358B45" w14:textId="77777777" w:rsidR="00F705F3" w:rsidRPr="00D439F1" w:rsidRDefault="00F705F3" w:rsidP="00F705F3"/>
          <w:p w14:paraId="105B1E03" w14:textId="76C2BADE" w:rsidR="00F705F3" w:rsidRPr="00D2033C" w:rsidRDefault="00F705F3" w:rsidP="008541B5">
            <w:pPr>
              <w:pStyle w:val="ListParagraph"/>
              <w:numPr>
                <w:ilvl w:val="0"/>
                <w:numId w:val="33"/>
              </w:numPr>
              <w:tabs>
                <w:tab w:val="left" w:pos="2552"/>
              </w:tabs>
              <w:spacing w:after="200" w:line="276" w:lineRule="auto"/>
              <w:jc w:val="both"/>
            </w:pPr>
            <w:r w:rsidRPr="00D439F1">
              <w:rPr>
                <w:szCs w:val="24"/>
              </w:rPr>
              <w:t>Detailed discussion on Screening as part of the Integrated Performance Report at Board in January, referencing the need for transformation, of the kind underway currently across the DESW programme</w:t>
            </w:r>
            <w:r>
              <w:rPr>
                <w:szCs w:val="24"/>
              </w:rPr>
              <w:t xml:space="preserve">. This included an </w:t>
            </w:r>
            <w:r w:rsidRPr="00D439F1">
              <w:rPr>
                <w:szCs w:val="24"/>
              </w:rPr>
              <w:t xml:space="preserve">outlined basis of the transformational programme, with the move in year through the Discovery phase to the Alpha phase of the programme methodology. </w:t>
            </w:r>
            <w:r>
              <w:rPr>
                <w:szCs w:val="24"/>
              </w:rPr>
              <w:t>The Medical Director</w:t>
            </w:r>
            <w:r w:rsidRPr="00D439F1">
              <w:rPr>
                <w:szCs w:val="24"/>
              </w:rPr>
              <w:t xml:space="preserve"> summarised the debate in the Knowledge, Research and Information Committee (KRIC) and advised that a deep dive into excess with regard to mortality figures was underway</w:t>
            </w:r>
            <w:r>
              <w:rPr>
                <w:szCs w:val="24"/>
              </w:rPr>
              <w:t xml:space="preserve">. </w:t>
            </w:r>
            <w:r w:rsidRPr="00D439F1">
              <w:rPr>
                <w:szCs w:val="24"/>
              </w:rPr>
              <w:t>Given the interest in diabetes and the wider impact on Diabetic Eye Screening Wales, KRIC would also look at a wider analysis of trends in diabetes and report back on findings by the time of the March 2023 Board meeting.</w:t>
            </w:r>
          </w:p>
        </w:tc>
      </w:tr>
    </w:tbl>
    <w:p w14:paraId="190DA9AB"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207</w:t>
      </w:r>
    </w:p>
    <w:p w14:paraId="3C32D5BF" w14:textId="77777777" w:rsidR="000B3826" w:rsidRDefault="000B3826" w:rsidP="000B3826">
      <w:pPr>
        <w:rPr>
          <w:rFonts w:eastAsia="Calibri" w:cs="Times New Roman"/>
        </w:rPr>
      </w:pPr>
    </w:p>
    <w:p w14:paraId="54165978" w14:textId="6201D45A" w:rsidR="000B3826" w:rsidRDefault="004972FA" w:rsidP="000B3826">
      <w:r w:rsidRPr="005A44DF">
        <w:t xml:space="preserve">Monthly preparedness highlight reports are being provided to the all Wales Duty of Quality and Candour Implementation Board, showing everything is currently on track for Public Health Wales. Quality as an Organisational Strategy implementation is in progress. </w:t>
      </w:r>
      <w:r>
        <w:t>T</w:t>
      </w:r>
      <w:r w:rsidRPr="005A44DF">
        <w:t>he Clinical Governance Framework under development</w:t>
      </w:r>
      <w:r>
        <w:t>,</w:t>
      </w:r>
      <w:r w:rsidRPr="005A44DF">
        <w:t xml:space="preserve"> following a further workshop in March</w:t>
      </w:r>
      <w:r>
        <w:t>,</w:t>
      </w:r>
      <w:r w:rsidRPr="005A44DF">
        <w:t xml:space="preserve"> is due to be presented at QSIC in July 2023</w:t>
      </w:r>
      <w:r>
        <w:t>.</w:t>
      </w:r>
      <w:r w:rsidRPr="005A44DF">
        <w:t xml:space="preserve"> </w:t>
      </w:r>
      <w:r>
        <w:t>Once</w:t>
      </w:r>
      <w:r w:rsidRPr="005A44DF">
        <w:t xml:space="preserve"> approved</w:t>
      </w:r>
      <w:r>
        <w:t>,</w:t>
      </w:r>
      <w:r w:rsidRPr="005A44DF">
        <w:t xml:space="preserve"> this </w:t>
      </w:r>
      <w:r>
        <w:t xml:space="preserve">should </w:t>
      </w:r>
      <w:r w:rsidRPr="005A44DF">
        <w:t>provide an additional control which can form part of the assu</w:t>
      </w:r>
      <w:r>
        <w:t>ra</w:t>
      </w:r>
      <w:r w:rsidRPr="005A44DF">
        <w:t xml:space="preserve">nce arrangements for Duty of Quality and </w:t>
      </w:r>
      <w:r>
        <w:t>C</w:t>
      </w:r>
      <w:r w:rsidRPr="005A44DF">
        <w:t>an</w:t>
      </w:r>
      <w:r>
        <w:t>dour</w:t>
      </w:r>
      <w:r w:rsidR="00DE42BB" w:rsidRPr="005A44DF">
        <w:t>.</w:t>
      </w:r>
    </w:p>
    <w:p w14:paraId="5BF78357" w14:textId="77777777" w:rsidR="00DE42BB" w:rsidRPr="00BA69BD" w:rsidRDefault="00DE42BB" w:rsidP="000B3826">
      <w:pPr>
        <w:rPr>
          <w:rFonts w:eastAsia="Calibri" w:cs="Times New Roman"/>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0B3826" w:rsidRPr="00A20CD9" w14:paraId="7809D525"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8733D76" w14:textId="77777777" w:rsidR="000B3826" w:rsidRPr="00A20CD9" w:rsidRDefault="000B3826" w:rsidP="00D2033C">
            <w:bookmarkStart w:id="13" w:name="Risk207"/>
            <w:bookmarkEnd w:id="13"/>
            <w:r w:rsidRPr="00A20CD9">
              <w:rPr>
                <w:b/>
              </w:rPr>
              <w:t>Risk Description</w:t>
            </w:r>
          </w:p>
        </w:tc>
      </w:tr>
      <w:tr w:rsidR="000B3826" w:rsidRPr="00A20CD9" w14:paraId="1CC85B59"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2C42E142" w14:textId="77777777" w:rsidR="000B3826" w:rsidRPr="00A20CD9" w:rsidRDefault="000B3826" w:rsidP="00D2033C">
            <w:r w:rsidRPr="00A20CD9">
              <w:t>There is a risk that Public Health Wales will fail to meet the requirements of The Health and Social Care (Quality and Engagement) (Wales) Act (2020)</w:t>
            </w:r>
          </w:p>
        </w:tc>
      </w:tr>
      <w:tr w:rsidR="000B3826" w:rsidRPr="00A20CD9" w14:paraId="231A5486"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D652BEA"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528DE5" w14:textId="77777777" w:rsidR="000B3826" w:rsidRPr="00A20CD9" w:rsidRDefault="000B3826" w:rsidP="00D2033C">
            <w:r w:rsidRPr="00A20CD9">
              <w:rPr>
                <w:b/>
              </w:rPr>
              <w:t>Proposal for de-escalation or removal*</w:t>
            </w:r>
          </w:p>
        </w:tc>
      </w:tr>
      <w:tr w:rsidR="000B3826" w:rsidRPr="00A20CD9" w14:paraId="4BBA95C9"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44295359" w14:textId="77777777" w:rsidR="000B3826" w:rsidRPr="00D2033C" w:rsidRDefault="000B3826" w:rsidP="00D2033C">
            <w:r w:rsidRPr="00D2033C">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006F5FCB" w14:textId="77777777" w:rsidR="000B3826" w:rsidRPr="00D2033C" w:rsidRDefault="000B3826" w:rsidP="00D2033C">
            <w:r w:rsidRPr="00D2033C">
              <w:t>Not applicable</w:t>
            </w:r>
          </w:p>
        </w:tc>
      </w:tr>
      <w:tr w:rsidR="000B3826" w:rsidRPr="00A20CD9" w14:paraId="62615040"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0110BD9" w14:textId="77777777" w:rsidR="000B3826" w:rsidRPr="00A20CD9" w:rsidRDefault="000B3826" w:rsidP="00D2033C">
            <w:pPr>
              <w:rPr>
                <w:b/>
              </w:rPr>
            </w:pPr>
            <w:r w:rsidRPr="00A20CD9">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900623E" w14:textId="719B8D96" w:rsidR="000B3826" w:rsidRPr="00A20CD9" w:rsidRDefault="000B3826" w:rsidP="00D2033C">
            <w:pPr>
              <w:rPr>
                <w:b/>
              </w:rPr>
            </w:pPr>
            <w:r w:rsidRPr="00A20CD9">
              <w:rPr>
                <w:b/>
              </w:rPr>
              <w:t xml:space="preserve">Score at last </w:t>
            </w:r>
            <w:r w:rsidR="00D94A0F">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EC5B944" w14:textId="77777777" w:rsidR="000B3826" w:rsidRPr="00A20CD9" w:rsidRDefault="000B3826" w:rsidP="00D2033C">
            <w:pPr>
              <w:rPr>
                <w:b/>
              </w:rPr>
            </w:pPr>
            <w:r w:rsidRPr="00A20CD9">
              <w:rPr>
                <w:b/>
              </w:rPr>
              <w:t>Present Score</w:t>
            </w:r>
          </w:p>
        </w:tc>
      </w:tr>
      <w:tr w:rsidR="000B3826" w:rsidRPr="00A20CD9" w14:paraId="06A8D02B"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A508C54" w14:textId="77777777" w:rsidR="000B3826" w:rsidRPr="00A20CD9" w:rsidRDefault="000B3826" w:rsidP="00D2033C">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hideMark/>
          </w:tcPr>
          <w:p w14:paraId="0F244DA2" w14:textId="77777777" w:rsidR="000B3826" w:rsidRPr="00A20CD9" w:rsidRDefault="000B3826" w:rsidP="00D2033C">
            <w:pPr>
              <w:jc w:val="center"/>
            </w:pPr>
            <w:r w:rsidRPr="00A20CD9">
              <w:t>5</w:t>
            </w:r>
          </w:p>
        </w:tc>
        <w:tc>
          <w:tcPr>
            <w:tcW w:w="1276" w:type="dxa"/>
            <w:tcBorders>
              <w:top w:val="single" w:sz="4" w:space="0" w:color="auto"/>
              <w:left w:val="single" w:sz="4" w:space="0" w:color="auto"/>
              <w:bottom w:val="single" w:sz="4" w:space="0" w:color="auto"/>
              <w:right w:val="single" w:sz="4" w:space="0" w:color="auto"/>
            </w:tcBorders>
            <w:hideMark/>
          </w:tcPr>
          <w:p w14:paraId="7EC2EE87"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1745B778" w14:textId="77777777" w:rsidR="000B3826" w:rsidRPr="00A20CD9" w:rsidRDefault="000B3826" w:rsidP="00D2033C">
            <w:pPr>
              <w:jc w:val="center"/>
            </w:pPr>
            <w:r w:rsidRPr="00A20CD9">
              <w:t>20</w:t>
            </w:r>
          </w:p>
        </w:tc>
        <w:tc>
          <w:tcPr>
            <w:tcW w:w="1230" w:type="dxa"/>
            <w:tcBorders>
              <w:top w:val="single" w:sz="4" w:space="0" w:color="auto"/>
              <w:left w:val="single" w:sz="4" w:space="0" w:color="auto"/>
              <w:bottom w:val="single" w:sz="4" w:space="0" w:color="auto"/>
              <w:right w:val="single" w:sz="4" w:space="0" w:color="auto"/>
            </w:tcBorders>
            <w:hideMark/>
          </w:tcPr>
          <w:p w14:paraId="689C24F9" w14:textId="77777777" w:rsidR="000B3826" w:rsidRPr="00A20CD9" w:rsidRDefault="000B3826" w:rsidP="00D2033C">
            <w:pPr>
              <w:jc w:val="center"/>
            </w:pPr>
            <w:r w:rsidRPr="00A20CD9">
              <w:t>5</w:t>
            </w:r>
          </w:p>
        </w:tc>
        <w:tc>
          <w:tcPr>
            <w:tcW w:w="1230" w:type="dxa"/>
            <w:tcBorders>
              <w:top w:val="single" w:sz="4" w:space="0" w:color="auto"/>
              <w:left w:val="single" w:sz="4" w:space="0" w:color="auto"/>
              <w:bottom w:val="single" w:sz="4" w:space="0" w:color="auto"/>
              <w:right w:val="single" w:sz="4" w:space="0" w:color="auto"/>
            </w:tcBorders>
            <w:hideMark/>
          </w:tcPr>
          <w:p w14:paraId="49434F01"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363ABE71" w14:textId="77777777" w:rsidR="000B3826" w:rsidRPr="00A20CD9" w:rsidRDefault="000B3826" w:rsidP="00D2033C">
            <w:pPr>
              <w:jc w:val="center"/>
            </w:pPr>
            <w:r w:rsidRPr="00A20CD9">
              <w:t>20</w:t>
            </w:r>
          </w:p>
        </w:tc>
      </w:tr>
      <w:tr w:rsidR="000B3826" w:rsidRPr="00A20CD9" w14:paraId="34348461"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546B04E" w14:textId="77777777" w:rsidR="000B3826" w:rsidRPr="00A20CD9" w:rsidRDefault="000B3826" w:rsidP="00D2033C">
            <w:r w:rsidRPr="00A20CD9">
              <w:t>Current</w:t>
            </w:r>
          </w:p>
        </w:tc>
        <w:tc>
          <w:tcPr>
            <w:tcW w:w="1276" w:type="dxa"/>
            <w:tcBorders>
              <w:top w:val="single" w:sz="4" w:space="0" w:color="auto"/>
              <w:left w:val="single" w:sz="4" w:space="0" w:color="auto"/>
              <w:bottom w:val="single" w:sz="4" w:space="0" w:color="auto"/>
              <w:right w:val="single" w:sz="4" w:space="0" w:color="auto"/>
            </w:tcBorders>
            <w:hideMark/>
          </w:tcPr>
          <w:p w14:paraId="53E65A08" w14:textId="77777777" w:rsidR="000B3826" w:rsidRPr="00A20CD9" w:rsidRDefault="000B3826" w:rsidP="00D2033C">
            <w:pPr>
              <w:jc w:val="center"/>
            </w:pPr>
            <w:r>
              <w:t>4</w:t>
            </w:r>
          </w:p>
        </w:tc>
        <w:tc>
          <w:tcPr>
            <w:tcW w:w="1276" w:type="dxa"/>
            <w:tcBorders>
              <w:top w:val="single" w:sz="4" w:space="0" w:color="auto"/>
              <w:left w:val="single" w:sz="4" w:space="0" w:color="auto"/>
              <w:bottom w:val="single" w:sz="4" w:space="0" w:color="auto"/>
              <w:right w:val="single" w:sz="4" w:space="0" w:color="auto"/>
            </w:tcBorders>
            <w:hideMark/>
          </w:tcPr>
          <w:p w14:paraId="4718B980"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1A91401D" w14:textId="77777777" w:rsidR="000B3826" w:rsidRPr="00A20CD9" w:rsidRDefault="000B3826" w:rsidP="00D2033C">
            <w:pPr>
              <w:jc w:val="center"/>
            </w:pPr>
            <w:r>
              <w:t>16</w:t>
            </w:r>
          </w:p>
        </w:tc>
        <w:tc>
          <w:tcPr>
            <w:tcW w:w="1230" w:type="dxa"/>
            <w:tcBorders>
              <w:top w:val="single" w:sz="4" w:space="0" w:color="auto"/>
              <w:left w:val="single" w:sz="4" w:space="0" w:color="auto"/>
              <w:bottom w:val="single" w:sz="4" w:space="0" w:color="auto"/>
              <w:right w:val="single" w:sz="4" w:space="0" w:color="auto"/>
            </w:tcBorders>
            <w:hideMark/>
          </w:tcPr>
          <w:p w14:paraId="51555F7E" w14:textId="77777777" w:rsidR="000B3826" w:rsidRPr="00A20CD9" w:rsidRDefault="000B3826" w:rsidP="00D2033C">
            <w:pPr>
              <w:jc w:val="center"/>
            </w:pPr>
            <w:r w:rsidRPr="00A20CD9">
              <w:t>5</w:t>
            </w:r>
          </w:p>
        </w:tc>
        <w:tc>
          <w:tcPr>
            <w:tcW w:w="1230" w:type="dxa"/>
            <w:tcBorders>
              <w:top w:val="single" w:sz="4" w:space="0" w:color="auto"/>
              <w:left w:val="single" w:sz="4" w:space="0" w:color="auto"/>
              <w:bottom w:val="single" w:sz="4" w:space="0" w:color="auto"/>
              <w:right w:val="single" w:sz="4" w:space="0" w:color="auto"/>
            </w:tcBorders>
            <w:hideMark/>
          </w:tcPr>
          <w:p w14:paraId="533D3F23"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6FABFDCD" w14:textId="77777777" w:rsidR="000B3826" w:rsidRPr="00A20CD9" w:rsidRDefault="000B3826" w:rsidP="00D2033C">
            <w:pPr>
              <w:jc w:val="center"/>
            </w:pPr>
            <w:r w:rsidRPr="00A20CD9">
              <w:t>20</w:t>
            </w:r>
          </w:p>
        </w:tc>
      </w:tr>
      <w:tr w:rsidR="000B3826" w:rsidRPr="00A20CD9" w14:paraId="1DD06F47"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DC74E16" w14:textId="77777777" w:rsidR="000B3826" w:rsidRPr="00A20CD9" w:rsidRDefault="000B3826" w:rsidP="00D2033C">
            <w:r w:rsidRPr="00A20CD9">
              <w:t>Target</w:t>
            </w:r>
          </w:p>
        </w:tc>
        <w:tc>
          <w:tcPr>
            <w:tcW w:w="1276" w:type="dxa"/>
            <w:tcBorders>
              <w:top w:val="single" w:sz="4" w:space="0" w:color="auto"/>
              <w:left w:val="single" w:sz="4" w:space="0" w:color="auto"/>
              <w:bottom w:val="single" w:sz="4" w:space="0" w:color="auto"/>
              <w:right w:val="single" w:sz="4" w:space="0" w:color="auto"/>
            </w:tcBorders>
            <w:hideMark/>
          </w:tcPr>
          <w:p w14:paraId="420B7B75" w14:textId="77777777" w:rsidR="000B3826" w:rsidRPr="00A20CD9" w:rsidRDefault="000B3826" w:rsidP="00D2033C">
            <w:pPr>
              <w:jc w:val="center"/>
            </w:pPr>
            <w:r w:rsidRPr="00A20CD9">
              <w:t>3</w:t>
            </w:r>
          </w:p>
        </w:tc>
        <w:tc>
          <w:tcPr>
            <w:tcW w:w="1276" w:type="dxa"/>
            <w:tcBorders>
              <w:top w:val="single" w:sz="4" w:space="0" w:color="auto"/>
              <w:left w:val="single" w:sz="4" w:space="0" w:color="auto"/>
              <w:bottom w:val="single" w:sz="4" w:space="0" w:color="auto"/>
              <w:right w:val="single" w:sz="4" w:space="0" w:color="auto"/>
            </w:tcBorders>
            <w:hideMark/>
          </w:tcPr>
          <w:p w14:paraId="4D8C0CB2"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10CFF6A9" w14:textId="77777777" w:rsidR="000B3826" w:rsidRPr="00A20CD9" w:rsidRDefault="000B3826" w:rsidP="00D2033C">
            <w:pPr>
              <w:jc w:val="center"/>
            </w:pPr>
            <w:r w:rsidRPr="00A20CD9">
              <w:t>12</w:t>
            </w:r>
          </w:p>
        </w:tc>
        <w:tc>
          <w:tcPr>
            <w:tcW w:w="1230" w:type="dxa"/>
            <w:tcBorders>
              <w:top w:val="single" w:sz="4" w:space="0" w:color="auto"/>
              <w:left w:val="single" w:sz="4" w:space="0" w:color="auto"/>
              <w:bottom w:val="single" w:sz="4" w:space="0" w:color="auto"/>
              <w:right w:val="single" w:sz="4" w:space="0" w:color="auto"/>
            </w:tcBorders>
            <w:hideMark/>
          </w:tcPr>
          <w:p w14:paraId="15367DC0" w14:textId="77777777" w:rsidR="000B3826" w:rsidRPr="00A20CD9" w:rsidRDefault="000B3826" w:rsidP="00D2033C">
            <w:pPr>
              <w:jc w:val="center"/>
            </w:pPr>
            <w:r w:rsidRPr="00A20CD9">
              <w:t>3</w:t>
            </w:r>
          </w:p>
        </w:tc>
        <w:tc>
          <w:tcPr>
            <w:tcW w:w="1230" w:type="dxa"/>
            <w:tcBorders>
              <w:top w:val="single" w:sz="4" w:space="0" w:color="auto"/>
              <w:left w:val="single" w:sz="4" w:space="0" w:color="auto"/>
              <w:bottom w:val="single" w:sz="4" w:space="0" w:color="auto"/>
              <w:right w:val="single" w:sz="4" w:space="0" w:color="auto"/>
            </w:tcBorders>
            <w:hideMark/>
          </w:tcPr>
          <w:p w14:paraId="6682E5BF"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46B4B6AA" w14:textId="77777777" w:rsidR="000B3826" w:rsidRPr="00A20CD9" w:rsidRDefault="000B3826" w:rsidP="00D2033C">
            <w:pPr>
              <w:jc w:val="center"/>
            </w:pPr>
            <w:r w:rsidRPr="00A20CD9">
              <w:t>12</w:t>
            </w:r>
          </w:p>
        </w:tc>
      </w:tr>
      <w:tr w:rsidR="000B3826" w:rsidRPr="00A20CD9" w14:paraId="2ADC454E"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049B043" w14:textId="77777777" w:rsidR="000B3826" w:rsidRPr="00A20CD9" w:rsidRDefault="000B3826" w:rsidP="00D2033C">
            <w:pPr>
              <w:rPr>
                <w:b/>
              </w:rPr>
            </w:pPr>
            <w:r w:rsidRPr="00A20CD9">
              <w:rPr>
                <w:b/>
              </w:rPr>
              <w:t xml:space="preserve">Overview of changes to controls/actions </w:t>
            </w:r>
          </w:p>
          <w:p w14:paraId="05FBE065" w14:textId="77777777" w:rsidR="000B3826" w:rsidRPr="00A20CD9" w:rsidRDefault="000B3826" w:rsidP="00D2033C">
            <w:r w:rsidRPr="00A20CD9">
              <w:t>(text marked in red in full risk, which can be found in Appendix 3.</w:t>
            </w:r>
          </w:p>
        </w:tc>
      </w:tr>
      <w:tr w:rsidR="000B3826" w:rsidRPr="00A20CD9" w14:paraId="55B1C557"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F5B872B" w14:textId="77777777" w:rsidR="000B3826" w:rsidRPr="00D2033C" w:rsidRDefault="000B3826" w:rsidP="00D2033C">
            <w:pPr>
              <w:rPr>
                <w:b/>
              </w:rPr>
            </w:pPr>
            <w:r w:rsidRPr="00D2033C">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11AA3F25" w14:textId="15CD8842" w:rsidR="00B947AF" w:rsidRPr="00D2033C" w:rsidRDefault="00DE42BB" w:rsidP="00B947AF">
            <w:r>
              <w:t>An additional control has been implemented by the Duty of Candour Implementation Group being set up</w:t>
            </w:r>
          </w:p>
          <w:p w14:paraId="7A742B65" w14:textId="77777777" w:rsidR="000B3826" w:rsidRPr="00D2033C" w:rsidRDefault="000B3826" w:rsidP="00D2033C"/>
        </w:tc>
      </w:tr>
      <w:tr w:rsidR="000B3826" w:rsidRPr="00A20CD9" w14:paraId="76C9C0D4"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FEC79FE" w14:textId="77777777" w:rsidR="000B3826" w:rsidRPr="00D2033C" w:rsidRDefault="000B3826" w:rsidP="00D2033C">
            <w:pPr>
              <w:rPr>
                <w:b/>
              </w:rPr>
            </w:pPr>
            <w:r w:rsidRPr="00D2033C">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1C22613D" w14:textId="41B88079" w:rsidR="00DE42BB" w:rsidRDefault="00DE42BB" w:rsidP="00DE42BB">
            <w:r>
              <w:t xml:space="preserve">Progress for a number of actions has been achieved including PHW’s response to the Welsh Government draft consultation document on the duty of candour.  </w:t>
            </w:r>
          </w:p>
          <w:p w14:paraId="1318D5E6" w14:textId="305359BC" w:rsidR="00DE42BB" w:rsidRDefault="00DE42BB" w:rsidP="00DE42BB">
            <w:r>
              <w:t xml:space="preserve">An organisational project plan to implement Duty of Candour is in place and on track. A Duty of Candour implementation group is in place and meet fortnightly.  </w:t>
            </w:r>
            <w:r w:rsidRPr="00EA3F8B">
              <w:t xml:space="preserve"> </w:t>
            </w:r>
          </w:p>
          <w:p w14:paraId="73DCC04A" w14:textId="42CDC640" w:rsidR="000B3826" w:rsidRPr="00D2033C" w:rsidRDefault="000B3826" w:rsidP="00D2033C"/>
        </w:tc>
      </w:tr>
      <w:tr w:rsidR="000B3826" w:rsidRPr="00A20CD9" w14:paraId="690A9C19" w14:textId="77777777" w:rsidTr="00D2033C">
        <w:trPr>
          <w:trHeight w:val="60"/>
        </w:trPr>
        <w:tc>
          <w:tcPr>
            <w:tcW w:w="2263" w:type="dxa"/>
            <w:tcBorders>
              <w:top w:val="single" w:sz="4" w:space="0" w:color="auto"/>
              <w:left w:val="single" w:sz="4" w:space="0" w:color="auto"/>
              <w:bottom w:val="single" w:sz="4" w:space="0" w:color="auto"/>
              <w:right w:val="single" w:sz="4" w:space="0" w:color="auto"/>
            </w:tcBorders>
            <w:hideMark/>
          </w:tcPr>
          <w:p w14:paraId="34F77F3A" w14:textId="77777777" w:rsidR="000B3826" w:rsidRPr="00D2033C" w:rsidRDefault="000B3826" w:rsidP="00D2033C">
            <w:pPr>
              <w:rPr>
                <w:b/>
              </w:rPr>
            </w:pPr>
            <w:r w:rsidRPr="00D2033C">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12ABEF5E" w14:textId="41004438" w:rsidR="00DE42BB" w:rsidRPr="00D2033C" w:rsidRDefault="00DE42BB" w:rsidP="00B947AF">
            <w:r>
              <w:t>Contribution to Welsh Risk Pool Network and Subgroups and influencing the materials produced.</w:t>
            </w:r>
          </w:p>
        </w:tc>
      </w:tr>
      <w:tr w:rsidR="00F705F3" w:rsidRPr="00A20CD9" w14:paraId="10CE967B" w14:textId="77777777" w:rsidTr="00D2033C">
        <w:trPr>
          <w:trHeight w:val="60"/>
        </w:trPr>
        <w:tc>
          <w:tcPr>
            <w:tcW w:w="2263" w:type="dxa"/>
            <w:tcBorders>
              <w:top w:val="single" w:sz="4" w:space="0" w:color="auto"/>
              <w:left w:val="single" w:sz="4" w:space="0" w:color="auto"/>
              <w:bottom w:val="single" w:sz="4" w:space="0" w:color="auto"/>
              <w:right w:val="single" w:sz="4" w:space="0" w:color="auto"/>
            </w:tcBorders>
          </w:tcPr>
          <w:p w14:paraId="57479E2A" w14:textId="59E7AF84" w:rsidR="00F705F3" w:rsidRPr="00D2033C" w:rsidRDefault="00F705F3" w:rsidP="008541B5">
            <w:pPr>
              <w:rPr>
                <w:b/>
              </w:rPr>
            </w:pPr>
            <w:r w:rsidRPr="00D439F1">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71665511" w14:textId="77777777" w:rsidR="00F705F3" w:rsidRDefault="00F705F3" w:rsidP="00F705F3">
            <w:r w:rsidRPr="00D439F1">
              <w:t>The</w:t>
            </w:r>
            <w:r>
              <w:t xml:space="preserve"> </w:t>
            </w:r>
            <w:r w:rsidRPr="00F705F3">
              <w:rPr>
                <w:b/>
              </w:rPr>
              <w:t>Quality, Safety and Improvement Committee</w:t>
            </w:r>
            <w:r>
              <w:t xml:space="preserve"> considered this risk in December 2022 and February 2023.  </w:t>
            </w:r>
          </w:p>
          <w:p w14:paraId="08997B9A" w14:textId="77777777" w:rsidR="00F705F3" w:rsidRDefault="00F705F3" w:rsidP="00F705F3"/>
          <w:p w14:paraId="74DE62D0" w14:textId="06410CEC" w:rsidR="00F705F3" w:rsidRDefault="00F705F3" w:rsidP="00F705F3">
            <w:r>
              <w:t xml:space="preserve">The </w:t>
            </w:r>
            <w:r w:rsidRPr="00D439F1">
              <w:t>Committee has regular updates for assurance programmed into the work plan on Health and Social Care (Quality and Engagement) (Wales) Act (2020).</w:t>
            </w:r>
          </w:p>
          <w:p w14:paraId="1281B176" w14:textId="77777777" w:rsidR="00F705F3" w:rsidRDefault="00F705F3" w:rsidP="00F705F3"/>
          <w:p w14:paraId="1481C4ED" w14:textId="77777777" w:rsidR="00F705F3" w:rsidRPr="00D439F1" w:rsidRDefault="00F705F3" w:rsidP="00F705F3">
            <w:r>
              <w:t>The Public Health Wales Board in the public Board meeting on the 26</w:t>
            </w:r>
            <w:r w:rsidRPr="005528D0">
              <w:rPr>
                <w:vertAlign w:val="superscript"/>
              </w:rPr>
              <w:t>th</w:t>
            </w:r>
            <w:r>
              <w:t xml:space="preserve"> of January, received a presentation from Welsh Government on the Act and respective duties. </w:t>
            </w:r>
          </w:p>
          <w:p w14:paraId="516C6F65" w14:textId="77777777" w:rsidR="00F705F3" w:rsidRPr="00D439F1" w:rsidRDefault="00F705F3" w:rsidP="00F705F3"/>
          <w:p w14:paraId="47FA517A" w14:textId="77777777" w:rsidR="00F705F3" w:rsidRPr="00D439F1" w:rsidRDefault="00F705F3" w:rsidP="00F705F3">
            <w:r>
              <w:t xml:space="preserve">The last update for the Committee was in October 2022, where the Committee </w:t>
            </w:r>
            <w:r w:rsidRPr="00385A32">
              <w:t>took assurance</w:t>
            </w:r>
            <w:r w:rsidRPr="00B5524C">
              <w:rPr>
                <w:bCs/>
              </w:rPr>
              <w:t xml:space="preserve"> from</w:t>
            </w:r>
            <w:r w:rsidRPr="00B5524C">
              <w:t xml:space="preserve"> the update and progress of implementation of the Duty of Quality within Public Health Wales.</w:t>
            </w:r>
          </w:p>
          <w:p w14:paraId="6914A2B7" w14:textId="77777777" w:rsidR="00F705F3" w:rsidRPr="00D439F1" w:rsidRDefault="00F705F3" w:rsidP="00F705F3"/>
          <w:p w14:paraId="57B327D0" w14:textId="601B834A" w:rsidR="00F705F3" w:rsidRDefault="00F705F3" w:rsidP="00F705F3">
            <w:r w:rsidRPr="00D439F1">
              <w:t xml:space="preserve">A further update </w:t>
            </w:r>
            <w:r>
              <w:t xml:space="preserve">was received at the </w:t>
            </w:r>
            <w:r w:rsidRPr="00D439F1">
              <w:t xml:space="preserve"> February meeting.</w:t>
            </w:r>
          </w:p>
          <w:p w14:paraId="718B8733" w14:textId="35663275" w:rsidR="00F705F3" w:rsidRDefault="00F705F3" w:rsidP="00F705F3"/>
        </w:tc>
      </w:tr>
    </w:tbl>
    <w:p w14:paraId="571358B3"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206</w:t>
      </w:r>
    </w:p>
    <w:p w14:paraId="1C3EC144" w14:textId="77777777" w:rsidR="000B3826" w:rsidRDefault="000B3826" w:rsidP="000B3826">
      <w:pPr>
        <w:rPr>
          <w:rFonts w:eastAsia="Calibri" w:cs="Times New Roman"/>
        </w:rPr>
      </w:pPr>
    </w:p>
    <w:p w14:paraId="75D6E49A" w14:textId="18277EF8" w:rsidR="00C23A0E" w:rsidRPr="004972FA" w:rsidRDefault="004972FA" w:rsidP="00C23A0E">
      <w:r>
        <w:t>The action to carry out a quality audit of appraisals has commenced during the reporting period.</w:t>
      </w:r>
    </w:p>
    <w:p w14:paraId="33A8D52A" w14:textId="77777777" w:rsidR="00C23A0E" w:rsidRPr="00BA69BD" w:rsidRDefault="00C23A0E" w:rsidP="000B3826">
      <w:pPr>
        <w:rPr>
          <w:rFonts w:eastAsia="Calibri" w:cs="Times New Roman"/>
        </w:rPr>
      </w:pPr>
    </w:p>
    <w:tbl>
      <w:tblPr>
        <w:tblStyle w:val="TableGrid2"/>
        <w:tblW w:w="9781" w:type="dxa"/>
        <w:tblInd w:w="0" w:type="dxa"/>
        <w:tblLook w:val="04A0" w:firstRow="1" w:lastRow="0" w:firstColumn="1" w:lastColumn="0" w:noHBand="0" w:noVBand="1"/>
      </w:tblPr>
      <w:tblGrid>
        <w:gridCol w:w="2166"/>
        <w:gridCol w:w="1276"/>
        <w:gridCol w:w="1276"/>
        <w:gridCol w:w="172"/>
        <w:gridCol w:w="1200"/>
        <w:gridCol w:w="1230"/>
        <w:gridCol w:w="1230"/>
        <w:gridCol w:w="1231"/>
      </w:tblGrid>
      <w:tr w:rsidR="000B3826" w:rsidRPr="00A20CD9" w14:paraId="0EAD12CB" w14:textId="77777777" w:rsidTr="00D2033C">
        <w:tc>
          <w:tcPr>
            <w:tcW w:w="9781"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128A0CA" w14:textId="77777777" w:rsidR="000B3826" w:rsidRPr="00A20CD9" w:rsidRDefault="000B3826" w:rsidP="00D2033C">
            <w:bookmarkStart w:id="14" w:name="Risk206"/>
            <w:bookmarkEnd w:id="14"/>
            <w:r w:rsidRPr="00A20CD9">
              <w:rPr>
                <w:b/>
              </w:rPr>
              <w:t>Risk Description</w:t>
            </w:r>
          </w:p>
        </w:tc>
      </w:tr>
      <w:tr w:rsidR="000B3826" w:rsidRPr="00A20CD9" w14:paraId="1AF407F8" w14:textId="77777777" w:rsidTr="00D2033C">
        <w:tc>
          <w:tcPr>
            <w:tcW w:w="9781" w:type="dxa"/>
            <w:gridSpan w:val="8"/>
            <w:tcBorders>
              <w:top w:val="single" w:sz="4" w:space="0" w:color="auto"/>
              <w:left w:val="single" w:sz="4" w:space="0" w:color="auto"/>
              <w:bottom w:val="single" w:sz="4" w:space="0" w:color="auto"/>
              <w:right w:val="single" w:sz="4" w:space="0" w:color="auto"/>
            </w:tcBorders>
            <w:hideMark/>
          </w:tcPr>
          <w:p w14:paraId="20B6AC13" w14:textId="77777777" w:rsidR="000B3826" w:rsidRPr="00A20CD9" w:rsidRDefault="000B3826" w:rsidP="00D2033C">
            <w:r w:rsidRPr="00A20CD9">
              <w:t>Risk that individual and team performance and development is not aligned with the organisation’s strategic and operational priorities</w:t>
            </w:r>
          </w:p>
        </w:tc>
      </w:tr>
      <w:tr w:rsidR="000B3826" w:rsidRPr="00A20CD9" w14:paraId="254C7462" w14:textId="77777777" w:rsidTr="00D2033C">
        <w:tc>
          <w:tcPr>
            <w:tcW w:w="4890"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EE273A0"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07A77A2" w14:textId="77777777" w:rsidR="000B3826" w:rsidRPr="00A20CD9" w:rsidRDefault="000B3826" w:rsidP="00D2033C">
            <w:r w:rsidRPr="00A20CD9">
              <w:rPr>
                <w:b/>
              </w:rPr>
              <w:t>Proposal for de-escalation or removal*</w:t>
            </w:r>
          </w:p>
        </w:tc>
      </w:tr>
      <w:tr w:rsidR="000B3826" w:rsidRPr="00A20CD9" w14:paraId="3B5327B5" w14:textId="77777777" w:rsidTr="00D2033C">
        <w:tc>
          <w:tcPr>
            <w:tcW w:w="4890" w:type="dxa"/>
            <w:gridSpan w:val="4"/>
            <w:tcBorders>
              <w:top w:val="single" w:sz="4" w:space="0" w:color="auto"/>
              <w:left w:val="single" w:sz="4" w:space="0" w:color="auto"/>
              <w:bottom w:val="single" w:sz="4" w:space="0" w:color="auto"/>
              <w:right w:val="single" w:sz="4" w:space="0" w:color="auto"/>
            </w:tcBorders>
            <w:hideMark/>
          </w:tcPr>
          <w:p w14:paraId="01198C7A" w14:textId="77777777" w:rsidR="000B3826" w:rsidRPr="00D2033C" w:rsidRDefault="000B3826" w:rsidP="00D2033C">
            <w:r w:rsidRPr="00D2033C">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4C2ED2A0" w14:textId="77777777" w:rsidR="000B3826" w:rsidRPr="00D2033C" w:rsidRDefault="000B3826" w:rsidP="00D2033C">
            <w:r w:rsidRPr="00D2033C">
              <w:t>Not applicable</w:t>
            </w:r>
          </w:p>
        </w:tc>
      </w:tr>
      <w:tr w:rsidR="000B3826" w:rsidRPr="00A20CD9" w14:paraId="38E781CE" w14:textId="77777777" w:rsidTr="00D2033C">
        <w:tc>
          <w:tcPr>
            <w:tcW w:w="2166"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027190F" w14:textId="77777777" w:rsidR="000B3826" w:rsidRPr="00A20CD9" w:rsidRDefault="000B3826" w:rsidP="00D2033C">
            <w:pPr>
              <w:rPr>
                <w:b/>
              </w:rPr>
            </w:pPr>
            <w:r w:rsidRPr="00A20CD9">
              <w:rPr>
                <w:b/>
              </w:rPr>
              <w:t>Risk Scoring</w:t>
            </w:r>
          </w:p>
        </w:tc>
        <w:tc>
          <w:tcPr>
            <w:tcW w:w="3924"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F900CE" w14:textId="5F35099B" w:rsidR="000B3826" w:rsidRPr="00A20CD9" w:rsidRDefault="000B3826" w:rsidP="00D2033C">
            <w:pPr>
              <w:rPr>
                <w:b/>
              </w:rPr>
            </w:pPr>
            <w:r w:rsidRPr="00A20CD9">
              <w:rPr>
                <w:b/>
              </w:rPr>
              <w:t xml:space="preserve">Score at last </w:t>
            </w:r>
            <w:r w:rsidR="00D94A0F">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9A0CD0F" w14:textId="77777777" w:rsidR="000B3826" w:rsidRPr="00A20CD9" w:rsidRDefault="000B3826" w:rsidP="00D2033C">
            <w:pPr>
              <w:rPr>
                <w:b/>
              </w:rPr>
            </w:pPr>
            <w:r w:rsidRPr="00A20CD9">
              <w:rPr>
                <w:b/>
              </w:rPr>
              <w:t>Present Score</w:t>
            </w:r>
          </w:p>
        </w:tc>
      </w:tr>
      <w:tr w:rsidR="000B3826" w:rsidRPr="00A20CD9" w14:paraId="598D8D39"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246B8F02" w14:textId="77777777" w:rsidR="000B3826" w:rsidRPr="00A20CD9" w:rsidRDefault="000B3826" w:rsidP="00D2033C">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hideMark/>
          </w:tcPr>
          <w:p w14:paraId="4D5A0B07" w14:textId="77777777" w:rsidR="000B3826" w:rsidRPr="00A20CD9" w:rsidRDefault="000B3826" w:rsidP="00D2033C">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hideMark/>
          </w:tcPr>
          <w:p w14:paraId="1265FA71" w14:textId="77777777" w:rsidR="000B3826" w:rsidRPr="00A20CD9" w:rsidRDefault="000B3826" w:rsidP="00D2033C">
            <w:pPr>
              <w:jc w:val="center"/>
            </w:pPr>
            <w:r w:rsidRPr="00A20CD9">
              <w:t>4</w:t>
            </w:r>
          </w:p>
        </w:tc>
        <w:tc>
          <w:tcPr>
            <w:tcW w:w="1372"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D456DEE" w14:textId="77777777" w:rsidR="000B3826" w:rsidRPr="00A20CD9" w:rsidRDefault="000B3826" w:rsidP="00D2033C">
            <w:pPr>
              <w:jc w:val="center"/>
            </w:pPr>
            <w:r w:rsidRPr="00A20CD9">
              <w:t>16</w:t>
            </w:r>
          </w:p>
        </w:tc>
        <w:tc>
          <w:tcPr>
            <w:tcW w:w="1230" w:type="dxa"/>
            <w:tcBorders>
              <w:top w:val="single" w:sz="4" w:space="0" w:color="auto"/>
              <w:left w:val="single" w:sz="4" w:space="0" w:color="auto"/>
              <w:bottom w:val="single" w:sz="4" w:space="0" w:color="auto"/>
              <w:right w:val="single" w:sz="4" w:space="0" w:color="auto"/>
            </w:tcBorders>
            <w:hideMark/>
          </w:tcPr>
          <w:p w14:paraId="1B973C19" w14:textId="77777777" w:rsidR="000B3826" w:rsidRPr="00A20CD9" w:rsidRDefault="000B3826" w:rsidP="00D2033C">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13E94FA5"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78A12822" w14:textId="77777777" w:rsidR="000B3826" w:rsidRPr="00A20CD9" w:rsidRDefault="000B3826" w:rsidP="00D2033C">
            <w:pPr>
              <w:jc w:val="center"/>
            </w:pPr>
            <w:r w:rsidRPr="00A20CD9">
              <w:t>16</w:t>
            </w:r>
          </w:p>
        </w:tc>
      </w:tr>
      <w:tr w:rsidR="000B3826" w:rsidRPr="00A20CD9" w14:paraId="0062A2D1"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266F9AB3" w14:textId="77777777" w:rsidR="000B3826" w:rsidRPr="00A20CD9" w:rsidRDefault="000B3826" w:rsidP="00D2033C">
            <w:r w:rsidRPr="00A20CD9">
              <w:t>Current</w:t>
            </w:r>
          </w:p>
        </w:tc>
        <w:tc>
          <w:tcPr>
            <w:tcW w:w="1276" w:type="dxa"/>
            <w:tcBorders>
              <w:top w:val="single" w:sz="4" w:space="0" w:color="auto"/>
              <w:left w:val="single" w:sz="4" w:space="0" w:color="auto"/>
              <w:bottom w:val="single" w:sz="4" w:space="0" w:color="auto"/>
              <w:right w:val="single" w:sz="4" w:space="0" w:color="auto"/>
            </w:tcBorders>
            <w:hideMark/>
          </w:tcPr>
          <w:p w14:paraId="228E9A73" w14:textId="77777777" w:rsidR="000B3826" w:rsidRPr="00A20CD9" w:rsidRDefault="000B3826" w:rsidP="00D2033C">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hideMark/>
          </w:tcPr>
          <w:p w14:paraId="53C7E3F3" w14:textId="77777777" w:rsidR="000B3826" w:rsidRPr="00A20CD9" w:rsidRDefault="000B3826" w:rsidP="00D2033C">
            <w:pPr>
              <w:jc w:val="center"/>
            </w:pPr>
            <w:r w:rsidRPr="00A20CD9">
              <w:t>3</w:t>
            </w:r>
          </w:p>
        </w:tc>
        <w:tc>
          <w:tcPr>
            <w:tcW w:w="1372"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3680C7A1" w14:textId="77777777" w:rsidR="000B3826" w:rsidRPr="00A20CD9" w:rsidRDefault="000B3826" w:rsidP="00D2033C">
            <w:pPr>
              <w:jc w:val="center"/>
            </w:pPr>
            <w:r w:rsidRPr="00A20CD9">
              <w:t>12</w:t>
            </w:r>
          </w:p>
        </w:tc>
        <w:tc>
          <w:tcPr>
            <w:tcW w:w="1230" w:type="dxa"/>
            <w:tcBorders>
              <w:top w:val="single" w:sz="4" w:space="0" w:color="auto"/>
              <w:left w:val="single" w:sz="4" w:space="0" w:color="auto"/>
              <w:bottom w:val="single" w:sz="4" w:space="0" w:color="auto"/>
              <w:right w:val="single" w:sz="4" w:space="0" w:color="auto"/>
            </w:tcBorders>
            <w:hideMark/>
          </w:tcPr>
          <w:p w14:paraId="057749FA" w14:textId="77777777" w:rsidR="000B3826" w:rsidRPr="00A20CD9" w:rsidRDefault="000B3826" w:rsidP="00D2033C">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4C5DB12B" w14:textId="77777777" w:rsidR="000B3826" w:rsidRPr="00A20CD9" w:rsidRDefault="000B3826" w:rsidP="00D2033C">
            <w:pPr>
              <w:jc w:val="center"/>
            </w:pPr>
            <w:r w:rsidRPr="00A20CD9">
              <w:t>3</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4162A50C" w14:textId="77777777" w:rsidR="000B3826" w:rsidRPr="00A20CD9" w:rsidRDefault="000B3826" w:rsidP="00D2033C">
            <w:pPr>
              <w:jc w:val="center"/>
            </w:pPr>
            <w:r w:rsidRPr="00A20CD9">
              <w:t>12</w:t>
            </w:r>
          </w:p>
        </w:tc>
      </w:tr>
      <w:tr w:rsidR="000B3826" w:rsidRPr="00A20CD9" w14:paraId="2CEC0B92"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630CDD27" w14:textId="77777777" w:rsidR="000B3826" w:rsidRPr="00A20CD9" w:rsidRDefault="000B3826" w:rsidP="00D2033C">
            <w:r w:rsidRPr="00A20CD9">
              <w:t>Target</w:t>
            </w:r>
          </w:p>
        </w:tc>
        <w:tc>
          <w:tcPr>
            <w:tcW w:w="1276" w:type="dxa"/>
            <w:tcBorders>
              <w:top w:val="single" w:sz="4" w:space="0" w:color="auto"/>
              <w:left w:val="single" w:sz="4" w:space="0" w:color="auto"/>
              <w:bottom w:val="single" w:sz="4" w:space="0" w:color="auto"/>
              <w:right w:val="single" w:sz="4" w:space="0" w:color="auto"/>
            </w:tcBorders>
            <w:hideMark/>
          </w:tcPr>
          <w:p w14:paraId="7F8D07F8" w14:textId="77777777" w:rsidR="000B3826" w:rsidRPr="00A20CD9" w:rsidRDefault="000B3826" w:rsidP="00D2033C">
            <w:pPr>
              <w:jc w:val="center"/>
            </w:pPr>
            <w:r w:rsidRPr="00A20CD9">
              <w:t>1</w:t>
            </w:r>
          </w:p>
        </w:tc>
        <w:tc>
          <w:tcPr>
            <w:tcW w:w="1276" w:type="dxa"/>
            <w:tcBorders>
              <w:top w:val="single" w:sz="4" w:space="0" w:color="auto"/>
              <w:left w:val="single" w:sz="4" w:space="0" w:color="auto"/>
              <w:bottom w:val="single" w:sz="4" w:space="0" w:color="auto"/>
              <w:right w:val="single" w:sz="4" w:space="0" w:color="auto"/>
            </w:tcBorders>
            <w:hideMark/>
          </w:tcPr>
          <w:p w14:paraId="6077A569" w14:textId="77777777" w:rsidR="000B3826" w:rsidRPr="00A20CD9" w:rsidRDefault="000B3826" w:rsidP="00D2033C">
            <w:pPr>
              <w:jc w:val="center"/>
            </w:pPr>
            <w:r w:rsidRPr="00A20CD9">
              <w:t>3</w:t>
            </w:r>
          </w:p>
        </w:tc>
        <w:tc>
          <w:tcPr>
            <w:tcW w:w="1372" w:type="dxa"/>
            <w:gridSpan w:val="2"/>
            <w:tcBorders>
              <w:top w:val="single" w:sz="4" w:space="0" w:color="auto"/>
              <w:left w:val="single" w:sz="4" w:space="0" w:color="auto"/>
              <w:bottom w:val="single" w:sz="4" w:space="0" w:color="auto"/>
              <w:right w:val="single" w:sz="4" w:space="0" w:color="auto"/>
            </w:tcBorders>
            <w:shd w:val="clear" w:color="auto" w:fill="00B050"/>
            <w:hideMark/>
          </w:tcPr>
          <w:p w14:paraId="691191C5" w14:textId="77777777" w:rsidR="000B3826" w:rsidRPr="00A20CD9" w:rsidRDefault="000B3826" w:rsidP="00D2033C">
            <w:pPr>
              <w:jc w:val="center"/>
            </w:pPr>
            <w:r w:rsidRPr="00A20CD9">
              <w:t>3</w:t>
            </w:r>
          </w:p>
        </w:tc>
        <w:tc>
          <w:tcPr>
            <w:tcW w:w="1230" w:type="dxa"/>
            <w:tcBorders>
              <w:top w:val="single" w:sz="4" w:space="0" w:color="auto"/>
              <w:left w:val="single" w:sz="4" w:space="0" w:color="auto"/>
              <w:bottom w:val="single" w:sz="4" w:space="0" w:color="auto"/>
              <w:right w:val="single" w:sz="4" w:space="0" w:color="auto"/>
            </w:tcBorders>
            <w:hideMark/>
          </w:tcPr>
          <w:p w14:paraId="62123098" w14:textId="77777777" w:rsidR="000B3826" w:rsidRPr="00A20CD9" w:rsidRDefault="000B3826" w:rsidP="00D2033C">
            <w:pPr>
              <w:jc w:val="center"/>
            </w:pPr>
            <w:r w:rsidRPr="00A20CD9">
              <w:t>1</w:t>
            </w:r>
          </w:p>
        </w:tc>
        <w:tc>
          <w:tcPr>
            <w:tcW w:w="1230" w:type="dxa"/>
            <w:tcBorders>
              <w:top w:val="single" w:sz="4" w:space="0" w:color="auto"/>
              <w:left w:val="single" w:sz="4" w:space="0" w:color="auto"/>
              <w:bottom w:val="single" w:sz="4" w:space="0" w:color="auto"/>
              <w:right w:val="single" w:sz="4" w:space="0" w:color="auto"/>
            </w:tcBorders>
            <w:hideMark/>
          </w:tcPr>
          <w:p w14:paraId="6EDF24FC" w14:textId="77777777" w:rsidR="000B3826" w:rsidRPr="00A20CD9" w:rsidRDefault="000B3826" w:rsidP="00D2033C">
            <w:pPr>
              <w:jc w:val="center"/>
            </w:pPr>
            <w:r w:rsidRPr="00A20CD9">
              <w:t>3</w:t>
            </w:r>
          </w:p>
        </w:tc>
        <w:tc>
          <w:tcPr>
            <w:tcW w:w="1231" w:type="dxa"/>
            <w:tcBorders>
              <w:top w:val="single" w:sz="4" w:space="0" w:color="auto"/>
              <w:left w:val="single" w:sz="4" w:space="0" w:color="auto"/>
              <w:bottom w:val="single" w:sz="4" w:space="0" w:color="auto"/>
              <w:right w:val="single" w:sz="4" w:space="0" w:color="auto"/>
            </w:tcBorders>
            <w:shd w:val="clear" w:color="auto" w:fill="00B050"/>
            <w:hideMark/>
          </w:tcPr>
          <w:p w14:paraId="019ADBB9" w14:textId="77777777" w:rsidR="000B3826" w:rsidRPr="00A20CD9" w:rsidRDefault="000B3826" w:rsidP="00D2033C">
            <w:pPr>
              <w:jc w:val="center"/>
            </w:pPr>
            <w:r w:rsidRPr="00A20CD9">
              <w:t>3</w:t>
            </w:r>
          </w:p>
        </w:tc>
      </w:tr>
      <w:tr w:rsidR="000B3826" w:rsidRPr="00A20CD9" w14:paraId="75928543" w14:textId="77777777" w:rsidTr="00D2033C">
        <w:tc>
          <w:tcPr>
            <w:tcW w:w="9781"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6849ED4" w14:textId="77777777" w:rsidR="000B3826" w:rsidRPr="00A20CD9" w:rsidRDefault="000B3826" w:rsidP="00D2033C">
            <w:pPr>
              <w:rPr>
                <w:b/>
              </w:rPr>
            </w:pPr>
            <w:r w:rsidRPr="00A20CD9">
              <w:rPr>
                <w:b/>
              </w:rPr>
              <w:t xml:space="preserve">Overview of changes to controls/actions </w:t>
            </w:r>
          </w:p>
          <w:p w14:paraId="58CE1899" w14:textId="77777777" w:rsidR="000B3826" w:rsidRPr="00A20CD9" w:rsidRDefault="000B3826" w:rsidP="00D2033C">
            <w:r w:rsidRPr="00A20CD9">
              <w:t>(text marked in red in full risk which can be found in Appendix 3.</w:t>
            </w:r>
          </w:p>
        </w:tc>
      </w:tr>
      <w:tr w:rsidR="000B3826" w:rsidRPr="00A20CD9" w14:paraId="56B468A6"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110F59D2" w14:textId="77777777" w:rsidR="000B3826" w:rsidRPr="00A20CD9" w:rsidRDefault="000B3826" w:rsidP="00D2033C">
            <w:pPr>
              <w:rPr>
                <w:b/>
              </w:rPr>
            </w:pPr>
            <w:r w:rsidRPr="00A20CD9">
              <w:rPr>
                <w:b/>
              </w:rPr>
              <w:t>Controls</w:t>
            </w:r>
          </w:p>
        </w:tc>
        <w:tc>
          <w:tcPr>
            <w:tcW w:w="7615" w:type="dxa"/>
            <w:gridSpan w:val="7"/>
            <w:tcBorders>
              <w:top w:val="single" w:sz="4" w:space="0" w:color="auto"/>
              <w:left w:val="single" w:sz="4" w:space="0" w:color="auto"/>
              <w:bottom w:val="single" w:sz="4" w:space="0" w:color="auto"/>
              <w:right w:val="single" w:sz="4" w:space="0" w:color="auto"/>
            </w:tcBorders>
            <w:hideMark/>
          </w:tcPr>
          <w:p w14:paraId="14F59825" w14:textId="0F1B90F6" w:rsidR="000B3826" w:rsidRPr="00D2033C" w:rsidRDefault="00C23A0E" w:rsidP="00D2033C">
            <w:r>
              <w:t>No changes</w:t>
            </w:r>
          </w:p>
          <w:p w14:paraId="2CDA8887" w14:textId="77777777" w:rsidR="000B3826" w:rsidRPr="00D2033C" w:rsidRDefault="000B3826" w:rsidP="00D2033C"/>
        </w:tc>
      </w:tr>
      <w:tr w:rsidR="000B3826" w:rsidRPr="00A20CD9" w14:paraId="478A0BBA"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621F9EB1" w14:textId="77777777" w:rsidR="000B3826" w:rsidRPr="00A20CD9" w:rsidRDefault="000B3826" w:rsidP="00D2033C">
            <w:pPr>
              <w:rPr>
                <w:b/>
              </w:rPr>
            </w:pPr>
            <w:r w:rsidRPr="00A20CD9">
              <w:rPr>
                <w:b/>
              </w:rPr>
              <w:t>Actions</w:t>
            </w:r>
          </w:p>
        </w:tc>
        <w:tc>
          <w:tcPr>
            <w:tcW w:w="7615" w:type="dxa"/>
            <w:gridSpan w:val="7"/>
            <w:tcBorders>
              <w:top w:val="single" w:sz="4" w:space="0" w:color="auto"/>
              <w:left w:val="single" w:sz="4" w:space="0" w:color="auto"/>
              <w:bottom w:val="single" w:sz="4" w:space="0" w:color="auto"/>
              <w:right w:val="single" w:sz="4" w:space="0" w:color="auto"/>
            </w:tcBorders>
            <w:hideMark/>
          </w:tcPr>
          <w:p w14:paraId="47327DBB" w14:textId="77777777" w:rsidR="00C23A0E" w:rsidRDefault="00C23A0E" w:rsidP="00D2033C">
            <w:r>
              <w:t>A review of My Contribution is underway and will include a quality audit. The review of the MYC policy will align with other key People &amp; OD development work/programmes, including the behavioural framework, learning and development plans and the development of training modules</w:t>
            </w:r>
          </w:p>
          <w:p w14:paraId="150DA545" w14:textId="5EC1ADB9" w:rsidR="000B3826" w:rsidRPr="00D2033C" w:rsidRDefault="000B3826" w:rsidP="00D2033C"/>
        </w:tc>
      </w:tr>
      <w:tr w:rsidR="000B3826" w:rsidRPr="00A20CD9" w14:paraId="17F76BF9" w14:textId="77777777" w:rsidTr="00D2033C">
        <w:tc>
          <w:tcPr>
            <w:tcW w:w="2166" w:type="dxa"/>
            <w:tcBorders>
              <w:top w:val="single" w:sz="4" w:space="0" w:color="auto"/>
              <w:left w:val="single" w:sz="4" w:space="0" w:color="auto"/>
              <w:bottom w:val="single" w:sz="4" w:space="0" w:color="auto"/>
              <w:right w:val="single" w:sz="4" w:space="0" w:color="auto"/>
            </w:tcBorders>
            <w:hideMark/>
          </w:tcPr>
          <w:p w14:paraId="15F0B93D" w14:textId="77777777" w:rsidR="000B3826" w:rsidRPr="00A20CD9" w:rsidRDefault="000B3826" w:rsidP="00D2033C">
            <w:pPr>
              <w:rPr>
                <w:b/>
              </w:rPr>
            </w:pPr>
            <w:r w:rsidRPr="00A20CD9">
              <w:rPr>
                <w:b/>
              </w:rPr>
              <w:t>Opportunities</w:t>
            </w:r>
          </w:p>
        </w:tc>
        <w:tc>
          <w:tcPr>
            <w:tcW w:w="7615" w:type="dxa"/>
            <w:gridSpan w:val="7"/>
            <w:tcBorders>
              <w:top w:val="single" w:sz="4" w:space="0" w:color="auto"/>
              <w:left w:val="single" w:sz="4" w:space="0" w:color="auto"/>
              <w:bottom w:val="single" w:sz="4" w:space="0" w:color="auto"/>
              <w:right w:val="single" w:sz="4" w:space="0" w:color="auto"/>
            </w:tcBorders>
            <w:hideMark/>
          </w:tcPr>
          <w:p w14:paraId="39488AB5" w14:textId="77777777" w:rsidR="00C23A0E" w:rsidRDefault="00C23A0E" w:rsidP="00C23A0E">
            <w:r>
              <w:t>None identified</w:t>
            </w:r>
          </w:p>
          <w:p w14:paraId="78DB812C" w14:textId="05D436D7" w:rsidR="000B3826" w:rsidRPr="00D2033C" w:rsidRDefault="000B3826" w:rsidP="00C23A0E">
            <w:r w:rsidRPr="00D2033C">
              <w:t xml:space="preserve">  </w:t>
            </w:r>
          </w:p>
        </w:tc>
      </w:tr>
      <w:tr w:rsidR="00F705F3" w:rsidRPr="00A20CD9" w14:paraId="2FFDA3D0" w14:textId="77777777" w:rsidTr="00D2033C">
        <w:tc>
          <w:tcPr>
            <w:tcW w:w="2166" w:type="dxa"/>
            <w:tcBorders>
              <w:top w:val="single" w:sz="4" w:space="0" w:color="auto"/>
              <w:left w:val="single" w:sz="4" w:space="0" w:color="auto"/>
              <w:bottom w:val="single" w:sz="4" w:space="0" w:color="auto"/>
              <w:right w:val="single" w:sz="4" w:space="0" w:color="auto"/>
            </w:tcBorders>
          </w:tcPr>
          <w:p w14:paraId="4EF1BBAD" w14:textId="438B3781" w:rsidR="00F705F3" w:rsidRPr="00A20CD9" w:rsidRDefault="00F705F3" w:rsidP="00F705F3">
            <w:pPr>
              <w:rPr>
                <w:b/>
              </w:rPr>
            </w:pPr>
            <w:r>
              <w:rPr>
                <w:b/>
              </w:rPr>
              <w:t xml:space="preserve">Committee consideration </w:t>
            </w:r>
          </w:p>
        </w:tc>
        <w:tc>
          <w:tcPr>
            <w:tcW w:w="7615" w:type="dxa"/>
            <w:gridSpan w:val="7"/>
            <w:tcBorders>
              <w:top w:val="single" w:sz="4" w:space="0" w:color="auto"/>
              <w:left w:val="single" w:sz="4" w:space="0" w:color="auto"/>
              <w:bottom w:val="single" w:sz="4" w:space="0" w:color="auto"/>
              <w:right w:val="single" w:sz="4" w:space="0" w:color="auto"/>
            </w:tcBorders>
          </w:tcPr>
          <w:p w14:paraId="665A6A11" w14:textId="77777777" w:rsidR="00F705F3" w:rsidRDefault="00F705F3" w:rsidP="00F705F3">
            <w:r>
              <w:t xml:space="preserve">The </w:t>
            </w:r>
            <w:r>
              <w:rPr>
                <w:b/>
              </w:rPr>
              <w:t xml:space="preserve">People and Organisational Development Committee </w:t>
            </w:r>
            <w:r>
              <w:t xml:space="preserve">considered this risk in January 2023 and March 2023.  </w:t>
            </w:r>
          </w:p>
          <w:p w14:paraId="0AD4D072" w14:textId="77777777" w:rsidR="00F705F3" w:rsidRDefault="00F705F3" w:rsidP="00F705F3"/>
          <w:p w14:paraId="2AB9ABB9" w14:textId="4F304BB2" w:rsidR="00F705F3" w:rsidRDefault="00F705F3" w:rsidP="00F705F3">
            <w:r>
              <w:t xml:space="preserve">On 15 December, the Board had a deployment session on the long term strategy and will hold a future session prior to Board approval in March. </w:t>
            </w:r>
          </w:p>
        </w:tc>
      </w:tr>
    </w:tbl>
    <w:p w14:paraId="09F5F405"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301</w:t>
      </w:r>
    </w:p>
    <w:p w14:paraId="3B9F1F03" w14:textId="77777777" w:rsidR="000B3826" w:rsidRDefault="000B3826" w:rsidP="000B3826">
      <w:pPr>
        <w:rPr>
          <w:rFonts w:eastAsia="Calibri" w:cs="Times New Roman"/>
        </w:rPr>
      </w:pPr>
    </w:p>
    <w:p w14:paraId="102F6E89" w14:textId="77777777" w:rsidR="004972FA" w:rsidRDefault="004972FA" w:rsidP="004972FA">
      <w:r>
        <w:t>Our Employee Value Propositions project is also being delivered to plan, with high levels of engagement from key stakeholders. Directorates will now work on Workforce planning returns so that we can develop robust interventions to support attraction, retention and development.</w:t>
      </w:r>
    </w:p>
    <w:p w14:paraId="11D0E06C" w14:textId="77777777" w:rsidR="00C23A0E" w:rsidRPr="00BA69BD" w:rsidRDefault="00C23A0E" w:rsidP="000B3826">
      <w:pPr>
        <w:rPr>
          <w:rFonts w:eastAsia="Calibri" w:cs="Times New Roman"/>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0B3826" w:rsidRPr="00A20CD9" w14:paraId="112C26F0"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5008CF3" w14:textId="77777777" w:rsidR="000B3826" w:rsidRPr="00A20CD9" w:rsidRDefault="000B3826" w:rsidP="00D2033C">
            <w:bookmarkStart w:id="15" w:name="Risk301"/>
            <w:bookmarkEnd w:id="15"/>
            <w:r w:rsidRPr="00A20CD9">
              <w:rPr>
                <w:b/>
              </w:rPr>
              <w:t>Risk Description</w:t>
            </w:r>
          </w:p>
        </w:tc>
      </w:tr>
      <w:tr w:rsidR="000B3826" w:rsidRPr="00A20CD9" w14:paraId="24998E7B"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65DE84CD" w14:textId="77777777" w:rsidR="000B3826" w:rsidRPr="00A20CD9" w:rsidRDefault="000B3826" w:rsidP="00D2033C">
            <w:r w:rsidRPr="00A20CD9">
              <w:t>There is a risk that we will not deliver our IMTP (Integrated Medium Term Plan) due to challenges involved in securing resources at the right time, at the right cost, with the right skills</w:t>
            </w:r>
          </w:p>
        </w:tc>
      </w:tr>
      <w:tr w:rsidR="000B3826" w:rsidRPr="00A20CD9" w14:paraId="59898143"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1FBCEA4"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43327C5" w14:textId="77777777" w:rsidR="000B3826" w:rsidRPr="00A20CD9" w:rsidRDefault="000B3826" w:rsidP="00D2033C">
            <w:r w:rsidRPr="00A20CD9">
              <w:rPr>
                <w:b/>
              </w:rPr>
              <w:t>Proposal for de-escalation or removal*</w:t>
            </w:r>
          </w:p>
        </w:tc>
      </w:tr>
      <w:tr w:rsidR="000B3826" w:rsidRPr="00A20CD9" w14:paraId="6B57F6E4"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0B30D93C" w14:textId="77777777" w:rsidR="000B3826" w:rsidRPr="00E135DA" w:rsidRDefault="000B3826" w:rsidP="00D2033C">
            <w:r w:rsidRPr="00E135DA">
              <w:t>Willing</w:t>
            </w:r>
          </w:p>
        </w:tc>
        <w:tc>
          <w:tcPr>
            <w:tcW w:w="4891" w:type="dxa"/>
            <w:gridSpan w:val="4"/>
            <w:tcBorders>
              <w:top w:val="single" w:sz="4" w:space="0" w:color="auto"/>
              <w:left w:val="single" w:sz="4" w:space="0" w:color="auto"/>
              <w:bottom w:val="single" w:sz="4" w:space="0" w:color="auto"/>
              <w:right w:val="single" w:sz="4" w:space="0" w:color="auto"/>
            </w:tcBorders>
            <w:hideMark/>
          </w:tcPr>
          <w:p w14:paraId="6C0A89DE" w14:textId="77777777" w:rsidR="000B3826" w:rsidRPr="00E135DA" w:rsidRDefault="000B3826" w:rsidP="00D2033C">
            <w:r w:rsidRPr="00E135DA">
              <w:t>Not applicable</w:t>
            </w:r>
          </w:p>
        </w:tc>
      </w:tr>
      <w:tr w:rsidR="000B3826" w:rsidRPr="00A20CD9" w14:paraId="2F55419E"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8A782BD" w14:textId="77777777" w:rsidR="000B3826" w:rsidRPr="00A20CD9" w:rsidRDefault="000B3826" w:rsidP="00D2033C">
            <w:pPr>
              <w:rPr>
                <w:b/>
              </w:rPr>
            </w:pPr>
            <w:r w:rsidRPr="00A20CD9">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D4F5484" w14:textId="2C7A1469" w:rsidR="000B3826" w:rsidRPr="00A20CD9" w:rsidRDefault="000B3826" w:rsidP="00D2033C">
            <w:pPr>
              <w:rPr>
                <w:b/>
              </w:rPr>
            </w:pPr>
            <w:r w:rsidRPr="00A20CD9">
              <w:rPr>
                <w:b/>
              </w:rPr>
              <w:t xml:space="preserve">Score at last </w:t>
            </w:r>
            <w:r w:rsidR="00D94A0F">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76A2D36" w14:textId="77777777" w:rsidR="000B3826" w:rsidRPr="00A20CD9" w:rsidRDefault="000B3826" w:rsidP="00D2033C">
            <w:pPr>
              <w:rPr>
                <w:b/>
              </w:rPr>
            </w:pPr>
            <w:r w:rsidRPr="00A20CD9">
              <w:rPr>
                <w:b/>
              </w:rPr>
              <w:t>Present Score</w:t>
            </w:r>
          </w:p>
        </w:tc>
      </w:tr>
      <w:tr w:rsidR="00C23A0E" w:rsidRPr="00A20CD9" w14:paraId="4B637E23"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74C30B6F" w14:textId="77777777" w:rsidR="00C23A0E" w:rsidRPr="00A20CD9" w:rsidRDefault="00C23A0E" w:rsidP="00C23A0E">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A94A3" w14:textId="39453004" w:rsidR="00C23A0E" w:rsidRPr="00A20CD9" w:rsidRDefault="00C23A0E" w:rsidP="00C23A0E">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452009" w14:textId="2E4FCED7" w:rsidR="00C23A0E" w:rsidRPr="00A20CD9" w:rsidRDefault="00C23A0E" w:rsidP="00C23A0E">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08EAC5A0" w14:textId="46BEC939" w:rsidR="00C23A0E" w:rsidRPr="00A20CD9" w:rsidRDefault="00C23A0E" w:rsidP="00C23A0E">
            <w:pPr>
              <w:jc w:val="center"/>
            </w:pPr>
            <w:r w:rsidRPr="00A20CD9">
              <w:t>16</w:t>
            </w:r>
          </w:p>
        </w:tc>
        <w:tc>
          <w:tcPr>
            <w:tcW w:w="1230" w:type="dxa"/>
            <w:tcBorders>
              <w:top w:val="single" w:sz="4" w:space="0" w:color="auto"/>
              <w:left w:val="single" w:sz="4" w:space="0" w:color="auto"/>
              <w:bottom w:val="single" w:sz="4" w:space="0" w:color="auto"/>
              <w:right w:val="single" w:sz="4" w:space="0" w:color="auto"/>
            </w:tcBorders>
            <w:hideMark/>
          </w:tcPr>
          <w:p w14:paraId="31AC4220" w14:textId="77777777" w:rsidR="00C23A0E" w:rsidRPr="00A20CD9" w:rsidRDefault="00C23A0E" w:rsidP="00C23A0E">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3871858A" w14:textId="77777777" w:rsidR="00C23A0E" w:rsidRPr="00A20CD9" w:rsidRDefault="00C23A0E" w:rsidP="00C23A0E">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761CD6A5" w14:textId="77777777" w:rsidR="00C23A0E" w:rsidRPr="00A20CD9" w:rsidRDefault="00C23A0E" w:rsidP="00C23A0E">
            <w:pPr>
              <w:jc w:val="center"/>
            </w:pPr>
            <w:r w:rsidRPr="00A20CD9">
              <w:t>16</w:t>
            </w:r>
          </w:p>
        </w:tc>
      </w:tr>
      <w:tr w:rsidR="00C23A0E" w:rsidRPr="00A20CD9" w14:paraId="6CED0871"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42EAEAD8" w14:textId="77777777" w:rsidR="00C23A0E" w:rsidRPr="00A20CD9" w:rsidRDefault="00C23A0E" w:rsidP="00C23A0E">
            <w:r w:rsidRPr="00A20CD9">
              <w:t>Current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02A0C" w14:textId="203A759D" w:rsidR="00C23A0E" w:rsidRPr="00A20CD9" w:rsidRDefault="00C23A0E" w:rsidP="00C23A0E">
            <w:pPr>
              <w:jc w:val="center"/>
            </w:pPr>
            <w:r w:rsidRPr="00A20CD9">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99F66F" w14:textId="7DBEBCB5" w:rsidR="00C23A0E" w:rsidRPr="00A20CD9" w:rsidRDefault="00C23A0E" w:rsidP="00C23A0E">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568FE5A0" w14:textId="195A6032" w:rsidR="00C23A0E" w:rsidRPr="00A20CD9" w:rsidRDefault="00C23A0E" w:rsidP="00C23A0E">
            <w:pPr>
              <w:jc w:val="center"/>
            </w:pPr>
            <w:r w:rsidRPr="00A20CD9">
              <w:t>12</w:t>
            </w:r>
          </w:p>
        </w:tc>
        <w:tc>
          <w:tcPr>
            <w:tcW w:w="1230" w:type="dxa"/>
            <w:tcBorders>
              <w:top w:val="single" w:sz="4" w:space="0" w:color="auto"/>
              <w:left w:val="single" w:sz="4" w:space="0" w:color="auto"/>
              <w:bottom w:val="single" w:sz="4" w:space="0" w:color="auto"/>
              <w:right w:val="single" w:sz="4" w:space="0" w:color="auto"/>
            </w:tcBorders>
            <w:hideMark/>
          </w:tcPr>
          <w:p w14:paraId="69691B24" w14:textId="77777777" w:rsidR="00C23A0E" w:rsidRPr="00A20CD9" w:rsidRDefault="00C23A0E" w:rsidP="00C23A0E">
            <w:pPr>
              <w:jc w:val="center"/>
            </w:pPr>
            <w:r w:rsidRPr="00A20CD9">
              <w:t>3</w:t>
            </w:r>
          </w:p>
        </w:tc>
        <w:tc>
          <w:tcPr>
            <w:tcW w:w="1230" w:type="dxa"/>
            <w:tcBorders>
              <w:top w:val="single" w:sz="4" w:space="0" w:color="auto"/>
              <w:left w:val="single" w:sz="4" w:space="0" w:color="auto"/>
              <w:bottom w:val="single" w:sz="4" w:space="0" w:color="auto"/>
              <w:right w:val="single" w:sz="4" w:space="0" w:color="auto"/>
            </w:tcBorders>
            <w:hideMark/>
          </w:tcPr>
          <w:p w14:paraId="00432320" w14:textId="77777777" w:rsidR="00C23A0E" w:rsidRPr="00A20CD9" w:rsidRDefault="00C23A0E" w:rsidP="00C23A0E">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2AA73D72" w14:textId="77777777" w:rsidR="00C23A0E" w:rsidRPr="00A20CD9" w:rsidRDefault="00C23A0E" w:rsidP="00C23A0E">
            <w:pPr>
              <w:jc w:val="center"/>
            </w:pPr>
            <w:r w:rsidRPr="00A20CD9">
              <w:t>12</w:t>
            </w:r>
          </w:p>
        </w:tc>
      </w:tr>
      <w:tr w:rsidR="00C23A0E" w:rsidRPr="00A20CD9" w14:paraId="7B7BE759"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5C69D0F5" w14:textId="77777777" w:rsidR="00C23A0E" w:rsidRPr="00A20CD9" w:rsidRDefault="00C23A0E" w:rsidP="00C23A0E">
            <w:r w:rsidRPr="00A20CD9">
              <w:t>Target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823539" w14:textId="3B291C21" w:rsidR="00C23A0E" w:rsidRPr="00A20CD9" w:rsidRDefault="00C23A0E" w:rsidP="00C23A0E">
            <w:pPr>
              <w:jc w:val="center"/>
            </w:pPr>
            <w:r w:rsidRPr="00A20CD9">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40ACF7" w14:textId="33290025" w:rsidR="00C23A0E" w:rsidRPr="00A20CD9" w:rsidRDefault="00C23A0E" w:rsidP="00C23A0E">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243850BB" w14:textId="46F76355" w:rsidR="00C23A0E" w:rsidRPr="00A20CD9" w:rsidRDefault="00C23A0E" w:rsidP="00C23A0E">
            <w:pPr>
              <w:jc w:val="center"/>
            </w:pPr>
            <w:r w:rsidRPr="00A20CD9">
              <w:t>8</w:t>
            </w:r>
          </w:p>
        </w:tc>
        <w:tc>
          <w:tcPr>
            <w:tcW w:w="1230" w:type="dxa"/>
            <w:tcBorders>
              <w:top w:val="single" w:sz="4" w:space="0" w:color="auto"/>
              <w:left w:val="single" w:sz="4" w:space="0" w:color="auto"/>
              <w:bottom w:val="single" w:sz="4" w:space="0" w:color="auto"/>
              <w:right w:val="single" w:sz="4" w:space="0" w:color="auto"/>
            </w:tcBorders>
            <w:hideMark/>
          </w:tcPr>
          <w:p w14:paraId="1F7DD6F9" w14:textId="77777777" w:rsidR="00C23A0E" w:rsidRPr="00A20CD9" w:rsidRDefault="00C23A0E" w:rsidP="00C23A0E">
            <w:pPr>
              <w:jc w:val="center"/>
            </w:pPr>
            <w:r w:rsidRPr="00A20CD9">
              <w:t>2</w:t>
            </w:r>
          </w:p>
        </w:tc>
        <w:tc>
          <w:tcPr>
            <w:tcW w:w="1230" w:type="dxa"/>
            <w:tcBorders>
              <w:top w:val="single" w:sz="4" w:space="0" w:color="auto"/>
              <w:left w:val="single" w:sz="4" w:space="0" w:color="auto"/>
              <w:bottom w:val="single" w:sz="4" w:space="0" w:color="auto"/>
              <w:right w:val="single" w:sz="4" w:space="0" w:color="auto"/>
            </w:tcBorders>
            <w:hideMark/>
          </w:tcPr>
          <w:p w14:paraId="39ACDB69" w14:textId="77777777" w:rsidR="00C23A0E" w:rsidRPr="00A20CD9" w:rsidRDefault="00C23A0E" w:rsidP="00C23A0E">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376A1387" w14:textId="77777777" w:rsidR="00C23A0E" w:rsidRPr="00A20CD9" w:rsidRDefault="00C23A0E" w:rsidP="00C23A0E">
            <w:pPr>
              <w:jc w:val="center"/>
            </w:pPr>
            <w:r w:rsidRPr="00A20CD9">
              <w:t>8</w:t>
            </w:r>
          </w:p>
        </w:tc>
      </w:tr>
      <w:tr w:rsidR="00C23A0E" w:rsidRPr="00A20CD9" w14:paraId="47F9DF75"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B674235" w14:textId="77777777" w:rsidR="00C23A0E" w:rsidRPr="00A20CD9" w:rsidRDefault="00C23A0E" w:rsidP="00C23A0E">
            <w:pPr>
              <w:rPr>
                <w:b/>
              </w:rPr>
            </w:pPr>
            <w:r w:rsidRPr="00A20CD9">
              <w:rPr>
                <w:b/>
              </w:rPr>
              <w:t xml:space="preserve">Overview of changes to controls/actions </w:t>
            </w:r>
          </w:p>
          <w:p w14:paraId="2363D548" w14:textId="77777777" w:rsidR="00C23A0E" w:rsidRPr="00A20CD9" w:rsidRDefault="00C23A0E" w:rsidP="00C23A0E">
            <w:r w:rsidRPr="00A20CD9">
              <w:t>(text marked in red in full risk which can be found in Appendix 3.</w:t>
            </w:r>
          </w:p>
        </w:tc>
      </w:tr>
      <w:tr w:rsidR="00C23A0E" w:rsidRPr="00A20CD9" w14:paraId="0A0F8005"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7FE5D1A" w14:textId="77777777" w:rsidR="00C23A0E" w:rsidRPr="00A20CD9" w:rsidRDefault="00C23A0E" w:rsidP="00C23A0E">
            <w:pPr>
              <w:rPr>
                <w:b/>
              </w:rPr>
            </w:pPr>
            <w:r w:rsidRPr="00A20CD9">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544680DE" w14:textId="35FFA3A6" w:rsidR="00C23A0E" w:rsidRPr="00E135DA" w:rsidRDefault="00C23A0E" w:rsidP="00C23A0E">
            <w:r>
              <w:t>No changes</w:t>
            </w:r>
          </w:p>
          <w:p w14:paraId="2FCA96FF" w14:textId="77777777" w:rsidR="00C23A0E" w:rsidRPr="00E135DA" w:rsidRDefault="00C23A0E" w:rsidP="00C23A0E"/>
        </w:tc>
      </w:tr>
      <w:tr w:rsidR="00C23A0E" w:rsidRPr="00A20CD9" w14:paraId="16585816"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FAEE8F5" w14:textId="77777777" w:rsidR="00C23A0E" w:rsidRPr="00A20CD9" w:rsidRDefault="00C23A0E" w:rsidP="00C23A0E">
            <w:pPr>
              <w:rPr>
                <w:b/>
              </w:rPr>
            </w:pPr>
            <w:r w:rsidRPr="00A20CD9">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25BC94CF" w14:textId="77777777" w:rsidR="00C23A0E" w:rsidRDefault="00C23A0E" w:rsidP="00C23A0E">
            <w:r>
              <w:t>Progress against action plan for Employee Value Propositions, Workforce Planning and Job Evaluation continues</w:t>
            </w:r>
          </w:p>
          <w:p w14:paraId="467835A4" w14:textId="77777777" w:rsidR="00C23A0E" w:rsidRDefault="00C23A0E" w:rsidP="00C23A0E"/>
          <w:p w14:paraId="61D99B71" w14:textId="77777777" w:rsidR="00C23A0E" w:rsidRDefault="00C23A0E" w:rsidP="00C23A0E">
            <w:r>
              <w:t xml:space="preserve">Since last update to Board: </w:t>
            </w:r>
          </w:p>
          <w:p w14:paraId="47698174" w14:textId="5FDEAF20" w:rsidR="00C23A0E" w:rsidRDefault="00C23A0E" w:rsidP="00C23A0E">
            <w:r>
              <w:t>Consultancy organisation appointed to support delivery of Employee Value Proposition project;</w:t>
            </w:r>
          </w:p>
          <w:p w14:paraId="217A8F73" w14:textId="77777777" w:rsidR="00C23A0E" w:rsidRDefault="00C23A0E" w:rsidP="00C23A0E">
            <w:r>
              <w:t>Workshops have concluded with staff;</w:t>
            </w:r>
          </w:p>
          <w:p w14:paraId="374D5398" w14:textId="45AA8953" w:rsidR="00C23A0E" w:rsidRDefault="00C23A0E" w:rsidP="00C23A0E">
            <w:r>
              <w:t xml:space="preserve">All Wales JD template due to be launched early 2023. </w:t>
            </w:r>
          </w:p>
          <w:p w14:paraId="59CFDCD9" w14:textId="104EBA4A" w:rsidR="00C23A0E" w:rsidRPr="00E135DA" w:rsidRDefault="00C23A0E" w:rsidP="00C23A0E"/>
        </w:tc>
      </w:tr>
      <w:tr w:rsidR="00C23A0E" w:rsidRPr="00A20CD9" w14:paraId="526B102B"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6380301" w14:textId="77777777" w:rsidR="00C23A0E" w:rsidRPr="00A20CD9" w:rsidRDefault="00C23A0E" w:rsidP="00C23A0E">
            <w:pPr>
              <w:rPr>
                <w:b/>
              </w:rPr>
            </w:pPr>
            <w:r w:rsidRPr="00A20CD9">
              <w:rPr>
                <w:b/>
              </w:rPr>
              <w:t>Opportunities</w:t>
            </w:r>
          </w:p>
        </w:tc>
        <w:tc>
          <w:tcPr>
            <w:tcW w:w="7519" w:type="dxa"/>
            <w:gridSpan w:val="7"/>
            <w:tcBorders>
              <w:top w:val="single" w:sz="4" w:space="0" w:color="auto"/>
              <w:left w:val="single" w:sz="4" w:space="0" w:color="auto"/>
              <w:bottom w:val="single" w:sz="4" w:space="0" w:color="auto"/>
              <w:right w:val="single" w:sz="4" w:space="0" w:color="auto"/>
            </w:tcBorders>
          </w:tcPr>
          <w:p w14:paraId="3DD8345A" w14:textId="132CFD19" w:rsidR="00C23A0E" w:rsidRPr="00E135DA" w:rsidRDefault="00C23A0E" w:rsidP="00C23A0E">
            <w:r w:rsidRPr="00E135DA">
              <w:t>None identifie</w:t>
            </w:r>
            <w:r w:rsidR="000721E4">
              <w:t>d</w:t>
            </w:r>
          </w:p>
          <w:p w14:paraId="2A5D2542" w14:textId="77777777" w:rsidR="00C23A0E" w:rsidRPr="00E135DA" w:rsidRDefault="00C23A0E" w:rsidP="00C23A0E"/>
        </w:tc>
      </w:tr>
      <w:tr w:rsidR="00F705F3" w:rsidRPr="00A20CD9" w14:paraId="304E6A1D" w14:textId="77777777" w:rsidTr="00D2033C">
        <w:tc>
          <w:tcPr>
            <w:tcW w:w="2263" w:type="dxa"/>
            <w:tcBorders>
              <w:top w:val="single" w:sz="4" w:space="0" w:color="auto"/>
              <w:left w:val="single" w:sz="4" w:space="0" w:color="auto"/>
              <w:bottom w:val="single" w:sz="4" w:space="0" w:color="auto"/>
              <w:right w:val="single" w:sz="4" w:space="0" w:color="auto"/>
            </w:tcBorders>
          </w:tcPr>
          <w:p w14:paraId="7DC02DA2" w14:textId="2B3E89B5" w:rsidR="00F705F3" w:rsidRPr="00A20CD9" w:rsidRDefault="00F705F3" w:rsidP="00F705F3">
            <w:pPr>
              <w:rPr>
                <w:b/>
              </w:rPr>
            </w:pPr>
            <w:r>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6CC8BED6" w14:textId="521FD8C8" w:rsidR="00F705F3" w:rsidRDefault="00F705F3" w:rsidP="00F705F3">
            <w:r>
              <w:t xml:space="preserve">The </w:t>
            </w:r>
            <w:r>
              <w:rPr>
                <w:b/>
              </w:rPr>
              <w:t xml:space="preserve">People and Organisational Development Committee </w:t>
            </w:r>
            <w:r>
              <w:t xml:space="preserve">considered this risk in January 2023 and March 2023.  </w:t>
            </w:r>
          </w:p>
          <w:p w14:paraId="2ACC5D74" w14:textId="77777777" w:rsidR="00F705F3" w:rsidRDefault="00F705F3" w:rsidP="00F705F3"/>
          <w:p w14:paraId="50A3A06E" w14:textId="6934C8CE" w:rsidR="00F705F3" w:rsidRPr="00E135DA" w:rsidRDefault="00F705F3" w:rsidP="00F705F3">
            <w:r>
              <w:rPr>
                <w:rFonts w:eastAsia="Times New Roman"/>
                <w:szCs w:val="24"/>
              </w:rPr>
              <w:t>The Committee discussed the Employee Value proposition in January, with a detailed look at how this was being developed in support of retaining and attracting staff.</w:t>
            </w:r>
          </w:p>
        </w:tc>
      </w:tr>
    </w:tbl>
    <w:p w14:paraId="70582E7D"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208</w:t>
      </w:r>
    </w:p>
    <w:p w14:paraId="01FC6EB2" w14:textId="77777777" w:rsidR="000B3826" w:rsidRDefault="000B3826" w:rsidP="000B3826">
      <w:pPr>
        <w:rPr>
          <w:rFonts w:eastAsia="Calibri" w:cs="Times New Roman"/>
        </w:rPr>
      </w:pPr>
    </w:p>
    <w:p w14:paraId="100299A3" w14:textId="77777777" w:rsidR="004972FA" w:rsidRPr="00533A60" w:rsidRDefault="004972FA" w:rsidP="004972FA">
      <w:pPr>
        <w:rPr>
          <w:color w:val="FF0000"/>
        </w:rPr>
      </w:pPr>
      <w:r>
        <w:t>Progress is being made against actions, with BET receiving a paper in February 2023 providing recommendations planned to address the staffing challenges in North Wales.</w:t>
      </w:r>
    </w:p>
    <w:p w14:paraId="54A22F1E" w14:textId="77777777" w:rsidR="00C23A0E" w:rsidRDefault="00C23A0E" w:rsidP="000B3826">
      <w:pPr>
        <w:rPr>
          <w:rFonts w:eastAsia="Calibri" w:cs="Times New Roman"/>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0B3826" w:rsidRPr="00A20CD9" w14:paraId="0C34E3C9"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8A4FAC4" w14:textId="77777777" w:rsidR="000B3826" w:rsidRPr="00A20CD9" w:rsidRDefault="000B3826" w:rsidP="00D2033C">
            <w:bookmarkStart w:id="16" w:name="Risk208"/>
            <w:bookmarkEnd w:id="16"/>
            <w:r w:rsidRPr="00A20CD9">
              <w:rPr>
                <w:b/>
              </w:rPr>
              <w:t>Risk Description</w:t>
            </w:r>
          </w:p>
        </w:tc>
      </w:tr>
      <w:tr w:rsidR="000B3826" w:rsidRPr="00A20CD9" w14:paraId="50B598CD"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64133A6F" w14:textId="77777777" w:rsidR="000B3826" w:rsidRPr="00A20CD9" w:rsidRDefault="000B3826" w:rsidP="00D2033C">
            <w:r w:rsidRPr="00A20CD9">
              <w:t>There is a risk that Health Protection and Screening Services will not be able to deliver high quality services in North Wales Infection division as they are struggling to recruit and retain sufficient medical and clinical staff.</w:t>
            </w:r>
          </w:p>
        </w:tc>
      </w:tr>
      <w:tr w:rsidR="000B3826" w:rsidRPr="00A20CD9" w14:paraId="39BC4F37"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1B3E090"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BAEA53" w14:textId="77777777" w:rsidR="000B3826" w:rsidRPr="00A20CD9" w:rsidRDefault="000B3826" w:rsidP="00D2033C">
            <w:r w:rsidRPr="00A20CD9">
              <w:rPr>
                <w:b/>
              </w:rPr>
              <w:t>Proposal for de-escalation or removal*</w:t>
            </w:r>
          </w:p>
        </w:tc>
      </w:tr>
      <w:tr w:rsidR="000B3826" w:rsidRPr="00A20CD9" w14:paraId="2A64A048"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0837BB63" w14:textId="77777777" w:rsidR="000B3826" w:rsidRPr="00D2033C" w:rsidRDefault="000B3826" w:rsidP="00D2033C">
            <w:r w:rsidRPr="00D2033C">
              <w:t>Cautious</w:t>
            </w:r>
          </w:p>
        </w:tc>
        <w:tc>
          <w:tcPr>
            <w:tcW w:w="4891" w:type="dxa"/>
            <w:gridSpan w:val="4"/>
            <w:tcBorders>
              <w:top w:val="single" w:sz="4" w:space="0" w:color="auto"/>
              <w:left w:val="single" w:sz="4" w:space="0" w:color="auto"/>
              <w:bottom w:val="single" w:sz="4" w:space="0" w:color="auto"/>
              <w:right w:val="single" w:sz="4" w:space="0" w:color="auto"/>
            </w:tcBorders>
            <w:hideMark/>
          </w:tcPr>
          <w:p w14:paraId="5D1C869A" w14:textId="77777777" w:rsidR="000B3826" w:rsidRPr="00D2033C" w:rsidRDefault="000B3826" w:rsidP="00D2033C">
            <w:r w:rsidRPr="00D2033C">
              <w:t>Not applicable</w:t>
            </w:r>
          </w:p>
        </w:tc>
      </w:tr>
      <w:tr w:rsidR="000B3826" w:rsidRPr="00A20CD9" w14:paraId="7A7AB6CD"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165B7EE" w14:textId="77777777" w:rsidR="000B3826" w:rsidRPr="00A20CD9" w:rsidRDefault="000B3826" w:rsidP="00D2033C">
            <w:pPr>
              <w:rPr>
                <w:b/>
              </w:rPr>
            </w:pPr>
            <w:r w:rsidRPr="00A20CD9">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64E1421" w14:textId="6867E74C" w:rsidR="000B3826" w:rsidRPr="00A20CD9" w:rsidRDefault="000B3826" w:rsidP="00D94A0F">
            <w:pPr>
              <w:rPr>
                <w:b/>
              </w:rPr>
            </w:pPr>
            <w:r w:rsidRPr="00A20CD9">
              <w:rPr>
                <w:b/>
              </w:rPr>
              <w:t xml:space="preserve">Score at last </w:t>
            </w:r>
            <w:r w:rsidR="00D94A0F">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C671AC4" w14:textId="77777777" w:rsidR="000B3826" w:rsidRPr="00A20CD9" w:rsidRDefault="000B3826" w:rsidP="00D2033C">
            <w:pPr>
              <w:rPr>
                <w:b/>
              </w:rPr>
            </w:pPr>
            <w:r w:rsidRPr="00A20CD9">
              <w:rPr>
                <w:b/>
              </w:rPr>
              <w:t>Present Score</w:t>
            </w:r>
          </w:p>
        </w:tc>
      </w:tr>
      <w:tr w:rsidR="000B3826" w:rsidRPr="00A20CD9" w14:paraId="2D624CE8"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50C3E25D" w14:textId="77777777" w:rsidR="000B3826" w:rsidRPr="00A20CD9" w:rsidRDefault="000B3826" w:rsidP="00D2033C">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hideMark/>
          </w:tcPr>
          <w:p w14:paraId="05CFE86C" w14:textId="77777777" w:rsidR="000B3826" w:rsidRPr="00A20CD9" w:rsidRDefault="000B3826" w:rsidP="00D2033C">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hideMark/>
          </w:tcPr>
          <w:p w14:paraId="14143A86"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6715DE80" w14:textId="77777777" w:rsidR="000B3826" w:rsidRPr="00A20CD9" w:rsidRDefault="000B3826" w:rsidP="00D2033C">
            <w:pPr>
              <w:jc w:val="center"/>
            </w:pPr>
            <w:r w:rsidRPr="00A20CD9">
              <w:t>16</w:t>
            </w:r>
          </w:p>
        </w:tc>
        <w:tc>
          <w:tcPr>
            <w:tcW w:w="1230" w:type="dxa"/>
            <w:tcBorders>
              <w:top w:val="single" w:sz="4" w:space="0" w:color="auto"/>
              <w:left w:val="single" w:sz="4" w:space="0" w:color="auto"/>
              <w:bottom w:val="single" w:sz="4" w:space="0" w:color="auto"/>
              <w:right w:val="single" w:sz="4" w:space="0" w:color="auto"/>
            </w:tcBorders>
            <w:hideMark/>
          </w:tcPr>
          <w:p w14:paraId="4D05BAB4" w14:textId="77777777" w:rsidR="000B3826" w:rsidRPr="00A20CD9" w:rsidRDefault="000B3826" w:rsidP="00D2033C">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6FD85BF0"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5A4BEA24" w14:textId="77777777" w:rsidR="000B3826" w:rsidRPr="00A20CD9" w:rsidRDefault="000B3826" w:rsidP="00D2033C">
            <w:pPr>
              <w:jc w:val="center"/>
            </w:pPr>
            <w:r w:rsidRPr="00A20CD9">
              <w:t>16</w:t>
            </w:r>
          </w:p>
        </w:tc>
      </w:tr>
      <w:tr w:rsidR="000B3826" w:rsidRPr="00A20CD9" w14:paraId="7CEB53A6"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2F2D345A" w14:textId="77777777" w:rsidR="000B3826" w:rsidRPr="00A20CD9" w:rsidRDefault="000B3826" w:rsidP="00D2033C">
            <w:r w:rsidRPr="00A20CD9">
              <w:t>Current</w:t>
            </w:r>
          </w:p>
        </w:tc>
        <w:tc>
          <w:tcPr>
            <w:tcW w:w="1276" w:type="dxa"/>
            <w:tcBorders>
              <w:top w:val="single" w:sz="4" w:space="0" w:color="auto"/>
              <w:left w:val="single" w:sz="4" w:space="0" w:color="auto"/>
              <w:bottom w:val="single" w:sz="4" w:space="0" w:color="auto"/>
              <w:right w:val="single" w:sz="4" w:space="0" w:color="auto"/>
            </w:tcBorders>
            <w:hideMark/>
          </w:tcPr>
          <w:p w14:paraId="743E32E4" w14:textId="77777777" w:rsidR="000B3826" w:rsidRPr="00A20CD9" w:rsidRDefault="000B3826" w:rsidP="00D2033C">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hideMark/>
          </w:tcPr>
          <w:p w14:paraId="113338A3" w14:textId="77777777" w:rsidR="000B3826" w:rsidRPr="00A20CD9" w:rsidRDefault="000B3826" w:rsidP="00D2033C">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hideMark/>
          </w:tcPr>
          <w:p w14:paraId="75107697" w14:textId="77777777" w:rsidR="000B3826" w:rsidRPr="00A20CD9" w:rsidRDefault="000B3826" w:rsidP="00D2033C">
            <w:pPr>
              <w:jc w:val="center"/>
            </w:pPr>
            <w:r w:rsidRPr="00A20CD9">
              <w:t>16</w:t>
            </w:r>
          </w:p>
        </w:tc>
        <w:tc>
          <w:tcPr>
            <w:tcW w:w="1230" w:type="dxa"/>
            <w:tcBorders>
              <w:top w:val="single" w:sz="4" w:space="0" w:color="auto"/>
              <w:left w:val="single" w:sz="4" w:space="0" w:color="auto"/>
              <w:bottom w:val="single" w:sz="4" w:space="0" w:color="auto"/>
              <w:right w:val="single" w:sz="4" w:space="0" w:color="auto"/>
            </w:tcBorders>
            <w:hideMark/>
          </w:tcPr>
          <w:p w14:paraId="13A27399" w14:textId="77777777" w:rsidR="000B3826" w:rsidRPr="00A20CD9" w:rsidRDefault="000B3826" w:rsidP="00D2033C">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5A39680E" w14:textId="77777777" w:rsidR="000B3826" w:rsidRPr="00A20CD9" w:rsidRDefault="000B3826" w:rsidP="00D2033C">
            <w:pPr>
              <w:jc w:val="center"/>
            </w:pPr>
            <w:r w:rsidRPr="00A20CD9">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6759D91E" w14:textId="77777777" w:rsidR="000B3826" w:rsidRPr="00A20CD9" w:rsidRDefault="000B3826" w:rsidP="00D2033C">
            <w:pPr>
              <w:jc w:val="center"/>
            </w:pPr>
            <w:r w:rsidRPr="00A20CD9">
              <w:t>16</w:t>
            </w:r>
          </w:p>
        </w:tc>
      </w:tr>
      <w:tr w:rsidR="000B3826" w:rsidRPr="00A20CD9" w14:paraId="264378E6"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AF4FBE4" w14:textId="77777777" w:rsidR="000B3826" w:rsidRPr="00A20CD9" w:rsidRDefault="000B3826" w:rsidP="00D2033C">
            <w:r w:rsidRPr="00A20CD9">
              <w:t>Target</w:t>
            </w:r>
          </w:p>
        </w:tc>
        <w:tc>
          <w:tcPr>
            <w:tcW w:w="1276" w:type="dxa"/>
            <w:tcBorders>
              <w:top w:val="single" w:sz="4" w:space="0" w:color="auto"/>
              <w:left w:val="single" w:sz="4" w:space="0" w:color="auto"/>
              <w:bottom w:val="single" w:sz="4" w:space="0" w:color="auto"/>
              <w:right w:val="single" w:sz="4" w:space="0" w:color="auto"/>
            </w:tcBorders>
            <w:hideMark/>
          </w:tcPr>
          <w:p w14:paraId="53704BF1" w14:textId="77777777" w:rsidR="000B3826" w:rsidRPr="00A20CD9" w:rsidRDefault="000B3826" w:rsidP="00D2033C">
            <w:pPr>
              <w:jc w:val="center"/>
            </w:pPr>
            <w:r w:rsidRPr="00A20CD9">
              <w:t>2</w:t>
            </w:r>
          </w:p>
        </w:tc>
        <w:tc>
          <w:tcPr>
            <w:tcW w:w="1276" w:type="dxa"/>
            <w:tcBorders>
              <w:top w:val="single" w:sz="4" w:space="0" w:color="auto"/>
              <w:left w:val="single" w:sz="4" w:space="0" w:color="auto"/>
              <w:bottom w:val="single" w:sz="4" w:space="0" w:color="auto"/>
              <w:right w:val="single" w:sz="4" w:space="0" w:color="auto"/>
            </w:tcBorders>
            <w:hideMark/>
          </w:tcPr>
          <w:p w14:paraId="161E4EF8" w14:textId="77777777" w:rsidR="000B3826" w:rsidRPr="00A20CD9" w:rsidRDefault="000B3826" w:rsidP="00D2033C">
            <w:pPr>
              <w:jc w:val="center"/>
            </w:pPr>
            <w:r w:rsidRPr="00A20CD9">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3C84195" w14:textId="77777777" w:rsidR="000B3826" w:rsidRPr="00A20CD9" w:rsidRDefault="000B3826" w:rsidP="00D2033C">
            <w:pPr>
              <w:jc w:val="center"/>
            </w:pPr>
            <w:r w:rsidRPr="00A20CD9">
              <w:t>4</w:t>
            </w:r>
          </w:p>
        </w:tc>
        <w:tc>
          <w:tcPr>
            <w:tcW w:w="1230" w:type="dxa"/>
            <w:tcBorders>
              <w:top w:val="single" w:sz="4" w:space="0" w:color="auto"/>
              <w:left w:val="single" w:sz="4" w:space="0" w:color="auto"/>
              <w:bottom w:val="single" w:sz="4" w:space="0" w:color="auto"/>
              <w:right w:val="single" w:sz="4" w:space="0" w:color="auto"/>
            </w:tcBorders>
            <w:hideMark/>
          </w:tcPr>
          <w:p w14:paraId="5488C187" w14:textId="77777777" w:rsidR="000B3826" w:rsidRPr="00A20CD9" w:rsidRDefault="000B3826" w:rsidP="00D2033C">
            <w:pPr>
              <w:jc w:val="center"/>
            </w:pPr>
            <w:r w:rsidRPr="00A20CD9">
              <w:t>2</w:t>
            </w:r>
          </w:p>
        </w:tc>
        <w:tc>
          <w:tcPr>
            <w:tcW w:w="1230" w:type="dxa"/>
            <w:tcBorders>
              <w:top w:val="single" w:sz="4" w:space="0" w:color="auto"/>
              <w:left w:val="single" w:sz="4" w:space="0" w:color="auto"/>
              <w:bottom w:val="single" w:sz="4" w:space="0" w:color="auto"/>
              <w:right w:val="single" w:sz="4" w:space="0" w:color="auto"/>
            </w:tcBorders>
            <w:hideMark/>
          </w:tcPr>
          <w:p w14:paraId="1D752E10" w14:textId="77777777" w:rsidR="000B3826" w:rsidRPr="00A20CD9" w:rsidRDefault="000B3826" w:rsidP="00D2033C">
            <w:pPr>
              <w:jc w:val="center"/>
            </w:pPr>
            <w:r w:rsidRPr="00A20CD9">
              <w:t>2</w:t>
            </w:r>
          </w:p>
        </w:tc>
        <w:tc>
          <w:tcPr>
            <w:tcW w:w="1231" w:type="dxa"/>
            <w:tcBorders>
              <w:top w:val="single" w:sz="4" w:space="0" w:color="auto"/>
              <w:left w:val="single" w:sz="4" w:space="0" w:color="auto"/>
              <w:bottom w:val="single" w:sz="4" w:space="0" w:color="auto"/>
              <w:right w:val="single" w:sz="4" w:space="0" w:color="auto"/>
            </w:tcBorders>
            <w:shd w:val="clear" w:color="auto" w:fill="FFFF00"/>
            <w:hideMark/>
          </w:tcPr>
          <w:p w14:paraId="3374E35F" w14:textId="77777777" w:rsidR="000B3826" w:rsidRPr="00A20CD9" w:rsidRDefault="000B3826" w:rsidP="00D2033C">
            <w:pPr>
              <w:jc w:val="center"/>
            </w:pPr>
            <w:r w:rsidRPr="00A20CD9">
              <w:t>4</w:t>
            </w:r>
          </w:p>
        </w:tc>
      </w:tr>
      <w:tr w:rsidR="000B3826" w:rsidRPr="00A20CD9" w14:paraId="10B9C702"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0581CAAD" w14:textId="77777777" w:rsidR="000B3826" w:rsidRPr="00A20CD9" w:rsidRDefault="000B3826" w:rsidP="00D2033C">
            <w:pPr>
              <w:rPr>
                <w:b/>
              </w:rPr>
            </w:pPr>
            <w:r w:rsidRPr="00A20CD9">
              <w:rPr>
                <w:b/>
              </w:rPr>
              <w:t xml:space="preserve">Overview of changes to controls/actions </w:t>
            </w:r>
          </w:p>
          <w:p w14:paraId="5F490E63" w14:textId="77777777" w:rsidR="000B3826" w:rsidRPr="00A20CD9" w:rsidRDefault="000B3826" w:rsidP="00D2033C">
            <w:r w:rsidRPr="00A20CD9">
              <w:t>(text marked in red in full risk which can be found in Appendix 3.</w:t>
            </w:r>
          </w:p>
        </w:tc>
      </w:tr>
      <w:tr w:rsidR="000B3826" w:rsidRPr="00A20CD9" w14:paraId="616223C8"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2143F70" w14:textId="77777777" w:rsidR="000B3826" w:rsidRPr="00A20CD9" w:rsidRDefault="000B3826" w:rsidP="00D2033C">
            <w:pPr>
              <w:rPr>
                <w:b/>
              </w:rPr>
            </w:pPr>
            <w:r w:rsidRPr="00A20CD9">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1DD28FDE" w14:textId="7A0218F3" w:rsidR="000B3826" w:rsidRPr="00D2033C" w:rsidRDefault="000B3826" w:rsidP="00D2033C">
            <w:r w:rsidRPr="00D2033C">
              <w:t xml:space="preserve">No </w:t>
            </w:r>
          </w:p>
          <w:p w14:paraId="31E60BDE" w14:textId="77777777" w:rsidR="000B3826" w:rsidRPr="00D2033C" w:rsidRDefault="000B3826" w:rsidP="00D2033C"/>
        </w:tc>
      </w:tr>
      <w:tr w:rsidR="000B3826" w:rsidRPr="00A20CD9" w14:paraId="6E3257BE"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0D038B39" w14:textId="77777777" w:rsidR="000B3826" w:rsidRPr="00A20CD9" w:rsidRDefault="000B3826" w:rsidP="00D2033C">
            <w:pPr>
              <w:rPr>
                <w:b/>
              </w:rPr>
            </w:pPr>
            <w:r w:rsidRPr="00A20CD9">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5C00BBD5" w14:textId="2979A652" w:rsidR="000B3826" w:rsidRPr="00D2033C" w:rsidRDefault="00C23A0E" w:rsidP="00D2033C">
            <w:r w:rsidRPr="000771F0">
              <w:rPr>
                <w:rFonts w:eastAsia="Verdana" w:cs="Verdana"/>
                <w:szCs w:val="24"/>
              </w:rPr>
              <w:t xml:space="preserve">Progress has been provided which indicate that activities are scheduled. In February - BET received paper and supported recommendations. The division is continuing with blended service delivery and recruitment strategy.    </w:t>
            </w:r>
          </w:p>
          <w:p w14:paraId="2332C813" w14:textId="77777777" w:rsidR="000B3826" w:rsidRPr="00D2033C" w:rsidRDefault="000B3826" w:rsidP="00D2033C"/>
        </w:tc>
      </w:tr>
      <w:tr w:rsidR="000B3826" w:rsidRPr="00A20CD9" w14:paraId="341E02D6"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C5D01DF" w14:textId="77777777" w:rsidR="000B3826" w:rsidRPr="00A20CD9" w:rsidRDefault="000B3826" w:rsidP="00D2033C">
            <w:pPr>
              <w:rPr>
                <w:b/>
              </w:rPr>
            </w:pPr>
            <w:r w:rsidRPr="00A20CD9">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371D8694" w14:textId="630089D6" w:rsidR="000B3826" w:rsidRPr="00D2033C" w:rsidRDefault="00C23A0E" w:rsidP="00D2033C">
            <w:r>
              <w:t>None identified</w:t>
            </w:r>
          </w:p>
          <w:p w14:paraId="02C0A8F2" w14:textId="77777777" w:rsidR="000B3826" w:rsidRPr="00D2033C" w:rsidRDefault="000B3826" w:rsidP="00D2033C"/>
        </w:tc>
      </w:tr>
      <w:tr w:rsidR="00F705F3" w:rsidRPr="00A20CD9" w14:paraId="4C8F6D1B" w14:textId="77777777" w:rsidTr="00D2033C">
        <w:tc>
          <w:tcPr>
            <w:tcW w:w="2263" w:type="dxa"/>
            <w:tcBorders>
              <w:top w:val="single" w:sz="4" w:space="0" w:color="auto"/>
              <w:left w:val="single" w:sz="4" w:space="0" w:color="auto"/>
              <w:bottom w:val="single" w:sz="4" w:space="0" w:color="auto"/>
              <w:right w:val="single" w:sz="4" w:space="0" w:color="auto"/>
            </w:tcBorders>
          </w:tcPr>
          <w:p w14:paraId="4BA49BAD" w14:textId="0BC89ACB" w:rsidR="00F705F3" w:rsidRDefault="00F705F3" w:rsidP="008541B5">
            <w:pPr>
              <w:rPr>
                <w:b/>
              </w:rPr>
            </w:pPr>
            <w:r w:rsidRPr="00385A32">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47B604F9" w14:textId="77777777" w:rsidR="00F705F3" w:rsidRDefault="00F705F3" w:rsidP="00F705F3">
            <w:r>
              <w:t xml:space="preserve">The </w:t>
            </w:r>
            <w:r>
              <w:rPr>
                <w:b/>
              </w:rPr>
              <w:t xml:space="preserve">Quality, Safety and Improvement Committee </w:t>
            </w:r>
            <w:r>
              <w:t xml:space="preserve">considered this risk in December 2022 and February 2023.  </w:t>
            </w:r>
          </w:p>
          <w:p w14:paraId="11E3D837" w14:textId="77777777" w:rsidR="00F705F3" w:rsidRDefault="00F705F3" w:rsidP="00F705F3"/>
          <w:p w14:paraId="761D559A" w14:textId="7A2C55C8" w:rsidR="00F705F3" w:rsidRDefault="00F705F3" w:rsidP="00F705F3">
            <w:r w:rsidRPr="00385A32">
              <w:t>Refer to Committee discussion in Dec</w:t>
            </w:r>
            <w:r>
              <w:t>ember</w:t>
            </w:r>
            <w:r w:rsidRPr="00385A32">
              <w:t xml:space="preserve"> summarised under SSR 2. </w:t>
            </w:r>
          </w:p>
          <w:p w14:paraId="5E69FB37" w14:textId="77777777" w:rsidR="00F705F3" w:rsidRDefault="00F705F3" w:rsidP="00F705F3"/>
          <w:p w14:paraId="22D75A01" w14:textId="30301F99" w:rsidR="00F705F3" w:rsidRDefault="00F705F3" w:rsidP="00F705F3">
            <w:r w:rsidRPr="00385A32">
              <w:t xml:space="preserve">A paper on options to mitigate continued difficulties to recruit in North Wales </w:t>
            </w:r>
            <w:r>
              <w:t>was considered</w:t>
            </w:r>
            <w:r w:rsidRPr="00385A32">
              <w:t xml:space="preserve"> at </w:t>
            </w:r>
            <w:r>
              <w:t>the</w:t>
            </w:r>
            <w:r w:rsidRPr="00385A32">
              <w:t xml:space="preserve"> January 2023 Business Executive Team meeting. This paper </w:t>
            </w:r>
            <w:r>
              <w:t>was</w:t>
            </w:r>
            <w:r w:rsidRPr="00385A32">
              <w:t xml:space="preserve"> included for the QSIC meeting as an appendix to this report for further information. </w:t>
            </w:r>
          </w:p>
          <w:p w14:paraId="4138EF13" w14:textId="0D6A4529" w:rsidR="00F705F3" w:rsidRDefault="00F705F3" w:rsidP="00F705F3"/>
          <w:p w14:paraId="3465784B" w14:textId="4973F89D" w:rsidR="008541B5" w:rsidRDefault="008541B5" w:rsidP="00F705F3">
            <w:r>
              <w:t xml:space="preserve">The Business Executive Team proposed that this corporate risk 208, whilst sitting primarily within the remit of the Quality, Safety and Improvement Committee, should also be presented to the </w:t>
            </w:r>
            <w:r>
              <w:rPr>
                <w:b/>
              </w:rPr>
              <w:t xml:space="preserve">People and Organisational Development Committee </w:t>
            </w:r>
            <w:r>
              <w:t>for scrutiny due to recruitment considerations.</w:t>
            </w:r>
          </w:p>
          <w:p w14:paraId="011572A9" w14:textId="7CF9BE50" w:rsidR="008541B5" w:rsidRDefault="008541B5" w:rsidP="00F705F3"/>
          <w:p w14:paraId="140706B7" w14:textId="255646C1" w:rsidR="008541B5" w:rsidRDefault="008541B5" w:rsidP="00F705F3">
            <w:r>
              <w:t xml:space="preserve">The Committee considered this risk in March 2023 for the first time. </w:t>
            </w:r>
          </w:p>
          <w:p w14:paraId="79E50F62" w14:textId="77777777" w:rsidR="008541B5" w:rsidRPr="008541B5" w:rsidRDefault="008541B5" w:rsidP="00F705F3"/>
          <w:p w14:paraId="5D03BB00" w14:textId="77777777" w:rsidR="008541B5" w:rsidRDefault="008541B5" w:rsidP="008541B5">
            <w:pPr>
              <w:rPr>
                <w:rFonts w:eastAsia="Times New Roman"/>
                <w:szCs w:val="24"/>
              </w:rPr>
            </w:pPr>
            <w:r>
              <w:rPr>
                <w:rFonts w:eastAsia="Times New Roman"/>
                <w:szCs w:val="24"/>
              </w:rPr>
              <w:t>The Committee discussed the Employee Value proposition at its last meeting in January, with a detailed look at how this was being developed in support of retaining and attracting staff.</w:t>
            </w:r>
          </w:p>
          <w:p w14:paraId="7329E5AF" w14:textId="77777777" w:rsidR="008541B5" w:rsidRDefault="008541B5" w:rsidP="008541B5">
            <w:pPr>
              <w:rPr>
                <w:rFonts w:eastAsia="Times New Roman"/>
                <w:szCs w:val="24"/>
              </w:rPr>
            </w:pPr>
          </w:p>
          <w:p w14:paraId="04F52B6B" w14:textId="295D5FFD" w:rsidR="00F705F3" w:rsidRDefault="008541B5" w:rsidP="008541B5">
            <w:pPr>
              <w:rPr>
                <w:rFonts w:eastAsia="Times New Roman"/>
                <w:szCs w:val="24"/>
              </w:rPr>
            </w:pPr>
            <w:r>
              <w:rPr>
                <w:rFonts w:eastAsia="Times New Roman"/>
                <w:szCs w:val="24"/>
              </w:rPr>
              <w:t xml:space="preserve">Focus for next </w:t>
            </w:r>
            <w:proofErr w:type="spellStart"/>
            <w:r>
              <w:rPr>
                <w:rFonts w:eastAsia="Times New Roman"/>
                <w:szCs w:val="24"/>
              </w:rPr>
              <w:t>years</w:t>
            </w:r>
            <w:proofErr w:type="spellEnd"/>
            <w:r>
              <w:rPr>
                <w:rFonts w:eastAsia="Times New Roman"/>
                <w:szCs w:val="24"/>
              </w:rPr>
              <w:t xml:space="preserve"> work plan is the outcome of the Workforce planning exercise.</w:t>
            </w:r>
          </w:p>
        </w:tc>
      </w:tr>
    </w:tbl>
    <w:p w14:paraId="7E5FAB0D" w14:textId="77777777" w:rsidR="000B3826" w:rsidRPr="00A20CD9" w:rsidRDefault="000B3826" w:rsidP="000B3826">
      <w:pPr>
        <w:keepNext/>
        <w:keepLines/>
        <w:numPr>
          <w:ilvl w:val="1"/>
          <w:numId w:val="29"/>
        </w:numPr>
        <w:spacing w:before="480"/>
        <w:ind w:left="792"/>
        <w:outlineLvl w:val="0"/>
        <w:rPr>
          <w:rFonts w:eastAsia="Times New Roman" w:cs="Times New Roman"/>
          <w:b/>
          <w:bCs/>
          <w:szCs w:val="24"/>
        </w:rPr>
      </w:pPr>
      <w:r w:rsidRPr="00A20CD9">
        <w:rPr>
          <w:rFonts w:eastAsia="Times New Roman" w:cs="Times New Roman"/>
          <w:b/>
          <w:bCs/>
          <w:szCs w:val="24"/>
        </w:rPr>
        <w:t>Risk 302</w:t>
      </w:r>
    </w:p>
    <w:p w14:paraId="3732045D" w14:textId="77777777" w:rsidR="000B3826" w:rsidRDefault="000B3826" w:rsidP="000B3826">
      <w:pPr>
        <w:rPr>
          <w:rFonts w:eastAsia="Calibri" w:cs="Times New Roman"/>
        </w:rPr>
      </w:pPr>
    </w:p>
    <w:p w14:paraId="14DE3A55" w14:textId="0D60C006" w:rsidR="000B3826" w:rsidRDefault="00C23A0E" w:rsidP="000B3826">
      <w:pPr>
        <w:rPr>
          <w:rFonts w:eastAsia="Calibri" w:cs="Times New Roman"/>
        </w:rPr>
      </w:pPr>
      <w:r>
        <w:rPr>
          <w:rFonts w:eastAsia="Calibri" w:cs="Times New Roman"/>
        </w:rPr>
        <w:t>BET approved closure of risk in December 2022</w:t>
      </w:r>
      <w:r w:rsidR="00DF7CE9">
        <w:rPr>
          <w:rFonts w:eastAsia="Calibri" w:cs="Times New Roman"/>
        </w:rPr>
        <w:t xml:space="preserve">. </w:t>
      </w:r>
    </w:p>
    <w:p w14:paraId="2C707A7D" w14:textId="77777777" w:rsidR="000B3826" w:rsidRPr="00BA69BD" w:rsidRDefault="000B3826" w:rsidP="000B3826">
      <w:pPr>
        <w:rPr>
          <w:rFonts w:eastAsia="Calibri" w:cs="Times New Roman"/>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0B3826" w:rsidRPr="00A20CD9" w14:paraId="186BA6CE"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217DC4F" w14:textId="77777777" w:rsidR="000B3826" w:rsidRPr="00A20CD9" w:rsidRDefault="000B3826" w:rsidP="00D2033C">
            <w:bookmarkStart w:id="17" w:name="Risk302"/>
            <w:bookmarkEnd w:id="17"/>
            <w:r w:rsidRPr="00A20CD9">
              <w:rPr>
                <w:b/>
              </w:rPr>
              <w:t>Risk Description</w:t>
            </w:r>
          </w:p>
        </w:tc>
      </w:tr>
      <w:tr w:rsidR="000B3826" w:rsidRPr="00A20CD9" w14:paraId="7589023E" w14:textId="77777777" w:rsidTr="00D2033C">
        <w:tc>
          <w:tcPr>
            <w:tcW w:w="9782" w:type="dxa"/>
            <w:gridSpan w:val="8"/>
            <w:tcBorders>
              <w:top w:val="single" w:sz="4" w:space="0" w:color="auto"/>
              <w:left w:val="single" w:sz="4" w:space="0" w:color="auto"/>
              <w:bottom w:val="single" w:sz="4" w:space="0" w:color="auto"/>
              <w:right w:val="single" w:sz="4" w:space="0" w:color="auto"/>
            </w:tcBorders>
            <w:hideMark/>
          </w:tcPr>
          <w:p w14:paraId="74EAFA16" w14:textId="77777777" w:rsidR="000B3826" w:rsidRPr="00A20CD9" w:rsidRDefault="000B3826" w:rsidP="00D2033C">
            <w:r w:rsidRPr="00A20CD9">
              <w:t>There is a risk that PHW will be unable to deliver key capital projects detailed within our IMTP, deliver our planned capital replacement programme or undertake remedial works for our services and estate.</w:t>
            </w:r>
          </w:p>
        </w:tc>
      </w:tr>
      <w:tr w:rsidR="000B3826" w:rsidRPr="00A20CD9" w14:paraId="0B06BA9A" w14:textId="77777777" w:rsidTr="00D2033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428063A" w14:textId="77777777" w:rsidR="000B3826" w:rsidRPr="00A20CD9" w:rsidRDefault="000B3826" w:rsidP="00D2033C">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E83A2BB" w14:textId="4B6747BC" w:rsidR="000B3826" w:rsidRPr="00A20CD9" w:rsidRDefault="000B3826" w:rsidP="00D2033C">
            <w:r w:rsidRPr="00A20CD9">
              <w:rPr>
                <w:b/>
              </w:rPr>
              <w:t>Propos</w:t>
            </w:r>
            <w:r w:rsidR="00D2033C">
              <w:rPr>
                <w:b/>
              </w:rPr>
              <w:t>al for de-escalation or removal*</w:t>
            </w:r>
          </w:p>
        </w:tc>
      </w:tr>
      <w:tr w:rsidR="000B3826" w:rsidRPr="00A20CD9" w14:paraId="58EAFEB2" w14:textId="77777777" w:rsidTr="00D2033C">
        <w:tc>
          <w:tcPr>
            <w:tcW w:w="4891" w:type="dxa"/>
            <w:gridSpan w:val="4"/>
            <w:tcBorders>
              <w:top w:val="single" w:sz="4" w:space="0" w:color="auto"/>
              <w:left w:val="single" w:sz="4" w:space="0" w:color="auto"/>
              <w:bottom w:val="single" w:sz="4" w:space="0" w:color="auto"/>
              <w:right w:val="single" w:sz="4" w:space="0" w:color="auto"/>
            </w:tcBorders>
            <w:hideMark/>
          </w:tcPr>
          <w:p w14:paraId="1C31512E" w14:textId="79A5E036" w:rsidR="000B3826" w:rsidRPr="0020482E" w:rsidRDefault="00D2033C" w:rsidP="00D2033C">
            <w:pPr>
              <w:rPr>
                <w:color w:val="FF0000"/>
              </w:rPr>
            </w:pPr>
            <w:r w:rsidRPr="00D2033C">
              <w:t>Tolerate</w:t>
            </w:r>
          </w:p>
        </w:tc>
        <w:tc>
          <w:tcPr>
            <w:tcW w:w="4891" w:type="dxa"/>
            <w:gridSpan w:val="4"/>
            <w:tcBorders>
              <w:top w:val="single" w:sz="4" w:space="0" w:color="auto"/>
              <w:left w:val="single" w:sz="4" w:space="0" w:color="auto"/>
              <w:bottom w:val="single" w:sz="4" w:space="0" w:color="auto"/>
              <w:right w:val="single" w:sz="4" w:space="0" w:color="auto"/>
            </w:tcBorders>
            <w:hideMark/>
          </w:tcPr>
          <w:p w14:paraId="2B042422" w14:textId="4E1BEF90" w:rsidR="000B3826" w:rsidRPr="0020482E" w:rsidRDefault="00D2033C" w:rsidP="00D2033C">
            <w:pPr>
              <w:rPr>
                <w:color w:val="FF0000"/>
              </w:rPr>
            </w:pPr>
            <w:r w:rsidRPr="00D2033C">
              <w:t xml:space="preserve">Proposal for removal of risk to be considered at December’s BET </w:t>
            </w:r>
          </w:p>
        </w:tc>
      </w:tr>
      <w:tr w:rsidR="000B3826" w:rsidRPr="00A20CD9" w14:paraId="277DF2CE" w14:textId="77777777" w:rsidTr="00D2033C">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A39E468" w14:textId="77777777" w:rsidR="000B3826" w:rsidRPr="00A20CD9" w:rsidRDefault="000B3826" w:rsidP="00D2033C">
            <w:pPr>
              <w:rPr>
                <w:b/>
              </w:rPr>
            </w:pPr>
            <w:r w:rsidRPr="00A20CD9">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9FC3948" w14:textId="15EC2E20" w:rsidR="000B3826" w:rsidRPr="00A20CD9" w:rsidRDefault="000B3826" w:rsidP="00D94A0F">
            <w:pPr>
              <w:rPr>
                <w:b/>
              </w:rPr>
            </w:pPr>
            <w:r w:rsidRPr="00A20CD9">
              <w:rPr>
                <w:b/>
              </w:rPr>
              <w:t xml:space="preserve">Score at last </w:t>
            </w:r>
            <w:r w:rsidR="00D94A0F">
              <w:rPr>
                <w:b/>
              </w:rPr>
              <w:t>Board</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C2E4E48" w14:textId="77777777" w:rsidR="000B3826" w:rsidRPr="00A20CD9" w:rsidRDefault="000B3826" w:rsidP="00D2033C">
            <w:pPr>
              <w:rPr>
                <w:b/>
              </w:rPr>
            </w:pPr>
            <w:r w:rsidRPr="00A20CD9">
              <w:rPr>
                <w:b/>
              </w:rPr>
              <w:t>Present Score</w:t>
            </w:r>
          </w:p>
        </w:tc>
      </w:tr>
      <w:tr w:rsidR="00C23A0E" w:rsidRPr="00A20CD9" w14:paraId="3707D913"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25D889BA" w14:textId="77777777" w:rsidR="00C23A0E" w:rsidRPr="00A20CD9" w:rsidRDefault="00C23A0E" w:rsidP="00C23A0E">
            <w:r w:rsidRPr="00A20CD9">
              <w:t xml:space="preserve">Inherent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286395" w14:textId="3AFA4874" w:rsidR="00C23A0E" w:rsidRPr="00A20CD9" w:rsidRDefault="00C23A0E" w:rsidP="00C23A0E">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81421D" w14:textId="2EBA4BEE" w:rsidR="00C23A0E" w:rsidRPr="00A20CD9" w:rsidRDefault="00C23A0E" w:rsidP="00C23A0E">
            <w:pPr>
              <w:jc w:val="center"/>
            </w:pPr>
            <w:r w:rsidRPr="00A20CD9">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38D23D75" w14:textId="3BFFAF5F" w:rsidR="00C23A0E" w:rsidRPr="00A20CD9" w:rsidRDefault="00C23A0E" w:rsidP="00C23A0E">
            <w:pPr>
              <w:jc w:val="center"/>
            </w:pPr>
            <w:r w:rsidRPr="00A20CD9">
              <w:t>16</w:t>
            </w:r>
          </w:p>
        </w:tc>
        <w:tc>
          <w:tcPr>
            <w:tcW w:w="1230" w:type="dxa"/>
            <w:tcBorders>
              <w:top w:val="single" w:sz="4" w:space="0" w:color="auto"/>
              <w:left w:val="single" w:sz="4" w:space="0" w:color="auto"/>
              <w:bottom w:val="single" w:sz="4" w:space="0" w:color="auto"/>
              <w:right w:val="single" w:sz="4" w:space="0" w:color="auto"/>
            </w:tcBorders>
            <w:hideMark/>
          </w:tcPr>
          <w:p w14:paraId="748C930F" w14:textId="25B5BE2C" w:rsidR="00C23A0E" w:rsidRPr="00A20CD9" w:rsidRDefault="00C23A0E" w:rsidP="00C23A0E">
            <w:pPr>
              <w:jc w:val="center"/>
            </w:pPr>
            <w:r>
              <w:t>N/A</w:t>
            </w:r>
          </w:p>
        </w:tc>
        <w:tc>
          <w:tcPr>
            <w:tcW w:w="1230" w:type="dxa"/>
            <w:tcBorders>
              <w:top w:val="single" w:sz="4" w:space="0" w:color="auto"/>
              <w:left w:val="single" w:sz="4" w:space="0" w:color="auto"/>
              <w:bottom w:val="single" w:sz="4" w:space="0" w:color="auto"/>
              <w:right w:val="single" w:sz="4" w:space="0" w:color="auto"/>
            </w:tcBorders>
            <w:hideMark/>
          </w:tcPr>
          <w:p w14:paraId="4FF29352" w14:textId="73356016" w:rsidR="00C23A0E" w:rsidRPr="00A20CD9" w:rsidRDefault="00C23A0E" w:rsidP="00C23A0E">
            <w:pPr>
              <w:jc w:val="center"/>
            </w:pPr>
            <w:r>
              <w:t>N/A</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280A87C8" w14:textId="1DE1D987" w:rsidR="00C23A0E" w:rsidRPr="00A20CD9" w:rsidRDefault="00C23A0E" w:rsidP="00C23A0E">
            <w:pPr>
              <w:jc w:val="center"/>
            </w:pPr>
            <w:r>
              <w:t>N/A</w:t>
            </w:r>
          </w:p>
        </w:tc>
      </w:tr>
      <w:tr w:rsidR="00C23A0E" w:rsidRPr="00A20CD9" w14:paraId="719E4339"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431F8A70" w14:textId="67665C65" w:rsidR="00C23A0E" w:rsidRPr="00A20CD9" w:rsidRDefault="00C23A0E" w:rsidP="00C23A0E">
            <w:r w:rsidRPr="00A20CD9">
              <w:t>Current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0ED10B" w14:textId="5AF7950B" w:rsidR="00C23A0E" w:rsidRPr="00A20CD9" w:rsidRDefault="00C23A0E" w:rsidP="00C23A0E">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64B1E" w14:textId="671DB66A" w:rsidR="00C23A0E" w:rsidRPr="00A20CD9" w:rsidRDefault="00C23A0E" w:rsidP="00C23A0E">
            <w:pPr>
              <w:jc w:val="center"/>
            </w:pPr>
            <w:r>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082C999D" w14:textId="79EBDE2A" w:rsidR="00C23A0E" w:rsidRPr="00A20CD9" w:rsidRDefault="00C23A0E" w:rsidP="00C23A0E">
            <w:pPr>
              <w:jc w:val="center"/>
            </w:pPr>
            <w:r>
              <w:t>8</w:t>
            </w:r>
          </w:p>
        </w:tc>
        <w:tc>
          <w:tcPr>
            <w:tcW w:w="1230" w:type="dxa"/>
            <w:tcBorders>
              <w:top w:val="single" w:sz="4" w:space="0" w:color="auto"/>
              <w:left w:val="single" w:sz="4" w:space="0" w:color="auto"/>
              <w:bottom w:val="single" w:sz="4" w:space="0" w:color="auto"/>
              <w:right w:val="single" w:sz="4" w:space="0" w:color="auto"/>
            </w:tcBorders>
            <w:hideMark/>
          </w:tcPr>
          <w:p w14:paraId="320DDC1A" w14:textId="773A665E" w:rsidR="00C23A0E" w:rsidRPr="00A20CD9" w:rsidRDefault="00C23A0E" w:rsidP="00C23A0E">
            <w:pPr>
              <w:jc w:val="center"/>
            </w:pPr>
            <w:r>
              <w:t>N/A</w:t>
            </w:r>
          </w:p>
        </w:tc>
        <w:tc>
          <w:tcPr>
            <w:tcW w:w="1230" w:type="dxa"/>
            <w:tcBorders>
              <w:top w:val="single" w:sz="4" w:space="0" w:color="auto"/>
              <w:left w:val="single" w:sz="4" w:space="0" w:color="auto"/>
              <w:bottom w:val="single" w:sz="4" w:space="0" w:color="auto"/>
              <w:right w:val="single" w:sz="4" w:space="0" w:color="auto"/>
            </w:tcBorders>
            <w:hideMark/>
          </w:tcPr>
          <w:p w14:paraId="58C19089" w14:textId="4966B02B" w:rsidR="00C23A0E" w:rsidRPr="00A20CD9" w:rsidRDefault="00C23A0E" w:rsidP="00C23A0E">
            <w:pPr>
              <w:jc w:val="center"/>
            </w:pPr>
            <w:r>
              <w:t>N/A</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14D2AF5D" w14:textId="44540C3D" w:rsidR="00C23A0E" w:rsidRPr="00A20CD9" w:rsidRDefault="00C23A0E" w:rsidP="00C23A0E">
            <w:pPr>
              <w:jc w:val="center"/>
            </w:pPr>
            <w:r>
              <w:t>N/A</w:t>
            </w:r>
          </w:p>
        </w:tc>
      </w:tr>
      <w:tr w:rsidR="00C23A0E" w:rsidRPr="00A20CD9" w14:paraId="4C7A77BD" w14:textId="77777777" w:rsidTr="00C23A0E">
        <w:tc>
          <w:tcPr>
            <w:tcW w:w="2263" w:type="dxa"/>
            <w:tcBorders>
              <w:top w:val="single" w:sz="4" w:space="0" w:color="auto"/>
              <w:left w:val="single" w:sz="4" w:space="0" w:color="auto"/>
              <w:bottom w:val="single" w:sz="4" w:space="0" w:color="auto"/>
              <w:right w:val="single" w:sz="4" w:space="0" w:color="auto"/>
            </w:tcBorders>
            <w:hideMark/>
          </w:tcPr>
          <w:p w14:paraId="5F85C3A3" w14:textId="5511EBCE" w:rsidR="00C23A0E" w:rsidRPr="00A20CD9" w:rsidRDefault="00C23A0E" w:rsidP="00C23A0E">
            <w:r w:rsidRPr="00A20CD9">
              <w:t>Target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AF2DA4" w14:textId="68B6F368" w:rsidR="00C23A0E" w:rsidRPr="00A20CD9" w:rsidRDefault="00C23A0E" w:rsidP="00C23A0E">
            <w:pPr>
              <w:jc w:val="center"/>
            </w:pPr>
            <w:r w:rsidRPr="00A20CD9">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6B5DC" w14:textId="4DA4CA40" w:rsidR="00C23A0E" w:rsidRPr="00A20CD9" w:rsidRDefault="00C23A0E" w:rsidP="00C23A0E">
            <w:pPr>
              <w:jc w:val="center"/>
            </w:pPr>
            <w:r w:rsidRPr="00A20CD9">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252B8520" w14:textId="45EFE18D" w:rsidR="00C23A0E" w:rsidRPr="00A20CD9" w:rsidRDefault="00C23A0E" w:rsidP="00C23A0E">
            <w:pPr>
              <w:jc w:val="center"/>
            </w:pPr>
            <w:r w:rsidRPr="00A20CD9">
              <w:t>8</w:t>
            </w:r>
          </w:p>
        </w:tc>
        <w:tc>
          <w:tcPr>
            <w:tcW w:w="1230" w:type="dxa"/>
            <w:tcBorders>
              <w:top w:val="single" w:sz="4" w:space="0" w:color="auto"/>
              <w:left w:val="single" w:sz="4" w:space="0" w:color="auto"/>
              <w:bottom w:val="single" w:sz="4" w:space="0" w:color="auto"/>
              <w:right w:val="single" w:sz="4" w:space="0" w:color="auto"/>
            </w:tcBorders>
            <w:hideMark/>
          </w:tcPr>
          <w:p w14:paraId="119EEC0D" w14:textId="1212FBC9" w:rsidR="00C23A0E" w:rsidRPr="00A20CD9" w:rsidRDefault="00C23A0E" w:rsidP="00C23A0E">
            <w:pPr>
              <w:jc w:val="center"/>
            </w:pPr>
            <w:r>
              <w:t>N/A</w:t>
            </w:r>
          </w:p>
        </w:tc>
        <w:tc>
          <w:tcPr>
            <w:tcW w:w="1230" w:type="dxa"/>
            <w:tcBorders>
              <w:top w:val="single" w:sz="4" w:space="0" w:color="auto"/>
              <w:left w:val="single" w:sz="4" w:space="0" w:color="auto"/>
              <w:bottom w:val="single" w:sz="4" w:space="0" w:color="auto"/>
              <w:right w:val="single" w:sz="4" w:space="0" w:color="auto"/>
            </w:tcBorders>
            <w:hideMark/>
          </w:tcPr>
          <w:p w14:paraId="18D276E2" w14:textId="5007402D" w:rsidR="00C23A0E" w:rsidRPr="00A20CD9" w:rsidRDefault="00C23A0E" w:rsidP="00C23A0E">
            <w:pPr>
              <w:jc w:val="center"/>
            </w:pPr>
            <w:r>
              <w:t>N/A</w:t>
            </w:r>
          </w:p>
        </w:tc>
        <w:tc>
          <w:tcPr>
            <w:tcW w:w="1231" w:type="dxa"/>
            <w:tcBorders>
              <w:top w:val="single" w:sz="4" w:space="0" w:color="auto"/>
              <w:left w:val="single" w:sz="4" w:space="0" w:color="auto"/>
              <w:bottom w:val="single" w:sz="4" w:space="0" w:color="auto"/>
              <w:right w:val="single" w:sz="4" w:space="0" w:color="auto"/>
            </w:tcBorders>
            <w:shd w:val="clear" w:color="auto" w:fill="auto"/>
            <w:hideMark/>
          </w:tcPr>
          <w:p w14:paraId="5D276C81" w14:textId="789DB411" w:rsidR="00C23A0E" w:rsidRPr="00A20CD9" w:rsidRDefault="00C23A0E" w:rsidP="00C23A0E">
            <w:pPr>
              <w:jc w:val="center"/>
            </w:pPr>
            <w:r>
              <w:t>N/A</w:t>
            </w:r>
          </w:p>
        </w:tc>
      </w:tr>
      <w:tr w:rsidR="00C23A0E" w:rsidRPr="00A20CD9" w14:paraId="18287466" w14:textId="77777777" w:rsidTr="00D2033C">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11507690" w14:textId="77777777" w:rsidR="00C23A0E" w:rsidRPr="00A20CD9" w:rsidRDefault="00C23A0E" w:rsidP="00C23A0E">
            <w:pPr>
              <w:rPr>
                <w:b/>
              </w:rPr>
            </w:pPr>
            <w:r w:rsidRPr="00A20CD9">
              <w:rPr>
                <w:b/>
              </w:rPr>
              <w:t xml:space="preserve">Overview of changes to controls/actions </w:t>
            </w:r>
          </w:p>
          <w:p w14:paraId="56E1312D" w14:textId="77777777" w:rsidR="00C23A0E" w:rsidRPr="00A20CD9" w:rsidRDefault="00C23A0E" w:rsidP="00C23A0E">
            <w:r w:rsidRPr="00A20CD9">
              <w:t>(text marked in red in full risk, which can be found in Appendix 3.</w:t>
            </w:r>
          </w:p>
        </w:tc>
      </w:tr>
      <w:tr w:rsidR="00C23A0E" w:rsidRPr="00A20CD9" w14:paraId="199002C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630639DB" w14:textId="77777777" w:rsidR="00C23A0E" w:rsidRPr="00D2033C" w:rsidRDefault="00C23A0E" w:rsidP="00C23A0E">
            <w:pPr>
              <w:rPr>
                <w:b/>
              </w:rPr>
            </w:pPr>
            <w:r w:rsidRPr="00D2033C">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4DA79C30" w14:textId="5EFF5DE5" w:rsidR="00C23A0E" w:rsidRPr="00D2033C" w:rsidRDefault="00C23A0E" w:rsidP="00C23A0E">
            <w:r>
              <w:t>Risk Closed</w:t>
            </w:r>
          </w:p>
          <w:p w14:paraId="22184EB4" w14:textId="1290876A" w:rsidR="00C23A0E" w:rsidRPr="00D2033C" w:rsidRDefault="00C23A0E" w:rsidP="00C23A0E"/>
        </w:tc>
      </w:tr>
      <w:tr w:rsidR="00C23A0E" w:rsidRPr="00A20CD9" w14:paraId="3E6DC7C3"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44C7FBF3" w14:textId="77777777" w:rsidR="00C23A0E" w:rsidRPr="00D2033C" w:rsidRDefault="00C23A0E" w:rsidP="00C23A0E">
            <w:pPr>
              <w:rPr>
                <w:b/>
              </w:rPr>
            </w:pPr>
            <w:r w:rsidRPr="00D2033C">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29D80B05" w14:textId="3BB36DE1" w:rsidR="00C23A0E" w:rsidRDefault="00C23A0E" w:rsidP="00C23A0E">
            <w:r>
              <w:t>Risk Closed</w:t>
            </w:r>
          </w:p>
          <w:p w14:paraId="3920E7EA" w14:textId="371132D6" w:rsidR="00C23A0E" w:rsidRPr="00D2033C" w:rsidRDefault="00C23A0E" w:rsidP="00C23A0E"/>
        </w:tc>
      </w:tr>
      <w:tr w:rsidR="00C23A0E" w:rsidRPr="00A20CD9" w14:paraId="6A8C0A7C" w14:textId="77777777" w:rsidTr="00D2033C">
        <w:tc>
          <w:tcPr>
            <w:tcW w:w="2263" w:type="dxa"/>
            <w:tcBorders>
              <w:top w:val="single" w:sz="4" w:space="0" w:color="auto"/>
              <w:left w:val="single" w:sz="4" w:space="0" w:color="auto"/>
              <w:bottom w:val="single" w:sz="4" w:space="0" w:color="auto"/>
              <w:right w:val="single" w:sz="4" w:space="0" w:color="auto"/>
            </w:tcBorders>
            <w:hideMark/>
          </w:tcPr>
          <w:p w14:paraId="14954FD2" w14:textId="77777777" w:rsidR="00C23A0E" w:rsidRPr="00A20CD9" w:rsidRDefault="00C23A0E" w:rsidP="00C23A0E">
            <w:pPr>
              <w:rPr>
                <w:b/>
              </w:rPr>
            </w:pPr>
            <w:r w:rsidRPr="00A20CD9">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3F23E5CF" w14:textId="58523C07" w:rsidR="00C23A0E" w:rsidRPr="00D2033C" w:rsidRDefault="00C23A0E" w:rsidP="00C23A0E">
            <w:r>
              <w:t>Risk Closed</w:t>
            </w:r>
          </w:p>
          <w:p w14:paraId="5F340AB7" w14:textId="77777777" w:rsidR="00C23A0E" w:rsidRPr="0020482E" w:rsidRDefault="00C23A0E" w:rsidP="00C23A0E">
            <w:pPr>
              <w:rPr>
                <w:color w:val="FF0000"/>
              </w:rPr>
            </w:pPr>
          </w:p>
        </w:tc>
      </w:tr>
    </w:tbl>
    <w:p w14:paraId="4A4989C3" w14:textId="506674E3" w:rsidR="00C23A0E" w:rsidRDefault="00C23A0E" w:rsidP="00C23A0E">
      <w:pPr>
        <w:pStyle w:val="Heading1"/>
        <w:numPr>
          <w:ilvl w:val="1"/>
          <w:numId w:val="2"/>
        </w:numPr>
        <w:rPr>
          <w:szCs w:val="24"/>
        </w:rPr>
      </w:pPr>
      <w:r>
        <w:rPr>
          <w:szCs w:val="24"/>
        </w:rPr>
        <w:t>Risk 303</w:t>
      </w:r>
    </w:p>
    <w:p w14:paraId="059F09F3" w14:textId="716DBE00" w:rsidR="00C23A0E" w:rsidRDefault="00C23A0E" w:rsidP="00C23A0E"/>
    <w:p w14:paraId="4EA6D4C8" w14:textId="074ED13F" w:rsidR="00C23A0E" w:rsidRPr="000771F0" w:rsidRDefault="000721E4" w:rsidP="00C23A0E">
      <w:r>
        <w:t xml:space="preserve">BET approved this new risk in January 2023. </w:t>
      </w:r>
      <w:r w:rsidR="00C23A0E">
        <w:t xml:space="preserve"> </w:t>
      </w:r>
    </w:p>
    <w:p w14:paraId="713DD538" w14:textId="77777777" w:rsidR="00C23A0E" w:rsidRPr="00A20CD9" w:rsidRDefault="00C23A0E" w:rsidP="00C23A0E">
      <w:pPr>
        <w:rPr>
          <w:rFonts w:eastAsia="Calibri" w:cs="Times New Roman"/>
          <w:i/>
        </w:rPr>
      </w:pPr>
    </w:p>
    <w:tbl>
      <w:tblPr>
        <w:tblStyle w:val="TableGrid2"/>
        <w:tblW w:w="9782" w:type="dxa"/>
        <w:tblInd w:w="0" w:type="dxa"/>
        <w:tblLook w:val="04A0" w:firstRow="1" w:lastRow="0" w:firstColumn="1" w:lastColumn="0" w:noHBand="0" w:noVBand="1"/>
      </w:tblPr>
      <w:tblGrid>
        <w:gridCol w:w="2263"/>
        <w:gridCol w:w="1276"/>
        <w:gridCol w:w="1276"/>
        <w:gridCol w:w="76"/>
        <w:gridCol w:w="1200"/>
        <w:gridCol w:w="1230"/>
        <w:gridCol w:w="1230"/>
        <w:gridCol w:w="1231"/>
      </w:tblGrid>
      <w:tr w:rsidR="00C23A0E" w:rsidRPr="00A20CD9" w14:paraId="17D1B186" w14:textId="77777777" w:rsidTr="009965D9">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C29BA01" w14:textId="77777777" w:rsidR="00C23A0E" w:rsidRPr="00A20CD9" w:rsidRDefault="00C23A0E" w:rsidP="009965D9">
            <w:r w:rsidRPr="00A20CD9">
              <w:rPr>
                <w:b/>
              </w:rPr>
              <w:t>Risk Description</w:t>
            </w:r>
          </w:p>
        </w:tc>
      </w:tr>
      <w:tr w:rsidR="00C23A0E" w:rsidRPr="00A20CD9" w14:paraId="493B1543" w14:textId="77777777" w:rsidTr="009965D9">
        <w:tc>
          <w:tcPr>
            <w:tcW w:w="9782" w:type="dxa"/>
            <w:gridSpan w:val="8"/>
            <w:tcBorders>
              <w:top w:val="single" w:sz="4" w:space="0" w:color="auto"/>
              <w:left w:val="single" w:sz="4" w:space="0" w:color="auto"/>
              <w:bottom w:val="single" w:sz="4" w:space="0" w:color="auto"/>
              <w:right w:val="single" w:sz="4" w:space="0" w:color="auto"/>
            </w:tcBorders>
            <w:hideMark/>
          </w:tcPr>
          <w:p w14:paraId="62943094" w14:textId="7C0E52F5" w:rsidR="00C23A0E" w:rsidRDefault="00C23A0E" w:rsidP="009965D9">
            <w:r>
              <w:t xml:space="preserve">There is a risk that the LINC process will not allow us to develop a product that meets our needs and is an improvement on the system currently in place. There is also a chance that the LINC programme will not be able to deliver and a </w:t>
            </w:r>
            <w:r w:rsidR="00060F4B">
              <w:t>contingency plan</w:t>
            </w:r>
            <w:r>
              <w:t xml:space="preserve"> will need to be put in place.</w:t>
            </w:r>
            <w:r>
              <w:cr/>
            </w:r>
          </w:p>
          <w:p w14:paraId="6A1881DE" w14:textId="77777777" w:rsidR="00C23A0E" w:rsidRPr="00A20CD9" w:rsidRDefault="00C23A0E" w:rsidP="009965D9">
            <w:r>
              <w:t>This is a risk for both screening and microbiology.</w:t>
            </w:r>
          </w:p>
        </w:tc>
      </w:tr>
      <w:tr w:rsidR="00C23A0E" w:rsidRPr="00A20CD9" w14:paraId="6B6092DE" w14:textId="77777777" w:rsidTr="009965D9">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AB8F97" w14:textId="77777777" w:rsidR="00C23A0E" w:rsidRPr="00A20CD9" w:rsidRDefault="00C23A0E" w:rsidP="009965D9">
            <w:r w:rsidRPr="00A20CD9">
              <w:rPr>
                <w:b/>
              </w:rPr>
              <w:t>Risk Appetite</w:t>
            </w:r>
          </w:p>
        </w:tc>
        <w:tc>
          <w:tcPr>
            <w:tcW w:w="4891"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2B09569" w14:textId="77777777" w:rsidR="00C23A0E" w:rsidRPr="00A20CD9" w:rsidRDefault="00C23A0E" w:rsidP="009965D9">
            <w:r w:rsidRPr="00A20CD9">
              <w:rPr>
                <w:b/>
              </w:rPr>
              <w:t>Proposal for de-escalation or removal*</w:t>
            </w:r>
          </w:p>
        </w:tc>
      </w:tr>
      <w:tr w:rsidR="00C23A0E" w:rsidRPr="00A20CD9" w14:paraId="6A0AACDC" w14:textId="77777777" w:rsidTr="009965D9">
        <w:tc>
          <w:tcPr>
            <w:tcW w:w="4891" w:type="dxa"/>
            <w:gridSpan w:val="4"/>
            <w:tcBorders>
              <w:top w:val="single" w:sz="4" w:space="0" w:color="auto"/>
              <w:left w:val="single" w:sz="4" w:space="0" w:color="auto"/>
              <w:bottom w:val="single" w:sz="4" w:space="0" w:color="auto"/>
              <w:right w:val="single" w:sz="4" w:space="0" w:color="auto"/>
            </w:tcBorders>
            <w:hideMark/>
          </w:tcPr>
          <w:p w14:paraId="72EF318D" w14:textId="77777777" w:rsidR="00C23A0E" w:rsidRPr="00415977" w:rsidRDefault="00C23A0E" w:rsidP="009965D9">
            <w:r w:rsidRPr="00415977">
              <w:t>Cautious</w:t>
            </w:r>
          </w:p>
        </w:tc>
        <w:tc>
          <w:tcPr>
            <w:tcW w:w="4891" w:type="dxa"/>
            <w:gridSpan w:val="4"/>
            <w:tcBorders>
              <w:top w:val="single" w:sz="4" w:space="0" w:color="auto"/>
              <w:left w:val="single" w:sz="4" w:space="0" w:color="auto"/>
              <w:bottom w:val="single" w:sz="4" w:space="0" w:color="auto"/>
              <w:right w:val="single" w:sz="4" w:space="0" w:color="auto"/>
            </w:tcBorders>
            <w:hideMark/>
          </w:tcPr>
          <w:p w14:paraId="5D4CE56F" w14:textId="77777777" w:rsidR="00C23A0E" w:rsidRPr="00415977" w:rsidRDefault="00C23A0E" w:rsidP="009965D9">
            <w:r w:rsidRPr="00415977">
              <w:t>Not applicable</w:t>
            </w:r>
          </w:p>
        </w:tc>
      </w:tr>
      <w:tr w:rsidR="00C23A0E" w:rsidRPr="00A20CD9" w14:paraId="0E743684" w14:textId="77777777" w:rsidTr="009965D9">
        <w:tc>
          <w:tcPr>
            <w:tcW w:w="2263"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6967673" w14:textId="77777777" w:rsidR="00C23A0E" w:rsidRPr="003970C4" w:rsidRDefault="00C23A0E" w:rsidP="009965D9">
            <w:pPr>
              <w:rPr>
                <w:b/>
              </w:rPr>
            </w:pPr>
            <w:r w:rsidRPr="003970C4">
              <w:rPr>
                <w:b/>
              </w:rPr>
              <w:t>Risk Scoring</w:t>
            </w:r>
          </w:p>
        </w:tc>
        <w:tc>
          <w:tcPr>
            <w:tcW w:w="3828" w:type="dxa"/>
            <w:gridSpan w:val="4"/>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54ADD4A" w14:textId="77777777" w:rsidR="00C23A0E" w:rsidRPr="003970C4" w:rsidRDefault="00C23A0E" w:rsidP="009965D9">
            <w:pPr>
              <w:rPr>
                <w:b/>
              </w:rPr>
            </w:pPr>
            <w:r w:rsidRPr="003970C4">
              <w:rPr>
                <w:b/>
              </w:rPr>
              <w:t>Score at last BET</w:t>
            </w:r>
          </w:p>
        </w:tc>
        <w:tc>
          <w:tcPr>
            <w:tcW w:w="3691" w:type="dxa"/>
            <w:gridSpan w:val="3"/>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4182C9C" w14:textId="77777777" w:rsidR="00C23A0E" w:rsidRPr="003970C4" w:rsidRDefault="00C23A0E" w:rsidP="009965D9">
            <w:pPr>
              <w:rPr>
                <w:b/>
              </w:rPr>
            </w:pPr>
            <w:r w:rsidRPr="003970C4">
              <w:rPr>
                <w:b/>
              </w:rPr>
              <w:t>Present Score</w:t>
            </w:r>
          </w:p>
        </w:tc>
      </w:tr>
      <w:tr w:rsidR="00C23A0E" w:rsidRPr="00A20CD9" w14:paraId="66F6E503"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1B5C1144" w14:textId="77777777" w:rsidR="00C23A0E" w:rsidRPr="003970C4" w:rsidRDefault="00C23A0E" w:rsidP="009965D9">
            <w:r w:rsidRPr="003970C4">
              <w:t xml:space="preserve">Inherent </w:t>
            </w:r>
          </w:p>
        </w:tc>
        <w:tc>
          <w:tcPr>
            <w:tcW w:w="1276" w:type="dxa"/>
            <w:tcBorders>
              <w:top w:val="single" w:sz="4" w:space="0" w:color="auto"/>
              <w:left w:val="single" w:sz="4" w:space="0" w:color="auto"/>
              <w:bottom w:val="single" w:sz="4" w:space="0" w:color="auto"/>
              <w:right w:val="single" w:sz="4" w:space="0" w:color="auto"/>
            </w:tcBorders>
          </w:tcPr>
          <w:p w14:paraId="360F10BB" w14:textId="77777777" w:rsidR="00C23A0E" w:rsidRPr="003970C4" w:rsidRDefault="00C23A0E" w:rsidP="009965D9">
            <w:pPr>
              <w:jc w:val="center"/>
            </w:pPr>
            <w:r>
              <w:t>3</w:t>
            </w:r>
          </w:p>
        </w:tc>
        <w:tc>
          <w:tcPr>
            <w:tcW w:w="1276" w:type="dxa"/>
            <w:tcBorders>
              <w:top w:val="single" w:sz="4" w:space="0" w:color="auto"/>
              <w:left w:val="single" w:sz="4" w:space="0" w:color="auto"/>
              <w:bottom w:val="single" w:sz="4" w:space="0" w:color="auto"/>
              <w:right w:val="single" w:sz="4" w:space="0" w:color="auto"/>
            </w:tcBorders>
          </w:tcPr>
          <w:p w14:paraId="7B01A428" w14:textId="77777777" w:rsidR="00C23A0E" w:rsidRPr="003970C4" w:rsidRDefault="00C23A0E" w:rsidP="009965D9">
            <w:pPr>
              <w:jc w:val="center"/>
            </w:pPr>
            <w:r w:rsidRPr="003970C4">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tcPr>
          <w:p w14:paraId="090384A7" w14:textId="77777777" w:rsidR="00C23A0E" w:rsidRPr="003970C4" w:rsidRDefault="00C23A0E" w:rsidP="009965D9">
            <w:pPr>
              <w:jc w:val="center"/>
            </w:pPr>
            <w:r w:rsidRPr="003970C4">
              <w:t>1</w:t>
            </w:r>
            <w:r>
              <w:t>2</w:t>
            </w:r>
          </w:p>
        </w:tc>
        <w:tc>
          <w:tcPr>
            <w:tcW w:w="1230" w:type="dxa"/>
            <w:tcBorders>
              <w:top w:val="single" w:sz="4" w:space="0" w:color="auto"/>
              <w:left w:val="single" w:sz="4" w:space="0" w:color="auto"/>
              <w:bottom w:val="single" w:sz="4" w:space="0" w:color="auto"/>
              <w:right w:val="single" w:sz="4" w:space="0" w:color="auto"/>
            </w:tcBorders>
            <w:hideMark/>
          </w:tcPr>
          <w:p w14:paraId="6704A05B" w14:textId="77777777" w:rsidR="00C23A0E" w:rsidRPr="003970C4" w:rsidRDefault="00C23A0E" w:rsidP="009965D9">
            <w:pPr>
              <w:jc w:val="center"/>
            </w:pPr>
            <w:r>
              <w:t>3</w:t>
            </w:r>
          </w:p>
        </w:tc>
        <w:tc>
          <w:tcPr>
            <w:tcW w:w="1230" w:type="dxa"/>
            <w:tcBorders>
              <w:top w:val="single" w:sz="4" w:space="0" w:color="auto"/>
              <w:left w:val="single" w:sz="4" w:space="0" w:color="auto"/>
              <w:bottom w:val="single" w:sz="4" w:space="0" w:color="auto"/>
              <w:right w:val="single" w:sz="4" w:space="0" w:color="auto"/>
            </w:tcBorders>
            <w:hideMark/>
          </w:tcPr>
          <w:p w14:paraId="3788AAE9" w14:textId="77777777" w:rsidR="00C23A0E" w:rsidRPr="003970C4" w:rsidRDefault="00C23A0E" w:rsidP="009965D9">
            <w:pPr>
              <w:jc w:val="center"/>
            </w:pPr>
            <w:r w:rsidRPr="003970C4">
              <w:t>4</w:t>
            </w:r>
          </w:p>
        </w:tc>
        <w:tc>
          <w:tcPr>
            <w:tcW w:w="1231" w:type="dxa"/>
            <w:tcBorders>
              <w:top w:val="single" w:sz="4" w:space="0" w:color="auto"/>
              <w:left w:val="single" w:sz="4" w:space="0" w:color="auto"/>
              <w:bottom w:val="single" w:sz="4" w:space="0" w:color="auto"/>
              <w:right w:val="single" w:sz="4" w:space="0" w:color="auto"/>
            </w:tcBorders>
            <w:shd w:val="clear" w:color="auto" w:fill="FFC000"/>
            <w:hideMark/>
          </w:tcPr>
          <w:p w14:paraId="11117D0C" w14:textId="77777777" w:rsidR="00C23A0E" w:rsidRPr="003970C4" w:rsidRDefault="00C23A0E" w:rsidP="009965D9">
            <w:pPr>
              <w:jc w:val="center"/>
            </w:pPr>
            <w:r w:rsidRPr="003970C4">
              <w:t>1</w:t>
            </w:r>
            <w:r>
              <w:t>2</w:t>
            </w:r>
          </w:p>
        </w:tc>
      </w:tr>
      <w:tr w:rsidR="00C23A0E" w:rsidRPr="00A20CD9" w14:paraId="05ABFB53"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28BC9203" w14:textId="77777777" w:rsidR="00C23A0E" w:rsidRPr="003970C4" w:rsidRDefault="00C23A0E" w:rsidP="009965D9">
            <w:r w:rsidRPr="003970C4">
              <w:t>Current</w:t>
            </w:r>
          </w:p>
        </w:tc>
        <w:tc>
          <w:tcPr>
            <w:tcW w:w="1276" w:type="dxa"/>
            <w:tcBorders>
              <w:top w:val="single" w:sz="4" w:space="0" w:color="auto"/>
              <w:left w:val="single" w:sz="4" w:space="0" w:color="auto"/>
              <w:bottom w:val="single" w:sz="4" w:space="0" w:color="auto"/>
              <w:right w:val="single" w:sz="4" w:space="0" w:color="auto"/>
            </w:tcBorders>
          </w:tcPr>
          <w:p w14:paraId="653A4279" w14:textId="77777777" w:rsidR="00C23A0E" w:rsidRPr="003970C4" w:rsidRDefault="00C23A0E" w:rsidP="009965D9">
            <w:pPr>
              <w:jc w:val="center"/>
            </w:pPr>
            <w:r>
              <w:t>5</w:t>
            </w:r>
          </w:p>
        </w:tc>
        <w:tc>
          <w:tcPr>
            <w:tcW w:w="1276" w:type="dxa"/>
            <w:tcBorders>
              <w:top w:val="single" w:sz="4" w:space="0" w:color="auto"/>
              <w:left w:val="single" w:sz="4" w:space="0" w:color="auto"/>
              <w:bottom w:val="single" w:sz="4" w:space="0" w:color="auto"/>
              <w:right w:val="single" w:sz="4" w:space="0" w:color="auto"/>
            </w:tcBorders>
          </w:tcPr>
          <w:p w14:paraId="0714FD71" w14:textId="77777777" w:rsidR="00C23A0E" w:rsidRPr="003970C4" w:rsidRDefault="00C23A0E" w:rsidP="009965D9">
            <w:pPr>
              <w:jc w:val="center"/>
            </w:pPr>
            <w:r w:rsidRPr="003970C4">
              <w:t>4</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tcPr>
          <w:p w14:paraId="4B4B9797" w14:textId="77777777" w:rsidR="00C23A0E" w:rsidRPr="003970C4" w:rsidRDefault="00C23A0E" w:rsidP="009965D9">
            <w:pPr>
              <w:jc w:val="center"/>
            </w:pPr>
            <w:r>
              <w:t>20</w:t>
            </w:r>
          </w:p>
        </w:tc>
        <w:tc>
          <w:tcPr>
            <w:tcW w:w="1230" w:type="dxa"/>
            <w:tcBorders>
              <w:top w:val="single" w:sz="4" w:space="0" w:color="auto"/>
              <w:left w:val="single" w:sz="4" w:space="0" w:color="auto"/>
              <w:bottom w:val="single" w:sz="4" w:space="0" w:color="auto"/>
              <w:right w:val="single" w:sz="4" w:space="0" w:color="auto"/>
            </w:tcBorders>
            <w:hideMark/>
          </w:tcPr>
          <w:p w14:paraId="2E0356E5" w14:textId="77777777" w:rsidR="00C23A0E" w:rsidRPr="003970C4" w:rsidRDefault="00C23A0E" w:rsidP="009965D9">
            <w:pPr>
              <w:jc w:val="center"/>
            </w:pPr>
            <w:r>
              <w:t>5</w:t>
            </w:r>
          </w:p>
        </w:tc>
        <w:tc>
          <w:tcPr>
            <w:tcW w:w="1230" w:type="dxa"/>
            <w:tcBorders>
              <w:top w:val="single" w:sz="4" w:space="0" w:color="auto"/>
              <w:left w:val="single" w:sz="4" w:space="0" w:color="auto"/>
              <w:bottom w:val="single" w:sz="4" w:space="0" w:color="auto"/>
              <w:right w:val="single" w:sz="4" w:space="0" w:color="auto"/>
            </w:tcBorders>
            <w:hideMark/>
          </w:tcPr>
          <w:p w14:paraId="51295D44" w14:textId="77777777" w:rsidR="00C23A0E" w:rsidRPr="003970C4" w:rsidRDefault="00C23A0E" w:rsidP="009965D9">
            <w:pPr>
              <w:jc w:val="center"/>
            </w:pPr>
            <w:r w:rsidRPr="003970C4">
              <w:t>4</w:t>
            </w:r>
          </w:p>
        </w:tc>
        <w:tc>
          <w:tcPr>
            <w:tcW w:w="1231" w:type="dxa"/>
            <w:tcBorders>
              <w:top w:val="single" w:sz="4" w:space="0" w:color="auto"/>
              <w:left w:val="single" w:sz="4" w:space="0" w:color="auto"/>
              <w:bottom w:val="single" w:sz="4" w:space="0" w:color="auto"/>
              <w:right w:val="single" w:sz="4" w:space="0" w:color="auto"/>
            </w:tcBorders>
            <w:shd w:val="clear" w:color="auto" w:fill="FF0000"/>
            <w:hideMark/>
          </w:tcPr>
          <w:p w14:paraId="3AEBDDE2" w14:textId="77777777" w:rsidR="00C23A0E" w:rsidRPr="003970C4" w:rsidRDefault="00C23A0E" w:rsidP="009965D9">
            <w:pPr>
              <w:jc w:val="center"/>
            </w:pPr>
            <w:r>
              <w:t>20</w:t>
            </w:r>
          </w:p>
        </w:tc>
      </w:tr>
      <w:tr w:rsidR="00C23A0E" w:rsidRPr="00A20CD9" w14:paraId="7F94613A"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31D558EC" w14:textId="77777777" w:rsidR="00C23A0E" w:rsidRPr="003970C4" w:rsidRDefault="00C23A0E" w:rsidP="009965D9">
            <w:r w:rsidRPr="003970C4">
              <w:t>Target</w:t>
            </w:r>
          </w:p>
        </w:tc>
        <w:tc>
          <w:tcPr>
            <w:tcW w:w="1276" w:type="dxa"/>
            <w:tcBorders>
              <w:top w:val="single" w:sz="4" w:space="0" w:color="auto"/>
              <w:left w:val="single" w:sz="4" w:space="0" w:color="auto"/>
              <w:bottom w:val="single" w:sz="4" w:space="0" w:color="auto"/>
              <w:right w:val="single" w:sz="4" w:space="0" w:color="auto"/>
            </w:tcBorders>
          </w:tcPr>
          <w:p w14:paraId="60C1314C" w14:textId="77777777" w:rsidR="00C23A0E" w:rsidRPr="003970C4" w:rsidRDefault="00C23A0E" w:rsidP="009965D9">
            <w:pPr>
              <w:jc w:val="center"/>
            </w:pPr>
            <w:r>
              <w:t>3</w:t>
            </w:r>
          </w:p>
        </w:tc>
        <w:tc>
          <w:tcPr>
            <w:tcW w:w="1276" w:type="dxa"/>
            <w:tcBorders>
              <w:top w:val="single" w:sz="4" w:space="0" w:color="auto"/>
              <w:left w:val="single" w:sz="4" w:space="0" w:color="auto"/>
              <w:bottom w:val="single" w:sz="4" w:space="0" w:color="auto"/>
              <w:right w:val="single" w:sz="4" w:space="0" w:color="auto"/>
            </w:tcBorders>
          </w:tcPr>
          <w:p w14:paraId="6E8D0919" w14:textId="77777777" w:rsidR="00C23A0E" w:rsidRPr="003970C4" w:rsidRDefault="00C23A0E" w:rsidP="009965D9">
            <w:pPr>
              <w:jc w:val="center"/>
            </w:pPr>
            <w:r w:rsidRPr="003970C4">
              <w:t>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tcPr>
          <w:p w14:paraId="33A2F1C7" w14:textId="77777777" w:rsidR="00C23A0E" w:rsidRPr="003970C4" w:rsidRDefault="00C23A0E" w:rsidP="009965D9">
            <w:pPr>
              <w:jc w:val="center"/>
            </w:pPr>
            <w:r>
              <w:t>6</w:t>
            </w:r>
          </w:p>
        </w:tc>
        <w:tc>
          <w:tcPr>
            <w:tcW w:w="1230" w:type="dxa"/>
            <w:tcBorders>
              <w:top w:val="single" w:sz="4" w:space="0" w:color="auto"/>
              <w:left w:val="single" w:sz="4" w:space="0" w:color="auto"/>
              <w:bottom w:val="single" w:sz="4" w:space="0" w:color="auto"/>
              <w:right w:val="single" w:sz="4" w:space="0" w:color="auto"/>
            </w:tcBorders>
            <w:hideMark/>
          </w:tcPr>
          <w:p w14:paraId="0D223623" w14:textId="77777777" w:rsidR="00C23A0E" w:rsidRPr="003970C4" w:rsidRDefault="00C23A0E" w:rsidP="009965D9">
            <w:pPr>
              <w:jc w:val="center"/>
            </w:pPr>
            <w:r>
              <w:t>3</w:t>
            </w:r>
          </w:p>
        </w:tc>
        <w:tc>
          <w:tcPr>
            <w:tcW w:w="1230" w:type="dxa"/>
            <w:tcBorders>
              <w:top w:val="single" w:sz="4" w:space="0" w:color="auto"/>
              <w:left w:val="single" w:sz="4" w:space="0" w:color="auto"/>
              <w:bottom w:val="single" w:sz="4" w:space="0" w:color="auto"/>
              <w:right w:val="single" w:sz="4" w:space="0" w:color="auto"/>
            </w:tcBorders>
            <w:hideMark/>
          </w:tcPr>
          <w:p w14:paraId="7483A432" w14:textId="77777777" w:rsidR="00C23A0E" w:rsidRPr="003970C4" w:rsidRDefault="00C23A0E" w:rsidP="009965D9">
            <w:pPr>
              <w:jc w:val="center"/>
            </w:pPr>
            <w:r w:rsidRPr="003970C4">
              <w:t>2</w:t>
            </w:r>
          </w:p>
        </w:tc>
        <w:tc>
          <w:tcPr>
            <w:tcW w:w="1231" w:type="dxa"/>
            <w:tcBorders>
              <w:top w:val="single" w:sz="4" w:space="0" w:color="auto"/>
              <w:left w:val="single" w:sz="4" w:space="0" w:color="auto"/>
              <w:bottom w:val="single" w:sz="4" w:space="0" w:color="auto"/>
              <w:right w:val="single" w:sz="4" w:space="0" w:color="auto"/>
            </w:tcBorders>
            <w:shd w:val="clear" w:color="auto" w:fill="FFFF00"/>
            <w:hideMark/>
          </w:tcPr>
          <w:p w14:paraId="793EF6F1" w14:textId="77777777" w:rsidR="00C23A0E" w:rsidRPr="003970C4" w:rsidRDefault="00C23A0E" w:rsidP="009965D9">
            <w:pPr>
              <w:jc w:val="center"/>
            </w:pPr>
            <w:r>
              <w:t>6</w:t>
            </w:r>
          </w:p>
        </w:tc>
      </w:tr>
      <w:tr w:rsidR="00C23A0E" w:rsidRPr="00A20CD9" w14:paraId="3F97D06D" w14:textId="77777777" w:rsidTr="009965D9">
        <w:tc>
          <w:tcPr>
            <w:tcW w:w="9782" w:type="dxa"/>
            <w:gridSpan w:val="8"/>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A62DAA3" w14:textId="77777777" w:rsidR="00C23A0E" w:rsidRPr="003970C4" w:rsidRDefault="00C23A0E" w:rsidP="009965D9">
            <w:pPr>
              <w:rPr>
                <w:b/>
              </w:rPr>
            </w:pPr>
            <w:r w:rsidRPr="003970C4">
              <w:rPr>
                <w:b/>
              </w:rPr>
              <w:t xml:space="preserve">Overview of changes to controls/actions </w:t>
            </w:r>
          </w:p>
          <w:p w14:paraId="3D6AA70F" w14:textId="77777777" w:rsidR="00C23A0E" w:rsidRPr="003970C4" w:rsidRDefault="00C23A0E" w:rsidP="009965D9">
            <w:r w:rsidRPr="003970C4">
              <w:t>(text marked in red in full risk which can be found in Appendix 3.</w:t>
            </w:r>
          </w:p>
        </w:tc>
      </w:tr>
      <w:tr w:rsidR="00C23A0E" w:rsidRPr="00A20CD9" w14:paraId="7CC6A1E4"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3E23C79B" w14:textId="77777777" w:rsidR="00C23A0E" w:rsidRPr="003970C4" w:rsidRDefault="00C23A0E" w:rsidP="009965D9">
            <w:pPr>
              <w:rPr>
                <w:b/>
              </w:rPr>
            </w:pPr>
            <w:r w:rsidRPr="003970C4">
              <w:rPr>
                <w:b/>
              </w:rPr>
              <w:t>Controls</w:t>
            </w:r>
          </w:p>
        </w:tc>
        <w:tc>
          <w:tcPr>
            <w:tcW w:w="7519" w:type="dxa"/>
            <w:gridSpan w:val="7"/>
            <w:tcBorders>
              <w:top w:val="single" w:sz="4" w:space="0" w:color="auto"/>
              <w:left w:val="single" w:sz="4" w:space="0" w:color="auto"/>
              <w:bottom w:val="single" w:sz="4" w:space="0" w:color="auto"/>
              <w:right w:val="single" w:sz="4" w:space="0" w:color="auto"/>
            </w:tcBorders>
            <w:hideMark/>
          </w:tcPr>
          <w:p w14:paraId="7DAD4F42" w14:textId="77777777" w:rsidR="00C23A0E" w:rsidRPr="000771F0" w:rsidRDefault="00C23A0E" w:rsidP="009965D9">
            <w:r w:rsidRPr="000771F0">
              <w:t xml:space="preserve">HPSS Directorate meeting identifies and escalates issues to LINC Programme Board. DHCW have procured, developed and implemented a LIMS. </w:t>
            </w:r>
          </w:p>
        </w:tc>
      </w:tr>
      <w:tr w:rsidR="00C23A0E" w:rsidRPr="00A20CD9" w14:paraId="6344A038"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6B3D9F09" w14:textId="77777777" w:rsidR="00C23A0E" w:rsidRPr="003970C4" w:rsidRDefault="00C23A0E" w:rsidP="009965D9">
            <w:pPr>
              <w:rPr>
                <w:b/>
              </w:rPr>
            </w:pPr>
            <w:r w:rsidRPr="003970C4">
              <w:rPr>
                <w:b/>
              </w:rPr>
              <w:t>Actions</w:t>
            </w:r>
          </w:p>
        </w:tc>
        <w:tc>
          <w:tcPr>
            <w:tcW w:w="7519" w:type="dxa"/>
            <w:gridSpan w:val="7"/>
            <w:tcBorders>
              <w:top w:val="single" w:sz="4" w:space="0" w:color="auto"/>
              <w:left w:val="single" w:sz="4" w:space="0" w:color="auto"/>
              <w:bottom w:val="single" w:sz="4" w:space="0" w:color="auto"/>
              <w:right w:val="single" w:sz="4" w:space="0" w:color="auto"/>
            </w:tcBorders>
            <w:hideMark/>
          </w:tcPr>
          <w:p w14:paraId="360B1C2C" w14:textId="77777777" w:rsidR="00C23A0E" w:rsidRPr="000771F0" w:rsidRDefault="00C23A0E" w:rsidP="009965D9">
            <w:r w:rsidRPr="000771F0">
              <w:t>Communication with LINC colleagues and at screening LDP. Issues and risks documented and escalated within LINC and to DLT. Complete tasks assigned to us and engage with the process.</w:t>
            </w:r>
          </w:p>
        </w:tc>
      </w:tr>
      <w:tr w:rsidR="00C23A0E" w:rsidRPr="00A20CD9" w14:paraId="44442F36" w14:textId="77777777" w:rsidTr="009965D9">
        <w:tc>
          <w:tcPr>
            <w:tcW w:w="2263" w:type="dxa"/>
            <w:tcBorders>
              <w:top w:val="single" w:sz="4" w:space="0" w:color="auto"/>
              <w:left w:val="single" w:sz="4" w:space="0" w:color="auto"/>
              <w:bottom w:val="single" w:sz="4" w:space="0" w:color="auto"/>
              <w:right w:val="single" w:sz="4" w:space="0" w:color="auto"/>
            </w:tcBorders>
            <w:hideMark/>
          </w:tcPr>
          <w:p w14:paraId="5AC3752F" w14:textId="77777777" w:rsidR="00C23A0E" w:rsidRPr="003970C4" w:rsidRDefault="00C23A0E" w:rsidP="009965D9">
            <w:pPr>
              <w:rPr>
                <w:b/>
              </w:rPr>
            </w:pPr>
            <w:r w:rsidRPr="003970C4">
              <w:rPr>
                <w:b/>
              </w:rPr>
              <w:t>Opportunities</w:t>
            </w:r>
          </w:p>
        </w:tc>
        <w:tc>
          <w:tcPr>
            <w:tcW w:w="7519" w:type="dxa"/>
            <w:gridSpan w:val="7"/>
            <w:tcBorders>
              <w:top w:val="single" w:sz="4" w:space="0" w:color="auto"/>
              <w:left w:val="single" w:sz="4" w:space="0" w:color="auto"/>
              <w:bottom w:val="single" w:sz="4" w:space="0" w:color="auto"/>
              <w:right w:val="single" w:sz="4" w:space="0" w:color="auto"/>
            </w:tcBorders>
            <w:hideMark/>
          </w:tcPr>
          <w:p w14:paraId="17737B0C" w14:textId="77777777" w:rsidR="00C23A0E" w:rsidRPr="000771F0" w:rsidRDefault="00C23A0E" w:rsidP="009965D9">
            <w:r w:rsidRPr="000771F0">
              <w:t xml:space="preserve">None identified </w:t>
            </w:r>
          </w:p>
        </w:tc>
      </w:tr>
      <w:tr w:rsidR="008541B5" w:rsidRPr="00A20CD9" w14:paraId="17711064" w14:textId="77777777" w:rsidTr="009965D9">
        <w:tc>
          <w:tcPr>
            <w:tcW w:w="2263" w:type="dxa"/>
            <w:tcBorders>
              <w:top w:val="single" w:sz="4" w:space="0" w:color="auto"/>
              <w:left w:val="single" w:sz="4" w:space="0" w:color="auto"/>
              <w:bottom w:val="single" w:sz="4" w:space="0" w:color="auto"/>
              <w:right w:val="single" w:sz="4" w:space="0" w:color="auto"/>
            </w:tcBorders>
          </w:tcPr>
          <w:p w14:paraId="54A05491" w14:textId="1ECA2B46" w:rsidR="008541B5" w:rsidRPr="003970C4" w:rsidRDefault="008541B5" w:rsidP="008541B5">
            <w:pPr>
              <w:rPr>
                <w:b/>
              </w:rPr>
            </w:pPr>
            <w:r w:rsidRPr="00385A32">
              <w:rPr>
                <w:b/>
              </w:rPr>
              <w:t xml:space="preserve">Committee consideration </w:t>
            </w:r>
          </w:p>
        </w:tc>
        <w:tc>
          <w:tcPr>
            <w:tcW w:w="7519" w:type="dxa"/>
            <w:gridSpan w:val="7"/>
            <w:tcBorders>
              <w:top w:val="single" w:sz="4" w:space="0" w:color="auto"/>
              <w:left w:val="single" w:sz="4" w:space="0" w:color="auto"/>
              <w:bottom w:val="single" w:sz="4" w:space="0" w:color="auto"/>
              <w:right w:val="single" w:sz="4" w:space="0" w:color="auto"/>
            </w:tcBorders>
          </w:tcPr>
          <w:p w14:paraId="25D92BC6" w14:textId="4D5AA699" w:rsidR="008541B5" w:rsidRPr="000771F0" w:rsidRDefault="008541B5" w:rsidP="009965D9"/>
        </w:tc>
      </w:tr>
    </w:tbl>
    <w:p w14:paraId="1A5943FD" w14:textId="39A6AD0C" w:rsidR="00C23A0E" w:rsidRPr="00C23A0E" w:rsidRDefault="000B3826" w:rsidP="009965D9">
      <w:pPr>
        <w:pStyle w:val="Heading1"/>
        <w:numPr>
          <w:ilvl w:val="0"/>
          <w:numId w:val="2"/>
        </w:numPr>
      </w:pPr>
      <w:r w:rsidRPr="00C23A0E">
        <w:rPr>
          <w:szCs w:val="24"/>
        </w:rPr>
        <w:t>Additional Consideration</w:t>
      </w:r>
      <w:r>
        <w:rPr>
          <w:szCs w:val="24"/>
        </w:rPr>
        <w:t>s</w:t>
      </w:r>
    </w:p>
    <w:p w14:paraId="2EC8F447" w14:textId="77777777" w:rsidR="000B3826" w:rsidRDefault="000B3826" w:rsidP="000B3826"/>
    <w:p w14:paraId="6E50193D" w14:textId="77777777" w:rsidR="000B3826" w:rsidRDefault="000B3826" w:rsidP="000B3826">
      <w:r>
        <w:t>The following section details any additional considerations for this Board.</w:t>
      </w:r>
    </w:p>
    <w:p w14:paraId="147336DD" w14:textId="26B981E4" w:rsidR="00E02ED3" w:rsidRDefault="00E02ED3" w:rsidP="00E02ED3">
      <w:pPr>
        <w:pStyle w:val="Heading1"/>
        <w:numPr>
          <w:ilvl w:val="1"/>
          <w:numId w:val="2"/>
        </w:numPr>
        <w:ind w:left="0" w:firstLine="0"/>
        <w:rPr>
          <w:szCs w:val="24"/>
        </w:rPr>
      </w:pPr>
      <w:r>
        <w:rPr>
          <w:szCs w:val="24"/>
        </w:rPr>
        <w:t>New Risks</w:t>
      </w:r>
    </w:p>
    <w:p w14:paraId="35B8BED4" w14:textId="3E163D7A" w:rsidR="000721E4" w:rsidRDefault="000721E4" w:rsidP="000721E4"/>
    <w:p w14:paraId="76414071" w14:textId="598591EC" w:rsidR="000721E4" w:rsidRDefault="000721E4" w:rsidP="000721E4">
      <w:r>
        <w:t xml:space="preserve">The following risk has been added to the Register since it was last received by the Board: </w:t>
      </w:r>
    </w:p>
    <w:p w14:paraId="743BFB80" w14:textId="77777777" w:rsidR="00060F4B" w:rsidRDefault="00060F4B" w:rsidP="000721E4"/>
    <w:p w14:paraId="3715D7FB" w14:textId="5425377A" w:rsidR="000721E4" w:rsidRPr="000721E4" w:rsidRDefault="000721E4" w:rsidP="009965D9">
      <w:pPr>
        <w:pStyle w:val="ListParagraph"/>
        <w:numPr>
          <w:ilvl w:val="0"/>
          <w:numId w:val="17"/>
        </w:numPr>
      </w:pPr>
      <w:r>
        <w:t>Risk 303 - There is a risk that the LINC process will not allow us to develop a product that meets our needs and is an improvement on the system currently in place. There is also a chance that the LINC programme will not be able to deliver and a Plan B will need to be put in place. This is a risk for both screening and microbiology.</w:t>
      </w:r>
    </w:p>
    <w:p w14:paraId="2B60B56F" w14:textId="52313E04" w:rsidR="00E02ED3" w:rsidRDefault="00E02ED3" w:rsidP="00E02ED3">
      <w:pPr>
        <w:pStyle w:val="Heading1"/>
        <w:numPr>
          <w:ilvl w:val="1"/>
          <w:numId w:val="2"/>
        </w:numPr>
        <w:ind w:left="0" w:firstLine="0"/>
        <w:rPr>
          <w:szCs w:val="24"/>
        </w:rPr>
      </w:pPr>
      <w:r>
        <w:rPr>
          <w:szCs w:val="24"/>
        </w:rPr>
        <w:t>Risks escalated or de-escalated</w:t>
      </w:r>
    </w:p>
    <w:p w14:paraId="4A977AB0" w14:textId="77777777" w:rsidR="000721E4" w:rsidRDefault="000721E4" w:rsidP="000721E4"/>
    <w:p w14:paraId="7A859688" w14:textId="36C0C45D" w:rsidR="000721E4" w:rsidRDefault="000721E4" w:rsidP="000721E4">
      <w:r>
        <w:t>The following risk has been removed from the Register since it was last received by the Board:</w:t>
      </w:r>
    </w:p>
    <w:p w14:paraId="1C39EEB7" w14:textId="77777777" w:rsidR="00060F4B" w:rsidRDefault="00060F4B" w:rsidP="000721E4"/>
    <w:p w14:paraId="61535F62" w14:textId="309997C1" w:rsidR="00E02ED3" w:rsidRDefault="000721E4" w:rsidP="000721E4">
      <w:pPr>
        <w:pStyle w:val="ListParagraph"/>
        <w:numPr>
          <w:ilvl w:val="0"/>
          <w:numId w:val="31"/>
        </w:numPr>
      </w:pPr>
      <w:r>
        <w:t xml:space="preserve">Risk 302 - </w:t>
      </w:r>
      <w:r w:rsidRPr="001269C5">
        <w:t>There is a risk that PHW will be unable to deliver key capital projects detailed within our IMTP, deliver our planned capital replacement programme or undertake remedial works for our services and estate.</w:t>
      </w:r>
    </w:p>
    <w:p w14:paraId="0F5F9D49" w14:textId="7DBB7E8D" w:rsidR="008541B5" w:rsidRDefault="008541B5" w:rsidP="008541B5"/>
    <w:p w14:paraId="1CF2E15C" w14:textId="70074091" w:rsidR="008541B5" w:rsidRPr="002C4FF4" w:rsidRDefault="008541B5" w:rsidP="008541B5">
      <w:r>
        <w:t>The Business Executive Team proposed that corporate risk 208, whilst sitting primarily within the remit of the Quality, Safety and Improvement Committee, should also be presented to the People and Organisational Development Committee for additional scrutiny due to the recruitment considerations.  The People and Organisational Development Committee first considered the risk in March 2023.</w:t>
      </w:r>
    </w:p>
    <w:p w14:paraId="22D3185E" w14:textId="77777777" w:rsidR="00011855" w:rsidRDefault="00011855" w:rsidP="002C60C9">
      <w:pPr>
        <w:pStyle w:val="Default"/>
        <w:rPr>
          <w:color w:val="auto"/>
        </w:rPr>
      </w:pPr>
    </w:p>
    <w:p w14:paraId="03D65D57" w14:textId="77777777" w:rsidR="007F70E4" w:rsidRPr="00386641" w:rsidRDefault="007F70E4" w:rsidP="007F70E4">
      <w:pPr>
        <w:pStyle w:val="Heading2"/>
        <w:numPr>
          <w:ilvl w:val="0"/>
          <w:numId w:val="2"/>
        </w:numPr>
        <w:rPr>
          <w:szCs w:val="24"/>
        </w:rPr>
      </w:pPr>
      <w:r w:rsidRPr="00386641">
        <w:rPr>
          <w:szCs w:val="24"/>
        </w:rPr>
        <w:t>Well-being of Future Generations (Wales) Act 2015</w:t>
      </w:r>
    </w:p>
    <w:p w14:paraId="51C788B4" w14:textId="77777777" w:rsidR="007F70E4" w:rsidRPr="00386641" w:rsidRDefault="007F70E4" w:rsidP="007F70E4">
      <w:pPr>
        <w:rPr>
          <w:szCs w:val="24"/>
        </w:rPr>
      </w:pPr>
    </w:p>
    <w:p w14:paraId="6ED440C6" w14:textId="77777777" w:rsidR="007F70E4" w:rsidRPr="00386641" w:rsidRDefault="007F70E4" w:rsidP="007F70E4">
      <w:pPr>
        <w:rPr>
          <w:szCs w:val="24"/>
        </w:rPr>
      </w:pPr>
      <w:r w:rsidRPr="00386641">
        <w:rPr>
          <w:bCs/>
          <w:szCs w:val="24"/>
        </w:rPr>
        <w:t xml:space="preserve">No decision required. </w:t>
      </w:r>
    </w:p>
    <w:p w14:paraId="525F7083" w14:textId="77777777" w:rsidR="00B6224D" w:rsidRDefault="00B6224D" w:rsidP="009A6FD6">
      <w:pPr>
        <w:rPr>
          <w:b/>
        </w:rPr>
      </w:pPr>
    </w:p>
    <w:p w14:paraId="5FC5CE89" w14:textId="5511F972" w:rsidR="007F70E4" w:rsidRPr="00B6224D" w:rsidRDefault="009A6FD6" w:rsidP="00B6224D">
      <w:pPr>
        <w:pStyle w:val="ListParagraph"/>
        <w:numPr>
          <w:ilvl w:val="0"/>
          <w:numId w:val="2"/>
        </w:numPr>
        <w:rPr>
          <w:b/>
          <w:szCs w:val="24"/>
        </w:rPr>
      </w:pPr>
      <w:r w:rsidRPr="00B6224D">
        <w:rPr>
          <w:b/>
        </w:rPr>
        <w:t>R</w:t>
      </w:r>
      <w:r w:rsidR="007F70E4" w:rsidRPr="00B6224D">
        <w:rPr>
          <w:b/>
          <w:szCs w:val="24"/>
        </w:rPr>
        <w:t>ecommendation</w:t>
      </w:r>
    </w:p>
    <w:p w14:paraId="4291391B" w14:textId="77777777" w:rsidR="007F70E4" w:rsidRPr="00386641" w:rsidRDefault="007F70E4" w:rsidP="007F70E4">
      <w:pPr>
        <w:rPr>
          <w:szCs w:val="24"/>
        </w:rPr>
      </w:pPr>
    </w:p>
    <w:p w14:paraId="2718D6AD" w14:textId="65646EA7" w:rsidR="0025299A" w:rsidRDefault="0025299A" w:rsidP="0025299A">
      <w:pPr>
        <w:rPr>
          <w:szCs w:val="24"/>
        </w:rPr>
      </w:pPr>
      <w:r>
        <w:rPr>
          <w:szCs w:val="24"/>
        </w:rPr>
        <w:t>The Board</w:t>
      </w:r>
      <w:r w:rsidRPr="00DB686C">
        <w:rPr>
          <w:szCs w:val="24"/>
        </w:rPr>
        <w:t xml:space="preserve"> is asked to: </w:t>
      </w:r>
    </w:p>
    <w:p w14:paraId="58F5E2A5" w14:textId="77777777" w:rsidR="0025299A" w:rsidRPr="00DB686C" w:rsidRDefault="0025299A" w:rsidP="0025299A">
      <w:pPr>
        <w:rPr>
          <w:szCs w:val="24"/>
        </w:rPr>
      </w:pPr>
    </w:p>
    <w:p w14:paraId="227500D7" w14:textId="46F40065" w:rsidR="00B0115E" w:rsidRPr="000B3826" w:rsidRDefault="0025299A" w:rsidP="00C7678E">
      <w:pPr>
        <w:pStyle w:val="ListParagraph"/>
        <w:numPr>
          <w:ilvl w:val="0"/>
          <w:numId w:val="17"/>
        </w:numPr>
        <w:rPr>
          <w:szCs w:val="24"/>
        </w:rPr>
      </w:pPr>
      <w:r>
        <w:rPr>
          <w:b/>
          <w:szCs w:val="24"/>
        </w:rPr>
        <w:t>Receive</w:t>
      </w:r>
      <w:r>
        <w:rPr>
          <w:szCs w:val="24"/>
        </w:rPr>
        <w:t xml:space="preserve"> the </w:t>
      </w:r>
      <w:r w:rsidR="002C4FF4">
        <w:rPr>
          <w:szCs w:val="24"/>
        </w:rPr>
        <w:t xml:space="preserve">Strategic and </w:t>
      </w:r>
      <w:r>
        <w:rPr>
          <w:szCs w:val="24"/>
        </w:rPr>
        <w:t>Corporate Risk Register</w:t>
      </w:r>
      <w:r w:rsidR="002C4FF4">
        <w:rPr>
          <w:szCs w:val="24"/>
        </w:rPr>
        <w:t>s</w:t>
      </w:r>
      <w:r>
        <w:rPr>
          <w:szCs w:val="24"/>
        </w:rPr>
        <w:t xml:space="preserve"> for the pu</w:t>
      </w:r>
      <w:r w:rsidR="00B25B22">
        <w:rPr>
          <w:szCs w:val="24"/>
        </w:rPr>
        <w:t>rposes of scrutiny and assurance.</w:t>
      </w:r>
    </w:p>
    <w:sectPr w:rsidR="00B0115E" w:rsidRPr="000B3826" w:rsidSect="000B3826">
      <w:pgSz w:w="11906" w:h="16838"/>
      <w:pgMar w:top="1440" w:right="1276"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883B3" w14:textId="77777777" w:rsidR="00AC4DE5" w:rsidRDefault="00AC4DE5" w:rsidP="00497F39">
      <w:r>
        <w:separator/>
      </w:r>
    </w:p>
  </w:endnote>
  <w:endnote w:type="continuationSeparator" w:id="0">
    <w:p w14:paraId="0915FA42" w14:textId="77777777" w:rsidR="00AC4DE5" w:rsidRDefault="00AC4DE5" w:rsidP="00497F39">
      <w:r>
        <w:continuationSeparator/>
      </w:r>
    </w:p>
  </w:endnote>
  <w:endnote w:type="continuationNotice" w:id="1">
    <w:p w14:paraId="2D03AAA9" w14:textId="77777777" w:rsidR="00AC4DE5" w:rsidRDefault="00AC4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907"/>
      <w:gridCol w:w="2995"/>
    </w:tblGrid>
    <w:tr w:rsidR="00060F4B" w:rsidRPr="00511AFF" w14:paraId="24434371" w14:textId="77777777" w:rsidTr="00DC07A2">
      <w:tc>
        <w:tcPr>
          <w:tcW w:w="3114" w:type="dxa"/>
        </w:tcPr>
        <w:p w14:paraId="5E224FC8" w14:textId="025B52DB" w:rsidR="00060F4B" w:rsidRPr="00511AFF" w:rsidRDefault="00060F4B" w:rsidP="00A9432D">
          <w:pPr>
            <w:pStyle w:val="Footer"/>
            <w:tabs>
              <w:tab w:val="right" w:pos="9090"/>
            </w:tabs>
            <w:jc w:val="center"/>
            <w:rPr>
              <w:b/>
              <w:sz w:val="20"/>
            </w:rPr>
          </w:pPr>
          <w:r w:rsidRPr="00511AFF">
            <w:rPr>
              <w:b/>
              <w:sz w:val="20"/>
            </w:rPr>
            <w:t xml:space="preserve">Date: </w:t>
          </w:r>
          <w:r w:rsidR="00524FF6">
            <w:rPr>
              <w:sz w:val="20"/>
            </w:rPr>
            <w:t>23</w:t>
          </w:r>
          <w:r>
            <w:rPr>
              <w:sz w:val="20"/>
            </w:rPr>
            <w:t xml:space="preserve"> March 2023</w:t>
          </w:r>
        </w:p>
      </w:tc>
      <w:tc>
        <w:tcPr>
          <w:tcW w:w="2907" w:type="dxa"/>
        </w:tcPr>
        <w:p w14:paraId="655B96BA" w14:textId="53FDD7D6" w:rsidR="00060F4B" w:rsidRPr="00511AFF" w:rsidRDefault="00060F4B" w:rsidP="00100FF6">
          <w:pPr>
            <w:pStyle w:val="Footer"/>
            <w:tabs>
              <w:tab w:val="center" w:pos="1433"/>
              <w:tab w:val="right" w:pos="2866"/>
              <w:tab w:val="right" w:pos="9090"/>
            </w:tabs>
            <w:jc w:val="center"/>
            <w:rPr>
              <w:b/>
              <w:sz w:val="20"/>
            </w:rPr>
          </w:pPr>
          <w:r w:rsidRPr="00511AFF">
            <w:rPr>
              <w:b/>
              <w:sz w:val="20"/>
            </w:rPr>
            <w:t>Version:</w:t>
          </w:r>
          <w:r>
            <w:rPr>
              <w:sz w:val="20"/>
            </w:rPr>
            <w:t xml:space="preserve"> 2.0</w:t>
          </w:r>
        </w:p>
      </w:tc>
      <w:tc>
        <w:tcPr>
          <w:tcW w:w="2995" w:type="dxa"/>
        </w:tcPr>
        <w:p w14:paraId="05B24D11" w14:textId="04A6CC69" w:rsidR="00060F4B" w:rsidRPr="00511AFF" w:rsidRDefault="00060F4B" w:rsidP="00FD6DBE">
          <w:pPr>
            <w:pStyle w:val="Footer"/>
            <w:tabs>
              <w:tab w:val="clear" w:pos="4513"/>
              <w:tab w:val="center" w:pos="4500"/>
              <w:tab w:val="right" w:pos="9090"/>
            </w:tabs>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38510B">
            <w:rPr>
              <w:rStyle w:val="PageNumber"/>
              <w:noProof/>
              <w:sz w:val="20"/>
            </w:rPr>
            <w:t>3</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38510B">
            <w:rPr>
              <w:rStyle w:val="PageNumber"/>
              <w:noProof/>
              <w:sz w:val="20"/>
            </w:rPr>
            <w:t>19</w:t>
          </w:r>
          <w:r w:rsidRPr="00511AFF">
            <w:rPr>
              <w:rStyle w:val="PageNumber"/>
              <w:sz w:val="20"/>
            </w:rPr>
            <w:fldChar w:fldCharType="end"/>
          </w:r>
        </w:p>
      </w:tc>
    </w:tr>
  </w:tbl>
  <w:p w14:paraId="437F1DB8" w14:textId="77777777" w:rsidR="00060F4B" w:rsidRPr="00FA7943" w:rsidRDefault="00060F4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5E8B8" w14:textId="77777777" w:rsidR="00AC4DE5" w:rsidRDefault="00AC4DE5" w:rsidP="00497F39">
      <w:r>
        <w:separator/>
      </w:r>
    </w:p>
  </w:footnote>
  <w:footnote w:type="continuationSeparator" w:id="0">
    <w:p w14:paraId="211E31FB" w14:textId="77777777" w:rsidR="00AC4DE5" w:rsidRDefault="00AC4DE5" w:rsidP="00497F39">
      <w:r>
        <w:continuationSeparator/>
      </w:r>
    </w:p>
  </w:footnote>
  <w:footnote w:type="continuationNotice" w:id="1">
    <w:p w14:paraId="509B9222" w14:textId="77777777" w:rsidR="00AC4DE5" w:rsidRDefault="00AC4DE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B3DB7"/>
    <w:multiLevelType w:val="singleLevel"/>
    <w:tmpl w:val="7E309B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AB3FA6"/>
    <w:multiLevelType w:val="hybridMultilevel"/>
    <w:tmpl w:val="12C8E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83A45"/>
    <w:multiLevelType w:val="hybridMultilevel"/>
    <w:tmpl w:val="2C448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7535F"/>
    <w:multiLevelType w:val="hybridMultilevel"/>
    <w:tmpl w:val="7BA62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B956A7"/>
    <w:multiLevelType w:val="hybridMultilevel"/>
    <w:tmpl w:val="2176E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74834"/>
    <w:multiLevelType w:val="hybridMultilevel"/>
    <w:tmpl w:val="4AF88016"/>
    <w:lvl w:ilvl="0" w:tplc="3ABA4EDE">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5DD0"/>
    <w:multiLevelType w:val="multilevel"/>
    <w:tmpl w:val="88E661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DC2CC0"/>
    <w:multiLevelType w:val="hybridMultilevel"/>
    <w:tmpl w:val="AF44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1CA1"/>
    <w:multiLevelType w:val="hybridMultilevel"/>
    <w:tmpl w:val="4B4AB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D151DC"/>
    <w:multiLevelType w:val="hybridMultilevel"/>
    <w:tmpl w:val="45B0FD90"/>
    <w:lvl w:ilvl="0" w:tplc="3ABA4EDE">
      <w:start w:val="4"/>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7722EA"/>
    <w:multiLevelType w:val="hybridMultilevel"/>
    <w:tmpl w:val="48D20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D0A03"/>
    <w:multiLevelType w:val="hybridMultilevel"/>
    <w:tmpl w:val="426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064804"/>
    <w:multiLevelType w:val="hybridMultilevel"/>
    <w:tmpl w:val="C5447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81F22"/>
    <w:multiLevelType w:val="hybridMultilevel"/>
    <w:tmpl w:val="127EF3B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6C556C8"/>
    <w:multiLevelType w:val="hybridMultilevel"/>
    <w:tmpl w:val="213C5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F7A4797"/>
    <w:multiLevelType w:val="hybridMultilevel"/>
    <w:tmpl w:val="6F1E3CBA"/>
    <w:lvl w:ilvl="0" w:tplc="27FA1472">
      <w:start w:val="1"/>
      <w:numFmt w:val="bullet"/>
      <w:lvlText w:val=""/>
      <w:lvlJc w:val="left"/>
      <w:pPr>
        <w:ind w:left="720" w:hanging="360"/>
      </w:pPr>
      <w:rPr>
        <w:rFonts w:ascii="Symbol" w:hAnsi="Symbol" w:hint="default"/>
      </w:rPr>
    </w:lvl>
    <w:lvl w:ilvl="1" w:tplc="9A985530">
      <w:start w:val="1"/>
      <w:numFmt w:val="bullet"/>
      <w:lvlText w:val="o"/>
      <w:lvlJc w:val="left"/>
      <w:pPr>
        <w:ind w:left="1440" w:hanging="360"/>
      </w:pPr>
      <w:rPr>
        <w:rFonts w:ascii="Courier New" w:hAnsi="Courier New" w:hint="default"/>
      </w:rPr>
    </w:lvl>
    <w:lvl w:ilvl="2" w:tplc="80EA1ADC">
      <w:start w:val="1"/>
      <w:numFmt w:val="bullet"/>
      <w:lvlText w:val=""/>
      <w:lvlJc w:val="left"/>
      <w:pPr>
        <w:ind w:left="2160" w:hanging="360"/>
      </w:pPr>
      <w:rPr>
        <w:rFonts w:ascii="Wingdings" w:hAnsi="Wingdings" w:hint="default"/>
      </w:rPr>
    </w:lvl>
    <w:lvl w:ilvl="3" w:tplc="CBDEBCAE">
      <w:start w:val="1"/>
      <w:numFmt w:val="bullet"/>
      <w:lvlText w:val=""/>
      <w:lvlJc w:val="left"/>
      <w:pPr>
        <w:ind w:left="2880" w:hanging="360"/>
      </w:pPr>
      <w:rPr>
        <w:rFonts w:ascii="Symbol" w:hAnsi="Symbol" w:hint="default"/>
      </w:rPr>
    </w:lvl>
    <w:lvl w:ilvl="4" w:tplc="CF5EC08E">
      <w:start w:val="1"/>
      <w:numFmt w:val="bullet"/>
      <w:lvlText w:val="o"/>
      <w:lvlJc w:val="left"/>
      <w:pPr>
        <w:ind w:left="3600" w:hanging="360"/>
      </w:pPr>
      <w:rPr>
        <w:rFonts w:ascii="Courier New" w:hAnsi="Courier New" w:hint="default"/>
      </w:rPr>
    </w:lvl>
    <w:lvl w:ilvl="5" w:tplc="A8E6F756">
      <w:start w:val="1"/>
      <w:numFmt w:val="bullet"/>
      <w:lvlText w:val=""/>
      <w:lvlJc w:val="left"/>
      <w:pPr>
        <w:ind w:left="4320" w:hanging="360"/>
      </w:pPr>
      <w:rPr>
        <w:rFonts w:ascii="Wingdings" w:hAnsi="Wingdings" w:hint="default"/>
      </w:rPr>
    </w:lvl>
    <w:lvl w:ilvl="6" w:tplc="2E9A577C">
      <w:start w:val="1"/>
      <w:numFmt w:val="bullet"/>
      <w:lvlText w:val=""/>
      <w:lvlJc w:val="left"/>
      <w:pPr>
        <w:ind w:left="5040" w:hanging="360"/>
      </w:pPr>
      <w:rPr>
        <w:rFonts w:ascii="Symbol" w:hAnsi="Symbol" w:hint="default"/>
      </w:rPr>
    </w:lvl>
    <w:lvl w:ilvl="7" w:tplc="A72A90E8">
      <w:start w:val="1"/>
      <w:numFmt w:val="bullet"/>
      <w:lvlText w:val="o"/>
      <w:lvlJc w:val="left"/>
      <w:pPr>
        <w:ind w:left="5760" w:hanging="360"/>
      </w:pPr>
      <w:rPr>
        <w:rFonts w:ascii="Courier New" w:hAnsi="Courier New" w:hint="default"/>
      </w:rPr>
    </w:lvl>
    <w:lvl w:ilvl="8" w:tplc="83607E4E">
      <w:start w:val="1"/>
      <w:numFmt w:val="bullet"/>
      <w:lvlText w:val=""/>
      <w:lvlJc w:val="left"/>
      <w:pPr>
        <w:ind w:left="6480" w:hanging="360"/>
      </w:pPr>
      <w:rPr>
        <w:rFonts w:ascii="Wingdings" w:hAnsi="Wingdings" w:hint="default"/>
      </w:rPr>
    </w:lvl>
  </w:abstractNum>
  <w:abstractNum w:abstractNumId="17" w15:restartNumberingAfterBreak="0">
    <w:nsid w:val="4338102C"/>
    <w:multiLevelType w:val="hybridMultilevel"/>
    <w:tmpl w:val="416A0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826A7"/>
    <w:multiLevelType w:val="hybridMultilevel"/>
    <w:tmpl w:val="3592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F0B91"/>
    <w:multiLevelType w:val="hybridMultilevel"/>
    <w:tmpl w:val="BEB82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762232"/>
    <w:multiLevelType w:val="hybridMultilevel"/>
    <w:tmpl w:val="19F04B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38F6C5A"/>
    <w:multiLevelType w:val="hybridMultilevel"/>
    <w:tmpl w:val="6C7A1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003C4D"/>
    <w:multiLevelType w:val="hybridMultilevel"/>
    <w:tmpl w:val="21A632F4"/>
    <w:lvl w:ilvl="0" w:tplc="3550992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DC2A75"/>
    <w:multiLevelType w:val="hybridMultilevel"/>
    <w:tmpl w:val="003E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1A132D"/>
    <w:multiLevelType w:val="hybridMultilevel"/>
    <w:tmpl w:val="EE18A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A56C50"/>
    <w:multiLevelType w:val="hybridMultilevel"/>
    <w:tmpl w:val="0FD4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44148"/>
    <w:multiLevelType w:val="hybridMultilevel"/>
    <w:tmpl w:val="6FCA3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3024E"/>
    <w:multiLevelType w:val="hybridMultilevel"/>
    <w:tmpl w:val="44C25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B3BEC"/>
    <w:multiLevelType w:val="hybridMultilevel"/>
    <w:tmpl w:val="0B484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77AA1"/>
    <w:multiLevelType w:val="multilevel"/>
    <w:tmpl w:val="64B26336"/>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FC234F1"/>
    <w:multiLevelType w:val="hybridMultilevel"/>
    <w:tmpl w:val="635A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131D8D"/>
    <w:multiLevelType w:val="hybridMultilevel"/>
    <w:tmpl w:val="9536E07C"/>
    <w:lvl w:ilvl="0" w:tplc="EC5C0FD4">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2" w15:restartNumberingAfterBreak="0">
    <w:nsid w:val="742B7167"/>
    <w:multiLevelType w:val="hybridMultilevel"/>
    <w:tmpl w:val="B7CA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62166E"/>
    <w:multiLevelType w:val="hybridMultilevel"/>
    <w:tmpl w:val="4B9E4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7C15E8"/>
    <w:multiLevelType w:val="hybridMultilevel"/>
    <w:tmpl w:val="239098EA"/>
    <w:lvl w:ilvl="0" w:tplc="3ABA4EDE">
      <w:start w:val="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0"/>
  </w:num>
  <w:num w:numId="3">
    <w:abstractNumId w:val="34"/>
  </w:num>
  <w:num w:numId="4">
    <w:abstractNumId w:val="22"/>
  </w:num>
  <w:num w:numId="5">
    <w:abstractNumId w:val="0"/>
  </w:num>
  <w:num w:numId="6">
    <w:abstractNumId w:val="9"/>
  </w:num>
  <w:num w:numId="7">
    <w:abstractNumId w:val="5"/>
  </w:num>
  <w:num w:numId="8">
    <w:abstractNumId w:val="21"/>
  </w:num>
  <w:num w:numId="9">
    <w:abstractNumId w:val="26"/>
  </w:num>
  <w:num w:numId="10">
    <w:abstractNumId w:val="4"/>
  </w:num>
  <w:num w:numId="11">
    <w:abstractNumId w:val="28"/>
  </w:num>
  <w:num w:numId="12">
    <w:abstractNumId w:val="3"/>
  </w:num>
  <w:num w:numId="13">
    <w:abstractNumId w:val="12"/>
  </w:num>
  <w:num w:numId="14">
    <w:abstractNumId w:val="14"/>
  </w:num>
  <w:num w:numId="15">
    <w:abstractNumId w:val="2"/>
  </w:num>
  <w:num w:numId="16">
    <w:abstractNumId w:val="31"/>
  </w:num>
  <w:num w:numId="17">
    <w:abstractNumId w:val="24"/>
  </w:num>
  <w:num w:numId="18">
    <w:abstractNumId w:val="30"/>
  </w:num>
  <w:num w:numId="19">
    <w:abstractNumId w:val="29"/>
  </w:num>
  <w:num w:numId="20">
    <w:abstractNumId w:val="1"/>
  </w:num>
  <w:num w:numId="21">
    <w:abstractNumId w:val="25"/>
  </w:num>
  <w:num w:numId="22">
    <w:abstractNumId w:val="2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num>
  <w:num w:numId="26">
    <w:abstractNumId w:val="20"/>
  </w:num>
  <w:num w:numId="27">
    <w:abstractNumId w:val="8"/>
  </w:num>
  <w:num w:numId="28">
    <w:abstractNumId w:val="19"/>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1"/>
  </w:num>
  <w:num w:numId="32">
    <w:abstractNumId w:val="33"/>
  </w:num>
  <w:num w:numId="33">
    <w:abstractNumId w:val="16"/>
  </w:num>
  <w:num w:numId="34">
    <w:abstractNumId w:val="18"/>
  </w:num>
  <w:num w:numId="35">
    <w:abstractNumId w:val="17"/>
  </w:num>
  <w:num w:numId="36">
    <w:abstractNumId w:val="27"/>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en-GB" w:vendorID="64" w:dllVersion="131078" w:nlCheck="1" w:checkStyle="0"/>
  <w:proofState w:spelling="clean"/>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05ED0"/>
    <w:rsid w:val="00011855"/>
    <w:rsid w:val="000224CF"/>
    <w:rsid w:val="00051CDC"/>
    <w:rsid w:val="00051E74"/>
    <w:rsid w:val="00055941"/>
    <w:rsid w:val="00057CFB"/>
    <w:rsid w:val="00060F4B"/>
    <w:rsid w:val="00064908"/>
    <w:rsid w:val="00064C2F"/>
    <w:rsid w:val="000721E4"/>
    <w:rsid w:val="00081734"/>
    <w:rsid w:val="000852E6"/>
    <w:rsid w:val="00097ACD"/>
    <w:rsid w:val="000A3CB6"/>
    <w:rsid w:val="000B306B"/>
    <w:rsid w:val="000B3826"/>
    <w:rsid w:val="000B747C"/>
    <w:rsid w:val="000C31C7"/>
    <w:rsid w:val="000F01EF"/>
    <w:rsid w:val="000F46F4"/>
    <w:rsid w:val="000F5A72"/>
    <w:rsid w:val="0010049B"/>
    <w:rsid w:val="00100FF6"/>
    <w:rsid w:val="00107659"/>
    <w:rsid w:val="00121679"/>
    <w:rsid w:val="00123AD7"/>
    <w:rsid w:val="00123FD2"/>
    <w:rsid w:val="00126327"/>
    <w:rsid w:val="00126F53"/>
    <w:rsid w:val="001272F6"/>
    <w:rsid w:val="0013075E"/>
    <w:rsid w:val="00133373"/>
    <w:rsid w:val="00136FCB"/>
    <w:rsid w:val="00144C23"/>
    <w:rsid w:val="001574E4"/>
    <w:rsid w:val="00167C0B"/>
    <w:rsid w:val="00171773"/>
    <w:rsid w:val="001A0DAF"/>
    <w:rsid w:val="001A6FAF"/>
    <w:rsid w:val="001B2A97"/>
    <w:rsid w:val="001B3428"/>
    <w:rsid w:val="001C02C6"/>
    <w:rsid w:val="001C305C"/>
    <w:rsid w:val="001C60B5"/>
    <w:rsid w:val="001D18C3"/>
    <w:rsid w:val="001D2ED3"/>
    <w:rsid w:val="001D4758"/>
    <w:rsid w:val="001D63C4"/>
    <w:rsid w:val="001D7EEF"/>
    <w:rsid w:val="001E5D3C"/>
    <w:rsid w:val="001F1B34"/>
    <w:rsid w:val="00202AB8"/>
    <w:rsid w:val="0020482E"/>
    <w:rsid w:val="002102AF"/>
    <w:rsid w:val="00211B9D"/>
    <w:rsid w:val="00214BA4"/>
    <w:rsid w:val="002208EF"/>
    <w:rsid w:val="0022713F"/>
    <w:rsid w:val="0024189E"/>
    <w:rsid w:val="00250088"/>
    <w:rsid w:val="0025299A"/>
    <w:rsid w:val="00254DCF"/>
    <w:rsid w:val="00257CD2"/>
    <w:rsid w:val="0026346B"/>
    <w:rsid w:val="002737E9"/>
    <w:rsid w:val="00273D26"/>
    <w:rsid w:val="00275458"/>
    <w:rsid w:val="0028638B"/>
    <w:rsid w:val="002B0BC9"/>
    <w:rsid w:val="002B712E"/>
    <w:rsid w:val="002C0A83"/>
    <w:rsid w:val="002C170B"/>
    <w:rsid w:val="002C4FF4"/>
    <w:rsid w:val="002C60C9"/>
    <w:rsid w:val="002D11B1"/>
    <w:rsid w:val="002E6258"/>
    <w:rsid w:val="002E739C"/>
    <w:rsid w:val="002F2827"/>
    <w:rsid w:val="003018F5"/>
    <w:rsid w:val="00304FD0"/>
    <w:rsid w:val="00305721"/>
    <w:rsid w:val="00321E73"/>
    <w:rsid w:val="00322D2E"/>
    <w:rsid w:val="00326EC6"/>
    <w:rsid w:val="00335C5D"/>
    <w:rsid w:val="00337864"/>
    <w:rsid w:val="003461AF"/>
    <w:rsid w:val="00371966"/>
    <w:rsid w:val="00375546"/>
    <w:rsid w:val="00375BF0"/>
    <w:rsid w:val="0038510B"/>
    <w:rsid w:val="00386641"/>
    <w:rsid w:val="0039536A"/>
    <w:rsid w:val="00395726"/>
    <w:rsid w:val="0039791B"/>
    <w:rsid w:val="003A3414"/>
    <w:rsid w:val="003B40BB"/>
    <w:rsid w:val="003B7361"/>
    <w:rsid w:val="003B7B09"/>
    <w:rsid w:val="003C6952"/>
    <w:rsid w:val="003D1252"/>
    <w:rsid w:val="003F3D59"/>
    <w:rsid w:val="003F3E7F"/>
    <w:rsid w:val="0040037A"/>
    <w:rsid w:val="004010B0"/>
    <w:rsid w:val="00407604"/>
    <w:rsid w:val="00426335"/>
    <w:rsid w:val="00427779"/>
    <w:rsid w:val="004375CA"/>
    <w:rsid w:val="00444527"/>
    <w:rsid w:val="004540DC"/>
    <w:rsid w:val="0046169C"/>
    <w:rsid w:val="00480353"/>
    <w:rsid w:val="00480C9B"/>
    <w:rsid w:val="004924EB"/>
    <w:rsid w:val="004939C2"/>
    <w:rsid w:val="004972FA"/>
    <w:rsid w:val="00497F39"/>
    <w:rsid w:val="004A4626"/>
    <w:rsid w:val="004A6253"/>
    <w:rsid w:val="004B31A5"/>
    <w:rsid w:val="004B64DF"/>
    <w:rsid w:val="004D632B"/>
    <w:rsid w:val="004E16FA"/>
    <w:rsid w:val="004F24A1"/>
    <w:rsid w:val="00501857"/>
    <w:rsid w:val="00504A87"/>
    <w:rsid w:val="00506C55"/>
    <w:rsid w:val="00514A4A"/>
    <w:rsid w:val="0052328C"/>
    <w:rsid w:val="005243E3"/>
    <w:rsid w:val="00524FF6"/>
    <w:rsid w:val="00536FA4"/>
    <w:rsid w:val="0053736F"/>
    <w:rsid w:val="00544C9E"/>
    <w:rsid w:val="00554429"/>
    <w:rsid w:val="0055720E"/>
    <w:rsid w:val="00557ACD"/>
    <w:rsid w:val="00564789"/>
    <w:rsid w:val="005649D7"/>
    <w:rsid w:val="00565607"/>
    <w:rsid w:val="005767ED"/>
    <w:rsid w:val="00577744"/>
    <w:rsid w:val="00590736"/>
    <w:rsid w:val="005961D6"/>
    <w:rsid w:val="005A5DB4"/>
    <w:rsid w:val="005B0BA8"/>
    <w:rsid w:val="005B4E75"/>
    <w:rsid w:val="005C24A0"/>
    <w:rsid w:val="005C448D"/>
    <w:rsid w:val="005C7D40"/>
    <w:rsid w:val="005E0C34"/>
    <w:rsid w:val="005E2605"/>
    <w:rsid w:val="005E33CB"/>
    <w:rsid w:val="005F3FEF"/>
    <w:rsid w:val="005F5CE4"/>
    <w:rsid w:val="00607476"/>
    <w:rsid w:val="006076EC"/>
    <w:rsid w:val="00611958"/>
    <w:rsid w:val="00613298"/>
    <w:rsid w:val="00616F72"/>
    <w:rsid w:val="00626362"/>
    <w:rsid w:val="00627F7B"/>
    <w:rsid w:val="00630E90"/>
    <w:rsid w:val="006310BB"/>
    <w:rsid w:val="006312E5"/>
    <w:rsid w:val="00634C89"/>
    <w:rsid w:val="006401B0"/>
    <w:rsid w:val="00641315"/>
    <w:rsid w:val="00657B25"/>
    <w:rsid w:val="00660772"/>
    <w:rsid w:val="00672175"/>
    <w:rsid w:val="006742A3"/>
    <w:rsid w:val="00674FE0"/>
    <w:rsid w:val="00680248"/>
    <w:rsid w:val="00680CAE"/>
    <w:rsid w:val="0068275A"/>
    <w:rsid w:val="0068334E"/>
    <w:rsid w:val="00684B8F"/>
    <w:rsid w:val="00696421"/>
    <w:rsid w:val="006A2D31"/>
    <w:rsid w:val="006B0AD3"/>
    <w:rsid w:val="006B739F"/>
    <w:rsid w:val="006C4A51"/>
    <w:rsid w:val="006C6195"/>
    <w:rsid w:val="006C7D3F"/>
    <w:rsid w:val="006E500F"/>
    <w:rsid w:val="006E5E5B"/>
    <w:rsid w:val="006E6E08"/>
    <w:rsid w:val="006F3DE1"/>
    <w:rsid w:val="006F654D"/>
    <w:rsid w:val="0070490B"/>
    <w:rsid w:val="00705E78"/>
    <w:rsid w:val="00716D9C"/>
    <w:rsid w:val="00724211"/>
    <w:rsid w:val="007331F5"/>
    <w:rsid w:val="00736AC4"/>
    <w:rsid w:val="00737008"/>
    <w:rsid w:val="007372F3"/>
    <w:rsid w:val="007460FE"/>
    <w:rsid w:val="00754449"/>
    <w:rsid w:val="00760EAF"/>
    <w:rsid w:val="007623DA"/>
    <w:rsid w:val="00773F06"/>
    <w:rsid w:val="007774C7"/>
    <w:rsid w:val="0078145F"/>
    <w:rsid w:val="00796AE3"/>
    <w:rsid w:val="007A47F5"/>
    <w:rsid w:val="007B585E"/>
    <w:rsid w:val="007D01C9"/>
    <w:rsid w:val="007D03B8"/>
    <w:rsid w:val="007D04C7"/>
    <w:rsid w:val="007D289C"/>
    <w:rsid w:val="007D79E4"/>
    <w:rsid w:val="007E0F3B"/>
    <w:rsid w:val="007E15D2"/>
    <w:rsid w:val="007E5D1F"/>
    <w:rsid w:val="007F42F3"/>
    <w:rsid w:val="007F67DA"/>
    <w:rsid w:val="007F70E4"/>
    <w:rsid w:val="007F7EA7"/>
    <w:rsid w:val="008036D5"/>
    <w:rsid w:val="00805FAF"/>
    <w:rsid w:val="008066FC"/>
    <w:rsid w:val="00824D05"/>
    <w:rsid w:val="0082544D"/>
    <w:rsid w:val="008524C0"/>
    <w:rsid w:val="008541B5"/>
    <w:rsid w:val="008653E0"/>
    <w:rsid w:val="00870BDE"/>
    <w:rsid w:val="008726CE"/>
    <w:rsid w:val="0087331D"/>
    <w:rsid w:val="00874F68"/>
    <w:rsid w:val="00880111"/>
    <w:rsid w:val="008861E0"/>
    <w:rsid w:val="008902AA"/>
    <w:rsid w:val="00890A9D"/>
    <w:rsid w:val="00893619"/>
    <w:rsid w:val="00894FEA"/>
    <w:rsid w:val="008978EE"/>
    <w:rsid w:val="008A2D5F"/>
    <w:rsid w:val="008C12E0"/>
    <w:rsid w:val="008C745A"/>
    <w:rsid w:val="008D0FBB"/>
    <w:rsid w:val="008D4CCD"/>
    <w:rsid w:val="008E2EF8"/>
    <w:rsid w:val="008F1F7E"/>
    <w:rsid w:val="00911572"/>
    <w:rsid w:val="00912C7B"/>
    <w:rsid w:val="00916053"/>
    <w:rsid w:val="009173A6"/>
    <w:rsid w:val="00921F72"/>
    <w:rsid w:val="009233B4"/>
    <w:rsid w:val="00923A14"/>
    <w:rsid w:val="009328E2"/>
    <w:rsid w:val="00936F7F"/>
    <w:rsid w:val="00950EF3"/>
    <w:rsid w:val="00954530"/>
    <w:rsid w:val="00961E2C"/>
    <w:rsid w:val="00980587"/>
    <w:rsid w:val="00980F99"/>
    <w:rsid w:val="0098365C"/>
    <w:rsid w:val="0098440F"/>
    <w:rsid w:val="00985816"/>
    <w:rsid w:val="009878C1"/>
    <w:rsid w:val="00987E54"/>
    <w:rsid w:val="009942D7"/>
    <w:rsid w:val="009965D9"/>
    <w:rsid w:val="009A100F"/>
    <w:rsid w:val="009A5C99"/>
    <w:rsid w:val="009A6FD6"/>
    <w:rsid w:val="009B2519"/>
    <w:rsid w:val="009C0B0C"/>
    <w:rsid w:val="009E6936"/>
    <w:rsid w:val="009F7F6B"/>
    <w:rsid w:val="00A21F3D"/>
    <w:rsid w:val="00A25B36"/>
    <w:rsid w:val="00A279F5"/>
    <w:rsid w:val="00A27DE4"/>
    <w:rsid w:val="00A33773"/>
    <w:rsid w:val="00A34009"/>
    <w:rsid w:val="00A435F1"/>
    <w:rsid w:val="00A56D26"/>
    <w:rsid w:val="00A60AB9"/>
    <w:rsid w:val="00A60D6C"/>
    <w:rsid w:val="00A65099"/>
    <w:rsid w:val="00A708F6"/>
    <w:rsid w:val="00A72900"/>
    <w:rsid w:val="00A80E0D"/>
    <w:rsid w:val="00A83E9E"/>
    <w:rsid w:val="00A9432D"/>
    <w:rsid w:val="00AA293F"/>
    <w:rsid w:val="00AA5EF9"/>
    <w:rsid w:val="00AB112A"/>
    <w:rsid w:val="00AB3E47"/>
    <w:rsid w:val="00AB47D9"/>
    <w:rsid w:val="00AC45EB"/>
    <w:rsid w:val="00AC4647"/>
    <w:rsid w:val="00AC4DE5"/>
    <w:rsid w:val="00AC5193"/>
    <w:rsid w:val="00AC5841"/>
    <w:rsid w:val="00AD7227"/>
    <w:rsid w:val="00AE3D01"/>
    <w:rsid w:val="00AF26AC"/>
    <w:rsid w:val="00AF3146"/>
    <w:rsid w:val="00B00419"/>
    <w:rsid w:val="00B0115E"/>
    <w:rsid w:val="00B15CDC"/>
    <w:rsid w:val="00B2499F"/>
    <w:rsid w:val="00B25B22"/>
    <w:rsid w:val="00B47936"/>
    <w:rsid w:val="00B509E3"/>
    <w:rsid w:val="00B565E3"/>
    <w:rsid w:val="00B6224D"/>
    <w:rsid w:val="00B6252C"/>
    <w:rsid w:val="00B80218"/>
    <w:rsid w:val="00B83280"/>
    <w:rsid w:val="00B85BDB"/>
    <w:rsid w:val="00B929C4"/>
    <w:rsid w:val="00B936DE"/>
    <w:rsid w:val="00B947AF"/>
    <w:rsid w:val="00B94BB0"/>
    <w:rsid w:val="00BA3E2A"/>
    <w:rsid w:val="00BB0BB6"/>
    <w:rsid w:val="00BB3728"/>
    <w:rsid w:val="00BB7459"/>
    <w:rsid w:val="00BC05D1"/>
    <w:rsid w:val="00BC39AE"/>
    <w:rsid w:val="00BC5B9C"/>
    <w:rsid w:val="00BD0E4C"/>
    <w:rsid w:val="00BD5818"/>
    <w:rsid w:val="00BF3E39"/>
    <w:rsid w:val="00BF4190"/>
    <w:rsid w:val="00C035C6"/>
    <w:rsid w:val="00C05D9F"/>
    <w:rsid w:val="00C06604"/>
    <w:rsid w:val="00C1444B"/>
    <w:rsid w:val="00C17845"/>
    <w:rsid w:val="00C17DDB"/>
    <w:rsid w:val="00C23A0E"/>
    <w:rsid w:val="00C532DF"/>
    <w:rsid w:val="00C60DE3"/>
    <w:rsid w:val="00C620CB"/>
    <w:rsid w:val="00C74829"/>
    <w:rsid w:val="00C7528A"/>
    <w:rsid w:val="00C7678E"/>
    <w:rsid w:val="00C87F23"/>
    <w:rsid w:val="00C9163D"/>
    <w:rsid w:val="00CA3315"/>
    <w:rsid w:val="00CA3E68"/>
    <w:rsid w:val="00CA4D3A"/>
    <w:rsid w:val="00CA4DA9"/>
    <w:rsid w:val="00CA5778"/>
    <w:rsid w:val="00CA5841"/>
    <w:rsid w:val="00CA5FEF"/>
    <w:rsid w:val="00CA7E0D"/>
    <w:rsid w:val="00CB0E6B"/>
    <w:rsid w:val="00CC764D"/>
    <w:rsid w:val="00CD7A18"/>
    <w:rsid w:val="00CE10DC"/>
    <w:rsid w:val="00CE6807"/>
    <w:rsid w:val="00CE6EB8"/>
    <w:rsid w:val="00CF6F52"/>
    <w:rsid w:val="00CF7674"/>
    <w:rsid w:val="00D0238B"/>
    <w:rsid w:val="00D05A06"/>
    <w:rsid w:val="00D1284D"/>
    <w:rsid w:val="00D171E4"/>
    <w:rsid w:val="00D200BE"/>
    <w:rsid w:val="00D2033C"/>
    <w:rsid w:val="00D25D84"/>
    <w:rsid w:val="00D26E48"/>
    <w:rsid w:val="00D34F08"/>
    <w:rsid w:val="00D41503"/>
    <w:rsid w:val="00D45A01"/>
    <w:rsid w:val="00D55785"/>
    <w:rsid w:val="00D5673B"/>
    <w:rsid w:val="00D60F40"/>
    <w:rsid w:val="00D64BA8"/>
    <w:rsid w:val="00D713DC"/>
    <w:rsid w:val="00D74461"/>
    <w:rsid w:val="00D87080"/>
    <w:rsid w:val="00D87406"/>
    <w:rsid w:val="00D87E58"/>
    <w:rsid w:val="00D94A0F"/>
    <w:rsid w:val="00D968B7"/>
    <w:rsid w:val="00DA1524"/>
    <w:rsid w:val="00DA2383"/>
    <w:rsid w:val="00DB686C"/>
    <w:rsid w:val="00DC07A2"/>
    <w:rsid w:val="00DC594E"/>
    <w:rsid w:val="00DD05B6"/>
    <w:rsid w:val="00DE42BB"/>
    <w:rsid w:val="00DE614E"/>
    <w:rsid w:val="00DE7DF5"/>
    <w:rsid w:val="00DF1D4E"/>
    <w:rsid w:val="00DF7CE9"/>
    <w:rsid w:val="00E01426"/>
    <w:rsid w:val="00E02A10"/>
    <w:rsid w:val="00E02ED3"/>
    <w:rsid w:val="00E07F66"/>
    <w:rsid w:val="00E11F44"/>
    <w:rsid w:val="00E12DA1"/>
    <w:rsid w:val="00E135DA"/>
    <w:rsid w:val="00E13972"/>
    <w:rsid w:val="00E14968"/>
    <w:rsid w:val="00E14EA8"/>
    <w:rsid w:val="00E206E0"/>
    <w:rsid w:val="00E22BC4"/>
    <w:rsid w:val="00E23F4C"/>
    <w:rsid w:val="00E24001"/>
    <w:rsid w:val="00E24839"/>
    <w:rsid w:val="00E25F15"/>
    <w:rsid w:val="00E263D4"/>
    <w:rsid w:val="00E3063B"/>
    <w:rsid w:val="00E333F3"/>
    <w:rsid w:val="00E343B1"/>
    <w:rsid w:val="00E371EA"/>
    <w:rsid w:val="00E37B54"/>
    <w:rsid w:val="00E47233"/>
    <w:rsid w:val="00E56313"/>
    <w:rsid w:val="00E56DBB"/>
    <w:rsid w:val="00E57C99"/>
    <w:rsid w:val="00E6038B"/>
    <w:rsid w:val="00E805CD"/>
    <w:rsid w:val="00E82204"/>
    <w:rsid w:val="00E87A5B"/>
    <w:rsid w:val="00E94990"/>
    <w:rsid w:val="00E97F83"/>
    <w:rsid w:val="00EA23FA"/>
    <w:rsid w:val="00EA4379"/>
    <w:rsid w:val="00EB0841"/>
    <w:rsid w:val="00EB2092"/>
    <w:rsid w:val="00EC1A70"/>
    <w:rsid w:val="00EC6188"/>
    <w:rsid w:val="00ED35C0"/>
    <w:rsid w:val="00ED3EBD"/>
    <w:rsid w:val="00ED41A6"/>
    <w:rsid w:val="00EE0A77"/>
    <w:rsid w:val="00EE1810"/>
    <w:rsid w:val="00EE2556"/>
    <w:rsid w:val="00EE69F9"/>
    <w:rsid w:val="00EE7097"/>
    <w:rsid w:val="00F03AE7"/>
    <w:rsid w:val="00F114CA"/>
    <w:rsid w:val="00F16313"/>
    <w:rsid w:val="00F17A54"/>
    <w:rsid w:val="00F24EBB"/>
    <w:rsid w:val="00F2582A"/>
    <w:rsid w:val="00F31C10"/>
    <w:rsid w:val="00F452F7"/>
    <w:rsid w:val="00F47896"/>
    <w:rsid w:val="00F479A1"/>
    <w:rsid w:val="00F5100E"/>
    <w:rsid w:val="00F56F7E"/>
    <w:rsid w:val="00F653CF"/>
    <w:rsid w:val="00F705F3"/>
    <w:rsid w:val="00F94680"/>
    <w:rsid w:val="00F95B15"/>
    <w:rsid w:val="00F9657C"/>
    <w:rsid w:val="00FA2FDD"/>
    <w:rsid w:val="00FA7943"/>
    <w:rsid w:val="00FB0432"/>
    <w:rsid w:val="00FB67EB"/>
    <w:rsid w:val="00FC2859"/>
    <w:rsid w:val="00FC7FAE"/>
    <w:rsid w:val="00FD1D43"/>
    <w:rsid w:val="00FD1E31"/>
    <w:rsid w:val="00FD6DBE"/>
    <w:rsid w:val="00FF256C"/>
    <w:rsid w:val="00FF6FEF"/>
    <w:rsid w:val="232C3938"/>
    <w:rsid w:val="278D0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39AE36"/>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7DA"/>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列出段落"/>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Pa8">
    <w:name w:val="Pa8"/>
    <w:basedOn w:val="Normal"/>
    <w:next w:val="Normal"/>
    <w:uiPriority w:val="99"/>
    <w:rsid w:val="00DB686C"/>
    <w:pPr>
      <w:autoSpaceDE w:val="0"/>
      <w:autoSpaceDN w:val="0"/>
      <w:adjustRightInd w:val="0"/>
      <w:spacing w:line="241" w:lineRule="atLeast"/>
    </w:pPr>
    <w:rPr>
      <w:rFonts w:ascii="Helvetica 45 Light" w:hAnsi="Helvetica 45 Light"/>
      <w:szCs w:val="24"/>
    </w:rPr>
  </w:style>
  <w:style w:type="paragraph" w:styleId="Revision">
    <w:name w:val="Revision"/>
    <w:hidden/>
    <w:uiPriority w:val="99"/>
    <w:semiHidden/>
    <w:rsid w:val="00B85BDB"/>
    <w:pPr>
      <w:spacing w:after="0" w:line="240" w:lineRule="auto"/>
    </w:pPr>
    <w:rPr>
      <w:rFonts w:ascii="Verdana" w:hAnsi="Verdana"/>
      <w:sz w:val="24"/>
    </w:rPr>
  </w:style>
  <w:style w:type="table" w:customStyle="1" w:styleId="TableGrid1">
    <w:name w:val="Table Grid1"/>
    <w:basedOn w:val="TableNormal"/>
    <w:next w:val="TableGrid"/>
    <w:uiPriority w:val="59"/>
    <w:rsid w:val="009A5C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A5C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locked/>
    <w:rsid w:val="009965D9"/>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7094">
      <w:bodyDiv w:val="1"/>
      <w:marLeft w:val="0"/>
      <w:marRight w:val="0"/>
      <w:marTop w:val="0"/>
      <w:marBottom w:val="0"/>
      <w:divBdr>
        <w:top w:val="none" w:sz="0" w:space="0" w:color="auto"/>
        <w:left w:val="none" w:sz="0" w:space="0" w:color="auto"/>
        <w:bottom w:val="none" w:sz="0" w:space="0" w:color="auto"/>
        <w:right w:val="none" w:sz="0" w:space="0" w:color="auto"/>
      </w:divBdr>
    </w:div>
    <w:div w:id="153106186">
      <w:bodyDiv w:val="1"/>
      <w:marLeft w:val="0"/>
      <w:marRight w:val="0"/>
      <w:marTop w:val="0"/>
      <w:marBottom w:val="0"/>
      <w:divBdr>
        <w:top w:val="none" w:sz="0" w:space="0" w:color="auto"/>
        <w:left w:val="none" w:sz="0" w:space="0" w:color="auto"/>
        <w:bottom w:val="none" w:sz="0" w:space="0" w:color="auto"/>
        <w:right w:val="none" w:sz="0" w:space="0" w:color="auto"/>
      </w:divBdr>
    </w:div>
    <w:div w:id="971906008">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259947374">
      <w:bodyDiv w:val="1"/>
      <w:marLeft w:val="0"/>
      <w:marRight w:val="0"/>
      <w:marTop w:val="0"/>
      <w:marBottom w:val="0"/>
      <w:divBdr>
        <w:top w:val="none" w:sz="0" w:space="0" w:color="auto"/>
        <w:left w:val="none" w:sz="0" w:space="0" w:color="auto"/>
        <w:bottom w:val="none" w:sz="0" w:space="0" w:color="auto"/>
        <w:right w:val="none" w:sz="0" w:space="0" w:color="auto"/>
      </w:divBdr>
    </w:div>
    <w:div w:id="1346134921">
      <w:bodyDiv w:val="1"/>
      <w:marLeft w:val="0"/>
      <w:marRight w:val="0"/>
      <w:marTop w:val="0"/>
      <w:marBottom w:val="0"/>
      <w:divBdr>
        <w:top w:val="none" w:sz="0" w:space="0" w:color="auto"/>
        <w:left w:val="none" w:sz="0" w:space="0" w:color="auto"/>
        <w:bottom w:val="none" w:sz="0" w:space="0" w:color="auto"/>
        <w:right w:val="none" w:sz="0" w:space="0" w:color="auto"/>
      </w:divBdr>
    </w:div>
    <w:div w:id="1401446505">
      <w:bodyDiv w:val="1"/>
      <w:marLeft w:val="0"/>
      <w:marRight w:val="0"/>
      <w:marTop w:val="0"/>
      <w:marBottom w:val="0"/>
      <w:divBdr>
        <w:top w:val="none" w:sz="0" w:space="0" w:color="auto"/>
        <w:left w:val="none" w:sz="0" w:space="0" w:color="auto"/>
        <w:bottom w:val="none" w:sz="0" w:space="0" w:color="auto"/>
        <w:right w:val="none" w:sz="0" w:space="0" w:color="auto"/>
      </w:divBdr>
    </w:div>
    <w:div w:id="1449816174">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463159413">
      <w:bodyDiv w:val="1"/>
      <w:marLeft w:val="0"/>
      <w:marRight w:val="0"/>
      <w:marTop w:val="0"/>
      <w:marBottom w:val="0"/>
      <w:divBdr>
        <w:top w:val="none" w:sz="0" w:space="0" w:color="auto"/>
        <w:left w:val="none" w:sz="0" w:space="0" w:color="auto"/>
        <w:bottom w:val="none" w:sz="0" w:space="0" w:color="auto"/>
        <w:right w:val="none" w:sz="0" w:space="0" w:color="auto"/>
      </w:divBdr>
    </w:div>
    <w:div w:id="1669794887">
      <w:bodyDiv w:val="1"/>
      <w:marLeft w:val="0"/>
      <w:marRight w:val="0"/>
      <w:marTop w:val="0"/>
      <w:marBottom w:val="0"/>
      <w:divBdr>
        <w:top w:val="none" w:sz="0" w:space="0" w:color="auto"/>
        <w:left w:val="none" w:sz="0" w:space="0" w:color="auto"/>
        <w:bottom w:val="none" w:sz="0" w:space="0" w:color="auto"/>
        <w:right w:val="none" w:sz="0" w:space="0" w:color="auto"/>
      </w:divBdr>
    </w:div>
    <w:div w:id="2061396915">
      <w:bodyDiv w:val="1"/>
      <w:marLeft w:val="0"/>
      <w:marRight w:val="0"/>
      <w:marTop w:val="0"/>
      <w:marBottom w:val="0"/>
      <w:divBdr>
        <w:top w:val="none" w:sz="0" w:space="0" w:color="auto"/>
        <w:left w:val="none" w:sz="0" w:space="0" w:color="auto"/>
        <w:bottom w:val="none" w:sz="0" w:space="0" w:color="auto"/>
        <w:right w:val="none" w:sz="0" w:space="0" w:color="auto"/>
      </w:divBdr>
    </w:div>
    <w:div w:id="210569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les.nhs.uk/governance-emanual/how-the-health-and-care-standards-ar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owis.wales.nhs.uk/sitesplus/888/page/6454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5A5F231099F942BDB087759F1EF38FEA"/>
        <w:category>
          <w:name w:val="General"/>
          <w:gallery w:val="placeholder"/>
        </w:category>
        <w:types>
          <w:type w:val="bbPlcHdr"/>
        </w:types>
        <w:behaviors>
          <w:behavior w:val="content"/>
        </w:behaviors>
        <w:guid w:val="{5AE80140-E785-43E6-BEAA-535AFF04F2AF}"/>
      </w:docPartPr>
      <w:docPartBody>
        <w:p w:rsidR="00AA293F" w:rsidRDefault="00760EAF" w:rsidP="00760EAF">
          <w:pPr>
            <w:pStyle w:val="5A5F231099F942BDB087759F1EF38FEA"/>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942F3C"/>
    <w:rsid w:val="000410AB"/>
    <w:rsid w:val="001025A3"/>
    <w:rsid w:val="00144A09"/>
    <w:rsid w:val="00195F4B"/>
    <w:rsid w:val="0022239E"/>
    <w:rsid w:val="00242502"/>
    <w:rsid w:val="00293B15"/>
    <w:rsid w:val="0029440B"/>
    <w:rsid w:val="002C4FA7"/>
    <w:rsid w:val="00343F22"/>
    <w:rsid w:val="00366C9B"/>
    <w:rsid w:val="00396DE1"/>
    <w:rsid w:val="003B6BDB"/>
    <w:rsid w:val="003E7763"/>
    <w:rsid w:val="003E7B41"/>
    <w:rsid w:val="00413700"/>
    <w:rsid w:val="004A39EC"/>
    <w:rsid w:val="004E7B38"/>
    <w:rsid w:val="0055112D"/>
    <w:rsid w:val="005A164A"/>
    <w:rsid w:val="005D521E"/>
    <w:rsid w:val="005E5411"/>
    <w:rsid w:val="00622AAA"/>
    <w:rsid w:val="006A4C1E"/>
    <w:rsid w:val="00755DE8"/>
    <w:rsid w:val="00760EAF"/>
    <w:rsid w:val="00834930"/>
    <w:rsid w:val="0087256F"/>
    <w:rsid w:val="00884126"/>
    <w:rsid w:val="00895D61"/>
    <w:rsid w:val="00942F3C"/>
    <w:rsid w:val="0098440F"/>
    <w:rsid w:val="00A12BED"/>
    <w:rsid w:val="00A94C1F"/>
    <w:rsid w:val="00AA293F"/>
    <w:rsid w:val="00B518DF"/>
    <w:rsid w:val="00B603F0"/>
    <w:rsid w:val="00B661DB"/>
    <w:rsid w:val="00B741D8"/>
    <w:rsid w:val="00BB3A8D"/>
    <w:rsid w:val="00C2665F"/>
    <w:rsid w:val="00DE0877"/>
    <w:rsid w:val="00E91B84"/>
    <w:rsid w:val="00E91C64"/>
    <w:rsid w:val="00ED4BD4"/>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93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831F358071B459A5C2F278B94AAF4" ma:contentTypeVersion="2" ma:contentTypeDescription="Create a new document." ma:contentTypeScope="" ma:versionID="3c8184b04574d135a1ae54f2d581cc78">
  <xsd:schema xmlns:xsd="http://www.w3.org/2001/XMLSchema" xmlns:xs="http://www.w3.org/2001/XMLSchema" xmlns:p="http://schemas.microsoft.com/office/2006/metadata/properties" xmlns:ns2="dd2c3c61-8cba-4b83-b9c6-b728e081e34d" targetNamespace="http://schemas.microsoft.com/office/2006/metadata/properties" ma:root="true" ma:fieldsID="a885c6a90509828ef27f62341a864f8f" ns2:_="">
    <xsd:import namespace="dd2c3c61-8cba-4b83-b9c6-b728e081e3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3c61-8cba-4b83-b9c6-b728e081e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6FF4E1-AE26-4075-A0E2-681D75D5C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3c61-8cba-4b83-b9c6-b728e081e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2819B-429D-474D-8D88-902A123DE2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22B278-2726-48C3-8BD2-B82D2CC3432D}">
  <ds:schemaRefs>
    <ds:schemaRef ds:uri="http://schemas.microsoft.com/sharepoint/v3/contenttype/forms"/>
  </ds:schemaRefs>
</ds:datastoreItem>
</file>

<file path=customXml/itemProps4.xml><?xml version="1.0" encoding="utf-8"?>
<ds:datastoreItem xmlns:ds="http://schemas.openxmlformats.org/officeDocument/2006/customXml" ds:itemID="{941E29E1-0EA5-4161-B5DD-32B840158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19</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Public Health Wales</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Cathie Steele</dc:creator>
  <cp:lastModifiedBy>Liz Blayney (Public Health Wales - No. 2 Capital Quarter)</cp:lastModifiedBy>
  <cp:revision>10</cp:revision>
  <cp:lastPrinted>2022-01-24T15:03:00Z</cp:lastPrinted>
  <dcterms:created xsi:type="dcterms:W3CDTF">2023-03-15T11:27:00Z</dcterms:created>
  <dcterms:modified xsi:type="dcterms:W3CDTF">2023-03-23T20:10:00Z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0x010100575831F358071B459A5C2F278B94AAF4</vt:lpwstr>
  </property>
  <property fmtid="{D5CDD505-2E9C-101B-9397-08002B2CF9AE}" pid="3" name="_dlc_DocIdItemGuid">
    <vt:lpwstr>5ea730c6-dde4-48ae-9570-ae8a3b554347</vt:lpwstr>
  </property>
</Properties>
</file>