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818"/>
      </w:tblGrid>
      <w:tr w:rsidR="000A2ADC" w:rsidRPr="00AC7380" w14:paraId="5FE766AC" w14:textId="77777777" w:rsidTr="00B052A7">
        <w:tc>
          <w:tcPr>
            <w:tcW w:w="5202" w:type="dxa"/>
            <w:gridSpan w:val="4"/>
            <w:vMerge w:val="restart"/>
          </w:tcPr>
          <w:p w14:paraId="3BB60906" w14:textId="77777777" w:rsidR="000A2ADC" w:rsidRPr="00AC7380" w:rsidRDefault="000A2ADC" w:rsidP="005D3867">
            <w:pPr>
              <w:rPr>
                <w:rFonts w:ascii="Verdana" w:hAnsi="Verdana"/>
                <w:sz w:val="24"/>
              </w:rPr>
            </w:pPr>
            <w:r w:rsidRPr="00AC7380">
              <w:rPr>
                <w:rFonts w:ascii="Verdana" w:hAnsi="Verdana"/>
                <w:b/>
                <w:noProof/>
                <w:sz w:val="24"/>
                <w:lang w:eastAsia="en-GB"/>
              </w:rPr>
              <w:drawing>
                <wp:inline distT="0" distB="0" distL="0" distR="0" wp14:anchorId="0D7368BF" wp14:editId="1F861E03">
                  <wp:extent cx="3122083" cy="734018"/>
                  <wp:effectExtent l="19050" t="0" r="2117" b="0"/>
                  <wp:docPr id="168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gridSpan w:val="3"/>
            <w:tcBorders>
              <w:bottom w:val="nil"/>
            </w:tcBorders>
          </w:tcPr>
          <w:p w14:paraId="5184FFA0" w14:textId="77777777" w:rsidR="000A2ADC" w:rsidRPr="00AC7380" w:rsidRDefault="000A2ADC" w:rsidP="005D3867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AC7380">
              <w:rPr>
                <w:rFonts w:ascii="Verdana" w:hAnsi="Verdana"/>
                <w:b/>
                <w:sz w:val="24"/>
                <w:szCs w:val="24"/>
              </w:rPr>
              <w:t>Name of Meeting</w:t>
            </w:r>
          </w:p>
          <w:sdt>
            <w:sdtPr>
              <w:rPr>
                <w:rFonts w:ascii="Verdana" w:hAnsi="Verdana"/>
                <w:szCs w:val="24"/>
              </w:rPr>
              <w:alias w:val="Name of meeting"/>
              <w:tag w:val="Name of meeting"/>
              <w:id w:val="1886526"/>
              <w:placeholder>
                <w:docPart w:val="0017E5D2C7864C97BA82E637C6FB9B24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/>
            <w:sdtContent>
              <w:p w14:paraId="764F6BCC" w14:textId="2E93ACBE" w:rsidR="000A2ADC" w:rsidRPr="00DA20DB" w:rsidRDefault="00BA310B" w:rsidP="005D3867">
                <w:pPr>
                  <w:jc w:val="right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Cs w:val="24"/>
                  </w:rPr>
                  <w:t>Board</w:t>
                </w:r>
              </w:p>
            </w:sdtContent>
          </w:sdt>
        </w:tc>
      </w:tr>
      <w:tr w:rsidR="000A2ADC" w:rsidRPr="00AC7380" w14:paraId="32F3DAE4" w14:textId="77777777" w:rsidTr="00B052A7">
        <w:tc>
          <w:tcPr>
            <w:tcW w:w="5202" w:type="dxa"/>
            <w:gridSpan w:val="4"/>
            <w:vMerge/>
          </w:tcPr>
          <w:p w14:paraId="4B5AAE2C" w14:textId="77777777" w:rsidR="000A2ADC" w:rsidRPr="00AC7380" w:rsidRDefault="000A2ADC" w:rsidP="005D3867">
            <w:pPr>
              <w:rPr>
                <w:rFonts w:ascii="Verdana" w:hAnsi="Verdana"/>
                <w:b/>
                <w:noProof/>
                <w:sz w:val="24"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nil"/>
            </w:tcBorders>
          </w:tcPr>
          <w:p w14:paraId="70D8B815" w14:textId="77777777" w:rsidR="000A2ADC" w:rsidRPr="00AC7380" w:rsidRDefault="000A2ADC" w:rsidP="005D3867">
            <w:pPr>
              <w:jc w:val="right"/>
              <w:rPr>
                <w:rFonts w:ascii="Verdana" w:hAnsi="Verdana"/>
                <w:b/>
                <w:sz w:val="24"/>
              </w:rPr>
            </w:pPr>
            <w:r w:rsidRPr="00AC7380">
              <w:rPr>
                <w:rFonts w:ascii="Verdana" w:hAnsi="Verdana"/>
                <w:b/>
                <w:sz w:val="24"/>
              </w:rPr>
              <w:t>Date of Meeting</w:t>
            </w:r>
          </w:p>
          <w:p w14:paraId="451ADF43" w14:textId="54145963" w:rsidR="000A2ADC" w:rsidRPr="00AC7380" w:rsidRDefault="00BA310B" w:rsidP="004C092E">
            <w:pPr>
              <w:jc w:val="right"/>
              <w:rPr>
                <w:rFonts w:ascii="Verdana" w:hAnsi="Verdana"/>
                <w:color w:val="FF0000"/>
                <w:sz w:val="24"/>
              </w:rPr>
            </w:pPr>
            <w:r>
              <w:rPr>
                <w:rFonts w:ascii="Verdana" w:hAnsi="Verdana"/>
                <w:sz w:val="24"/>
              </w:rPr>
              <w:t>25</w:t>
            </w:r>
            <w:r w:rsidR="008A5834" w:rsidRPr="008A5834">
              <w:rPr>
                <w:rFonts w:ascii="Verdana" w:hAnsi="Verdana"/>
                <w:sz w:val="24"/>
              </w:rPr>
              <w:t xml:space="preserve"> March 2021</w:t>
            </w:r>
          </w:p>
        </w:tc>
      </w:tr>
      <w:tr w:rsidR="000A2ADC" w:rsidRPr="00AC7380" w14:paraId="692D94BC" w14:textId="77777777" w:rsidTr="00B052A7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50213697" w14:textId="77777777" w:rsidR="000A2ADC" w:rsidRPr="00AC7380" w:rsidRDefault="000A2ADC" w:rsidP="005D3867">
            <w:pPr>
              <w:rPr>
                <w:rFonts w:ascii="Verdana" w:hAnsi="Verdana"/>
                <w:b/>
                <w:noProof/>
                <w:sz w:val="24"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single" w:sz="4" w:space="0" w:color="auto"/>
            </w:tcBorders>
          </w:tcPr>
          <w:p w14:paraId="25382FED" w14:textId="77777777" w:rsidR="000A2ADC" w:rsidRPr="00C330C4" w:rsidRDefault="000A2ADC" w:rsidP="005D3867">
            <w:pPr>
              <w:jc w:val="right"/>
              <w:rPr>
                <w:rFonts w:ascii="Verdana" w:hAnsi="Verdana"/>
                <w:b/>
                <w:sz w:val="24"/>
              </w:rPr>
            </w:pPr>
            <w:r w:rsidRPr="00C330C4">
              <w:rPr>
                <w:rFonts w:ascii="Verdana" w:hAnsi="Verdana"/>
                <w:b/>
                <w:sz w:val="24"/>
              </w:rPr>
              <w:t>Agenda item:</w:t>
            </w:r>
          </w:p>
          <w:p w14:paraId="77934E3E" w14:textId="256A0A0D" w:rsidR="000A2ADC" w:rsidRPr="001577BB" w:rsidRDefault="00BA310B" w:rsidP="00DA575D">
            <w:pPr>
              <w:jc w:val="right"/>
              <w:rPr>
                <w:rFonts w:ascii="Verdana" w:hAnsi="Verdana"/>
                <w:color w:val="FF0000"/>
                <w:sz w:val="24"/>
              </w:rPr>
            </w:pPr>
            <w:r>
              <w:rPr>
                <w:rFonts w:ascii="Verdana" w:hAnsi="Verdana"/>
                <w:sz w:val="24"/>
              </w:rPr>
              <w:t>3.3 260321</w:t>
            </w:r>
          </w:p>
        </w:tc>
      </w:tr>
      <w:tr w:rsidR="000A2ADC" w:rsidRPr="00AC7380" w14:paraId="3B17C247" w14:textId="77777777" w:rsidTr="00B052A7">
        <w:tc>
          <w:tcPr>
            <w:tcW w:w="9016" w:type="dxa"/>
            <w:gridSpan w:val="7"/>
            <w:tcBorders>
              <w:left w:val="nil"/>
              <w:right w:val="nil"/>
            </w:tcBorders>
            <w:vAlign w:val="center"/>
          </w:tcPr>
          <w:p w14:paraId="14AFE603" w14:textId="77777777" w:rsidR="000A2ADC" w:rsidRPr="00AC7380" w:rsidRDefault="000A2ADC" w:rsidP="005D3867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0A2ADC" w:rsidRPr="00AC7380" w14:paraId="17EF049B" w14:textId="77777777" w:rsidTr="00B052A7">
        <w:tc>
          <w:tcPr>
            <w:tcW w:w="9016" w:type="dxa"/>
            <w:gridSpan w:val="7"/>
            <w:vAlign w:val="center"/>
          </w:tcPr>
          <w:p w14:paraId="337D347D" w14:textId="77777777" w:rsidR="00FA09FB" w:rsidRDefault="00B04DD6" w:rsidP="00BA310B">
            <w:pPr>
              <w:jc w:val="center"/>
              <w:rPr>
                <w:rFonts w:ascii="Verdana" w:hAnsi="Verdana"/>
                <w:b/>
                <w:sz w:val="40"/>
                <w:szCs w:val="36"/>
              </w:rPr>
            </w:pPr>
            <w:r>
              <w:rPr>
                <w:rFonts w:ascii="Verdana" w:hAnsi="Verdana"/>
                <w:b/>
                <w:sz w:val="40"/>
                <w:szCs w:val="36"/>
              </w:rPr>
              <w:t>2020/21 Financial Position</w:t>
            </w:r>
          </w:p>
          <w:p w14:paraId="7DC55F89" w14:textId="37AD36FD" w:rsidR="00790BDE" w:rsidRPr="00BA310B" w:rsidRDefault="00790BDE" w:rsidP="00BA310B">
            <w:pPr>
              <w:jc w:val="center"/>
              <w:rPr>
                <w:rFonts w:ascii="Verdana" w:hAnsi="Verdana"/>
                <w:b/>
                <w:sz w:val="40"/>
                <w:szCs w:val="36"/>
              </w:rPr>
            </w:pPr>
            <w:r>
              <w:rPr>
                <w:rFonts w:ascii="Verdana" w:hAnsi="Verdana"/>
                <w:b/>
                <w:sz w:val="40"/>
                <w:szCs w:val="36"/>
              </w:rPr>
              <w:t>Month 11</w:t>
            </w:r>
          </w:p>
        </w:tc>
      </w:tr>
      <w:tr w:rsidR="000A2ADC" w:rsidRPr="00210AF6" w14:paraId="09DC2D03" w14:textId="77777777" w:rsidTr="00B052A7">
        <w:tc>
          <w:tcPr>
            <w:tcW w:w="2802" w:type="dxa"/>
            <w:gridSpan w:val="2"/>
          </w:tcPr>
          <w:p w14:paraId="47906F45" w14:textId="77777777" w:rsidR="000A2ADC" w:rsidRPr="00210AF6" w:rsidRDefault="000A2ADC" w:rsidP="005D3867">
            <w:pPr>
              <w:rPr>
                <w:rFonts w:ascii="Verdana" w:hAnsi="Verdana"/>
                <w:b/>
                <w:sz w:val="24"/>
                <w:szCs w:val="24"/>
              </w:rPr>
            </w:pPr>
            <w:r w:rsidRPr="00210AF6">
              <w:rPr>
                <w:rFonts w:ascii="Verdana" w:hAnsi="Verdana"/>
                <w:b/>
                <w:sz w:val="24"/>
                <w:szCs w:val="24"/>
              </w:rPr>
              <w:t>Executive lead:</w:t>
            </w:r>
          </w:p>
        </w:tc>
        <w:tc>
          <w:tcPr>
            <w:tcW w:w="6214" w:type="dxa"/>
            <w:gridSpan w:val="5"/>
          </w:tcPr>
          <w:p w14:paraId="0B09966B" w14:textId="77777777" w:rsidR="000A2ADC" w:rsidRPr="00210AF6" w:rsidRDefault="00DC30EB" w:rsidP="005D3867">
            <w:pPr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>Huw George</w:t>
            </w:r>
            <w:r w:rsidR="00210AF6" w:rsidRPr="00210AF6">
              <w:rPr>
                <w:rFonts w:ascii="Verdana" w:eastAsia="Verdana" w:hAnsi="Verdana"/>
                <w:sz w:val="24"/>
                <w:szCs w:val="24"/>
              </w:rPr>
              <w:t xml:space="preserve">, </w:t>
            </w:r>
            <w:r w:rsidR="00B052A7">
              <w:rPr>
                <w:rFonts w:ascii="Verdana" w:eastAsia="Verdana" w:hAnsi="Verdana"/>
                <w:sz w:val="24"/>
                <w:szCs w:val="24"/>
              </w:rPr>
              <w:t xml:space="preserve">Deputy </w:t>
            </w:r>
            <w:r w:rsidR="00210AF6" w:rsidRPr="00210AF6">
              <w:rPr>
                <w:rFonts w:ascii="Verdana" w:eastAsia="Verdana" w:hAnsi="Verdana"/>
                <w:sz w:val="24"/>
                <w:szCs w:val="24"/>
              </w:rPr>
              <w:t>Chief Executive</w:t>
            </w:r>
            <w:r w:rsidR="00B052A7">
              <w:rPr>
                <w:rFonts w:ascii="Verdana" w:eastAsia="Verdana" w:hAnsi="Verdana"/>
                <w:sz w:val="24"/>
                <w:szCs w:val="24"/>
              </w:rPr>
              <w:t xml:space="preserve"> and Executive Defector of Finance and Operations </w:t>
            </w:r>
            <w:r w:rsidR="00210AF6" w:rsidRPr="00210AF6">
              <w:rPr>
                <w:rFonts w:ascii="Verdana" w:eastAsia="Verdana" w:hAnsi="Verdana"/>
                <w:sz w:val="24"/>
                <w:szCs w:val="24"/>
              </w:rPr>
              <w:t xml:space="preserve"> </w:t>
            </w:r>
          </w:p>
        </w:tc>
      </w:tr>
      <w:tr w:rsidR="000A2ADC" w:rsidRPr="00210AF6" w14:paraId="237AD00E" w14:textId="77777777" w:rsidTr="00B052A7">
        <w:tc>
          <w:tcPr>
            <w:tcW w:w="2802" w:type="dxa"/>
            <w:gridSpan w:val="2"/>
          </w:tcPr>
          <w:p w14:paraId="5EB79106" w14:textId="77777777" w:rsidR="000A2ADC" w:rsidRPr="00210AF6" w:rsidRDefault="000A2ADC" w:rsidP="005D3867">
            <w:pPr>
              <w:rPr>
                <w:rFonts w:ascii="Verdana" w:hAnsi="Verdana"/>
                <w:b/>
                <w:sz w:val="24"/>
                <w:szCs w:val="24"/>
              </w:rPr>
            </w:pPr>
            <w:r w:rsidRPr="00210AF6">
              <w:rPr>
                <w:rFonts w:ascii="Verdana" w:hAnsi="Verdana"/>
                <w:b/>
                <w:sz w:val="24"/>
                <w:szCs w:val="24"/>
              </w:rPr>
              <w:t>Author:</w:t>
            </w:r>
          </w:p>
        </w:tc>
        <w:tc>
          <w:tcPr>
            <w:tcW w:w="6214" w:type="dxa"/>
            <w:gridSpan w:val="5"/>
          </w:tcPr>
          <w:p w14:paraId="43437137" w14:textId="77777777" w:rsidR="00D24212" w:rsidRDefault="00DC30EB" w:rsidP="00D24212">
            <w:pPr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 xml:space="preserve">Angela Fisher, Deputy Director and </w:t>
            </w:r>
            <w:r w:rsidR="00D24212">
              <w:rPr>
                <w:rFonts w:ascii="Verdana" w:eastAsia="Verdana" w:hAnsi="Verdana"/>
                <w:sz w:val="24"/>
                <w:szCs w:val="24"/>
              </w:rPr>
              <w:t>Head of Finance</w:t>
            </w:r>
          </w:p>
          <w:p w14:paraId="0D5B2340" w14:textId="77777777" w:rsidR="00B931D2" w:rsidRDefault="00B931D2" w:rsidP="00D24212">
            <w:pPr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>Ruth Maddern, Head of Financial Management &amp; Business Partnering</w:t>
            </w:r>
          </w:p>
          <w:p w14:paraId="7C6400AC" w14:textId="77777777" w:rsidR="00DC30EB" w:rsidRPr="00210AF6" w:rsidRDefault="00D24212" w:rsidP="00D24212">
            <w:pPr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>Suzanne David, Senior Finance Business Partner</w:t>
            </w:r>
            <w:r w:rsidR="00DC30EB">
              <w:rPr>
                <w:rFonts w:ascii="Verdana" w:eastAsia="Verdana" w:hAnsi="Verdana"/>
                <w:sz w:val="24"/>
                <w:szCs w:val="24"/>
              </w:rPr>
              <w:t xml:space="preserve"> </w:t>
            </w:r>
          </w:p>
        </w:tc>
      </w:tr>
      <w:tr w:rsidR="000A2ADC" w:rsidRPr="00210AF6" w14:paraId="121FC663" w14:textId="77777777" w:rsidTr="00B052A7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398C6F72" w14:textId="77777777" w:rsidR="000A2ADC" w:rsidRPr="00210AF6" w:rsidRDefault="000A2ADC" w:rsidP="005D386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14" w:type="dxa"/>
            <w:gridSpan w:val="5"/>
            <w:tcBorders>
              <w:left w:val="nil"/>
              <w:right w:val="nil"/>
            </w:tcBorders>
          </w:tcPr>
          <w:p w14:paraId="5B9C3165" w14:textId="77777777" w:rsidR="000A2ADC" w:rsidRPr="00210AF6" w:rsidRDefault="000A2ADC" w:rsidP="005D386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A5834" w:rsidRPr="00210AF6" w14:paraId="76D142BD" w14:textId="77777777" w:rsidTr="00B052A7">
        <w:tc>
          <w:tcPr>
            <w:tcW w:w="2802" w:type="dxa"/>
            <w:gridSpan w:val="2"/>
          </w:tcPr>
          <w:p w14:paraId="680A7D82" w14:textId="77777777" w:rsidR="008A5834" w:rsidRPr="00210AF6" w:rsidRDefault="008A5834" w:rsidP="008A5834">
            <w:pPr>
              <w:rPr>
                <w:rFonts w:ascii="Verdana" w:hAnsi="Verdana"/>
                <w:b/>
                <w:sz w:val="24"/>
                <w:szCs w:val="24"/>
              </w:rPr>
            </w:pPr>
            <w:r w:rsidRPr="00210AF6">
              <w:rPr>
                <w:rFonts w:ascii="Verdana" w:hAnsi="Verdana"/>
                <w:b/>
                <w:sz w:val="24"/>
                <w:szCs w:val="24"/>
              </w:rPr>
              <w:t>Approval/Scrutiny route:</w:t>
            </w:r>
          </w:p>
        </w:tc>
        <w:tc>
          <w:tcPr>
            <w:tcW w:w="6214" w:type="dxa"/>
            <w:gridSpan w:val="5"/>
          </w:tcPr>
          <w:p w14:paraId="4CAD1406" w14:textId="77777777" w:rsidR="008A5834" w:rsidRDefault="008A5834" w:rsidP="008A5834">
            <w:pPr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>Huw George</w:t>
            </w:r>
            <w:r w:rsidRPr="00210AF6">
              <w:rPr>
                <w:rFonts w:ascii="Verdana" w:eastAsia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eastAsia="Verdana" w:hAnsi="Verdana"/>
                <w:sz w:val="24"/>
                <w:szCs w:val="24"/>
              </w:rPr>
              <w:t xml:space="preserve">Deputy </w:t>
            </w:r>
            <w:r w:rsidRPr="00210AF6">
              <w:rPr>
                <w:rFonts w:ascii="Verdana" w:eastAsia="Verdana" w:hAnsi="Verdana"/>
                <w:sz w:val="24"/>
                <w:szCs w:val="24"/>
              </w:rPr>
              <w:t>Chief Executive</w:t>
            </w:r>
            <w:r>
              <w:rPr>
                <w:rFonts w:ascii="Verdana" w:eastAsia="Verdana" w:hAnsi="Verdana"/>
                <w:sz w:val="24"/>
                <w:szCs w:val="24"/>
              </w:rPr>
              <w:t xml:space="preserve"> and Executive Defector of Finance and Operations </w:t>
            </w:r>
            <w:r w:rsidRPr="00210AF6">
              <w:rPr>
                <w:rFonts w:ascii="Verdana" w:eastAsia="Verdana" w:hAnsi="Verdana"/>
                <w:sz w:val="24"/>
                <w:szCs w:val="24"/>
              </w:rPr>
              <w:t xml:space="preserve"> </w:t>
            </w:r>
          </w:p>
          <w:p w14:paraId="7206860D" w14:textId="77777777" w:rsidR="00BA310B" w:rsidRDefault="00BA310B" w:rsidP="008A5834">
            <w:pPr>
              <w:rPr>
                <w:rFonts w:ascii="Verdana" w:eastAsia="Verdana" w:hAnsi="Verdana"/>
                <w:sz w:val="24"/>
                <w:szCs w:val="24"/>
              </w:rPr>
            </w:pPr>
          </w:p>
          <w:p w14:paraId="757DD13F" w14:textId="1A460CA6" w:rsidR="00BA310B" w:rsidRPr="008A5834" w:rsidRDefault="00BA310B" w:rsidP="008A5834">
            <w:pPr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 xml:space="preserve">Business Executive Team – 15 March 2021 </w:t>
            </w:r>
          </w:p>
        </w:tc>
      </w:tr>
      <w:tr w:rsidR="008A5834" w:rsidRPr="00210AF6" w14:paraId="1E782DA9" w14:textId="77777777" w:rsidTr="00B052A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4FA3961" w14:textId="77777777" w:rsidR="008A5834" w:rsidRPr="00210AF6" w:rsidRDefault="008A5834" w:rsidP="008A583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A5834" w:rsidRPr="00210AF6" w14:paraId="56095916" w14:textId="77777777" w:rsidTr="00B052A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37C63B2" w14:textId="77777777" w:rsidR="008A5834" w:rsidRPr="00210AF6" w:rsidRDefault="008A5834" w:rsidP="008A5834">
            <w:pPr>
              <w:rPr>
                <w:rFonts w:ascii="Verdana" w:hAnsi="Verdana"/>
                <w:b/>
                <w:sz w:val="24"/>
                <w:szCs w:val="24"/>
              </w:rPr>
            </w:pPr>
            <w:r w:rsidRPr="00210AF6">
              <w:rPr>
                <w:rFonts w:ascii="Verdana" w:hAnsi="Verdana"/>
                <w:b/>
                <w:sz w:val="24"/>
                <w:szCs w:val="24"/>
              </w:rPr>
              <w:t>Purpose</w:t>
            </w:r>
          </w:p>
        </w:tc>
      </w:tr>
      <w:tr w:rsidR="008A5834" w:rsidRPr="00210AF6" w14:paraId="28DC3494" w14:textId="77777777" w:rsidTr="00B052A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AB8E63" w14:textId="78617C8A" w:rsidR="008A5834" w:rsidRDefault="008A5834" w:rsidP="008A5834">
            <w:pPr>
              <w:tabs>
                <w:tab w:val="left" w:pos="447"/>
              </w:tabs>
              <w:contextualSpacing/>
              <w:jc w:val="both"/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>The purpose of this report is to outline to the Executive Team and the Board the revenue and capital position for Public Health Wales as at 28</w:t>
            </w:r>
            <w:r w:rsidRPr="00AF44B0">
              <w:rPr>
                <w:rFonts w:ascii="Verdana" w:eastAsia="Verdana" w:hAnsi="Verdana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eastAsia="Verdana" w:hAnsi="Verdana"/>
                <w:sz w:val="24"/>
                <w:szCs w:val="24"/>
              </w:rPr>
              <w:t xml:space="preserve"> February 2021, which includes the position on COVID-19.</w:t>
            </w:r>
          </w:p>
          <w:p w14:paraId="33824D4C" w14:textId="77777777" w:rsidR="008A5834" w:rsidRPr="00210AF6" w:rsidRDefault="008A5834" w:rsidP="008A5834">
            <w:pPr>
              <w:tabs>
                <w:tab w:val="left" w:pos="447"/>
              </w:tabs>
              <w:contextualSpacing/>
              <w:jc w:val="both"/>
              <w:rPr>
                <w:rFonts w:ascii="Verdana" w:eastAsia="Symbol" w:hAnsi="Verdana"/>
                <w:b/>
                <w:sz w:val="24"/>
                <w:szCs w:val="24"/>
              </w:rPr>
            </w:pPr>
            <w:r>
              <w:rPr>
                <w:rFonts w:ascii="Verdana" w:eastAsia="Verdana" w:hAnsi="Verdana"/>
                <w:sz w:val="24"/>
                <w:szCs w:val="24"/>
              </w:rPr>
              <w:t xml:space="preserve">  </w:t>
            </w:r>
          </w:p>
        </w:tc>
      </w:tr>
      <w:tr w:rsidR="008A5834" w:rsidRPr="00210AF6" w14:paraId="18DADCE7" w14:textId="77777777" w:rsidTr="00B052A7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22D9CEAF" w14:textId="77777777" w:rsidR="008A5834" w:rsidRPr="00210AF6" w:rsidRDefault="008A5834" w:rsidP="008A583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A5834" w:rsidRPr="00210AF6" w14:paraId="402FFF5C" w14:textId="77777777" w:rsidTr="00B052A7">
        <w:tc>
          <w:tcPr>
            <w:tcW w:w="9016" w:type="dxa"/>
            <w:gridSpan w:val="7"/>
          </w:tcPr>
          <w:p w14:paraId="1F594EC8" w14:textId="77777777" w:rsidR="008A5834" w:rsidRPr="00210AF6" w:rsidRDefault="008A5834" w:rsidP="008A5834">
            <w:pPr>
              <w:rPr>
                <w:rFonts w:ascii="Verdana" w:hAnsi="Verdana"/>
                <w:b/>
                <w:sz w:val="24"/>
                <w:szCs w:val="24"/>
              </w:rPr>
            </w:pPr>
            <w:r w:rsidRPr="00210AF6">
              <w:rPr>
                <w:rFonts w:ascii="Verdana" w:hAnsi="Verdana"/>
                <w:b/>
                <w:sz w:val="24"/>
                <w:szCs w:val="24"/>
              </w:rPr>
              <w:t>Recommendation:</w:t>
            </w:r>
          </w:p>
        </w:tc>
      </w:tr>
      <w:tr w:rsidR="008A5834" w:rsidRPr="00210AF6" w14:paraId="3833F49B" w14:textId="77777777" w:rsidTr="00B052A7">
        <w:tc>
          <w:tcPr>
            <w:tcW w:w="1848" w:type="dxa"/>
            <w:tcBorders>
              <w:bottom w:val="single" w:sz="4" w:space="0" w:color="auto"/>
            </w:tcBorders>
          </w:tcPr>
          <w:p w14:paraId="0C6448D0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t>APPROVE</w:t>
            </w:r>
          </w:p>
          <w:p w14:paraId="7E4A059C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790BDE">
              <w:rPr>
                <w:rFonts w:ascii="Verdana" w:hAnsi="Verdana"/>
                <w:sz w:val="24"/>
                <w:szCs w:val="24"/>
              </w:rPr>
            </w:r>
            <w:r w:rsidR="00790BDE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78C63EC2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t>CONSIDER</w:t>
            </w:r>
          </w:p>
          <w:p w14:paraId="686299E0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</w:instrText>
            </w:r>
            <w:bookmarkStart w:id="1" w:name="Check2"/>
            <w:r>
              <w:rPr>
                <w:rFonts w:ascii="Verdana" w:hAnsi="Verdana"/>
                <w:sz w:val="24"/>
                <w:szCs w:val="24"/>
              </w:rPr>
              <w:instrText xml:space="preserve">FORMCHECKBOX </w:instrText>
            </w:r>
            <w:r w:rsidR="00790BDE">
              <w:rPr>
                <w:rFonts w:ascii="Verdana" w:hAnsi="Verdana"/>
                <w:sz w:val="24"/>
                <w:szCs w:val="24"/>
              </w:rPr>
            </w:r>
            <w:r w:rsidR="00790BDE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29B61AE4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t>RECOMMEND</w:t>
            </w:r>
          </w:p>
          <w:p w14:paraId="4A32619D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10AF6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790BDE">
              <w:rPr>
                <w:rFonts w:ascii="Verdana" w:hAnsi="Verdana"/>
                <w:sz w:val="24"/>
                <w:szCs w:val="24"/>
              </w:rPr>
            </w:r>
            <w:r w:rsidR="00790BDE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210AF6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9D79423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t>ADOPT</w:t>
            </w:r>
          </w:p>
          <w:p w14:paraId="2E5ABCDC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210AF6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790BDE">
              <w:rPr>
                <w:rFonts w:ascii="Verdana" w:hAnsi="Verdana"/>
                <w:sz w:val="24"/>
                <w:szCs w:val="24"/>
              </w:rPr>
            </w:r>
            <w:r w:rsidR="00790BDE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210AF6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6A0C1BF6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t>ASSURANCE</w:t>
            </w:r>
          </w:p>
          <w:p w14:paraId="6D99969D" w14:textId="77777777" w:rsidR="008A5834" w:rsidRPr="00210AF6" w:rsidRDefault="008A5834" w:rsidP="008A583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10AF6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210AF6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790BDE">
              <w:rPr>
                <w:rFonts w:ascii="Verdana" w:hAnsi="Verdana"/>
                <w:sz w:val="24"/>
                <w:szCs w:val="24"/>
              </w:rPr>
            </w:r>
            <w:r w:rsidR="00790BDE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210AF6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4"/>
          </w:p>
        </w:tc>
      </w:tr>
      <w:tr w:rsidR="008A5834" w:rsidRPr="00430F51" w14:paraId="4ACF39A3" w14:textId="77777777" w:rsidTr="00B052A7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51EF678E" w14:textId="4FC8DDEB" w:rsidR="00790BDE" w:rsidRDefault="00790BDE" w:rsidP="00790BDE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012F7D">
              <w:rPr>
                <w:rFonts w:ascii="Verdana" w:hAnsi="Verdana" w:cs="Arial"/>
                <w:sz w:val="24"/>
                <w:szCs w:val="24"/>
              </w:rPr>
              <w:t xml:space="preserve">The Board is asked to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consider</w:t>
            </w:r>
            <w:r w:rsidRPr="00012F7D">
              <w:rPr>
                <w:rFonts w:ascii="Verdana" w:hAnsi="Verdana" w:cs="Arial"/>
                <w:sz w:val="24"/>
                <w:szCs w:val="24"/>
              </w:rPr>
              <w:t xml:space="preserve"> the following:</w:t>
            </w:r>
          </w:p>
          <w:p w14:paraId="67F65F27" w14:textId="77777777" w:rsidR="00790BDE" w:rsidRPr="00012F7D" w:rsidRDefault="00790BDE" w:rsidP="00790BDE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686487B4" w14:textId="77777777" w:rsidR="00790BDE" w:rsidRPr="00790BDE" w:rsidRDefault="00790BDE" w:rsidP="00790BD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012F7D">
              <w:rPr>
                <w:rFonts w:ascii="Verdana" w:hAnsi="Verdana" w:cs="Arial"/>
              </w:rPr>
              <w:t>A surplus financial position of £21k, along with the assumed allocations, reported at month 11;</w:t>
            </w:r>
          </w:p>
          <w:p w14:paraId="73B6EB6A" w14:textId="77777777" w:rsidR="00790BDE" w:rsidRPr="00790BDE" w:rsidRDefault="00790BDE" w:rsidP="00790BD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012F7D">
              <w:rPr>
                <w:rFonts w:ascii="Verdana" w:hAnsi="Verdana" w:cs="Arial"/>
              </w:rPr>
              <w:t>A forecast year-end break-even position, which includes the month 12 projections for Covid-19 testing capacity;</w:t>
            </w:r>
          </w:p>
          <w:p w14:paraId="4B723858" w14:textId="77777777" w:rsidR="00790BDE" w:rsidRDefault="00790BDE" w:rsidP="00790BD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012F7D">
              <w:rPr>
                <w:rFonts w:ascii="Verdana" w:hAnsi="Verdana" w:cs="Arial"/>
              </w:rPr>
              <w:t>Status of the Capital Programme, strategic and discretionary, for 2020/21, and</w:t>
            </w:r>
          </w:p>
          <w:p w14:paraId="77E8651A" w14:textId="77777777" w:rsidR="00790BDE" w:rsidRPr="00790BDE" w:rsidRDefault="00790BDE" w:rsidP="00790BD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790BDE">
              <w:rPr>
                <w:rFonts w:ascii="Verdana" w:hAnsi="Verdana"/>
              </w:rPr>
              <w:t>Balance Sheet, or Statement of Financial Position, which includes the cash balance of £5.943m at month 11</w:t>
            </w:r>
            <w:r>
              <w:rPr>
                <w:rFonts w:ascii="Verdana" w:hAnsi="Verdana"/>
              </w:rPr>
              <w:t>.</w:t>
            </w:r>
          </w:p>
          <w:p w14:paraId="532C62DD" w14:textId="77777777" w:rsidR="00790BDE" w:rsidRPr="00790BDE" w:rsidRDefault="00790BDE" w:rsidP="00790BDE">
            <w:pPr>
              <w:jc w:val="both"/>
              <w:rPr>
                <w:rFonts w:ascii="Verdana" w:hAnsi="Verdana" w:cs="Arial"/>
              </w:rPr>
            </w:pPr>
          </w:p>
          <w:p w14:paraId="4E41BBD2" w14:textId="7656EB98" w:rsidR="008A5834" w:rsidRPr="00430F51" w:rsidRDefault="008A5834" w:rsidP="008A5834">
            <w:pPr>
              <w:rPr>
                <w:rFonts w:ascii="Verdana" w:eastAsia="Times New Roman" w:hAnsi="Verdana"/>
                <w:b/>
                <w:sz w:val="24"/>
                <w:szCs w:val="24"/>
                <w:highlight w:val="magenta"/>
              </w:rPr>
            </w:pPr>
          </w:p>
        </w:tc>
      </w:tr>
    </w:tbl>
    <w:p w14:paraId="0AE2ED99" w14:textId="77777777" w:rsidR="000A2ADC" w:rsidRPr="00430F51" w:rsidRDefault="000A2ADC" w:rsidP="00210AF6">
      <w:pPr>
        <w:spacing w:after="0" w:line="240" w:lineRule="auto"/>
        <w:rPr>
          <w:rFonts w:ascii="Verdana" w:hAnsi="Verdana"/>
          <w:sz w:val="24"/>
          <w:szCs w:val="24"/>
          <w:highlight w:val="magenta"/>
        </w:rPr>
        <w:sectPr w:rsidR="000A2ADC" w:rsidRPr="00430F51" w:rsidSect="005D3867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C1AFB8" w14:textId="77777777" w:rsidR="00210AF6" w:rsidRPr="00F00B6F" w:rsidRDefault="00C32013" w:rsidP="00210AF6">
      <w:pPr>
        <w:pStyle w:val="ListParagraph"/>
        <w:numPr>
          <w:ilvl w:val="0"/>
          <w:numId w:val="10"/>
        </w:numPr>
        <w:rPr>
          <w:rFonts w:ascii="Verdana" w:eastAsia="Times New Roman" w:hAnsi="Verdana"/>
          <w:b/>
          <w:u w:val="single"/>
        </w:rPr>
      </w:pPr>
      <w:r w:rsidRPr="00F00B6F">
        <w:rPr>
          <w:rFonts w:ascii="Verdana" w:eastAsia="Times New Roman" w:hAnsi="Verdana"/>
          <w:b/>
          <w:u w:val="single"/>
        </w:rPr>
        <w:lastRenderedPageBreak/>
        <w:t>Introduction and Context</w:t>
      </w:r>
    </w:p>
    <w:p w14:paraId="277EF4F8" w14:textId="77777777" w:rsidR="004321BE" w:rsidRPr="00F00B6F" w:rsidRDefault="004321BE" w:rsidP="009A35BA">
      <w:pPr>
        <w:jc w:val="both"/>
        <w:rPr>
          <w:rFonts w:ascii="Verdana" w:eastAsia="Times New Roman" w:hAnsi="Verdana"/>
          <w:sz w:val="24"/>
          <w:szCs w:val="24"/>
        </w:rPr>
      </w:pPr>
    </w:p>
    <w:p w14:paraId="4C88A0BD" w14:textId="5655D9F5" w:rsidR="002D34FE" w:rsidRPr="00B7225F" w:rsidRDefault="00CB3487" w:rsidP="002D34FE">
      <w:pPr>
        <w:spacing w:before="120" w:after="120"/>
        <w:jc w:val="both"/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</w:pPr>
      <w:r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The purpose of this report is to outline to the Executive Team and the Board the revenue and capital position for Public Health Wales</w:t>
      </w:r>
      <w:r w:rsidR="00B7225F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 as at 28th</w:t>
      </w:r>
      <w:r w:rsidR="005335E0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B7225F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Februa</w:t>
      </w:r>
      <w:r w:rsidR="00794AC9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ry</w:t>
      </w:r>
      <w:r w:rsidR="00F00B6F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 202</w:t>
      </w:r>
      <w:r w:rsidR="00B7225F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1 (M11</w:t>
      </w:r>
      <w:r w:rsidR="001C653D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). The report</w:t>
      </w:r>
      <w:r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 is also circulated to the Audit and Corporate Governance Committee. The content of this report is reflected in the Director of Finance commentary that has been sub</w:t>
      </w:r>
      <w:r w:rsidR="005335E0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mitted to Welsh Government on 1</w:t>
      </w:r>
      <w:r w:rsidR="00794AC9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1</w:t>
      </w:r>
      <w:r w:rsidR="00A71841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th </w:t>
      </w:r>
      <w:r w:rsidR="00B7225F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March</w:t>
      </w:r>
      <w:r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 202</w:t>
      </w:r>
      <w:r w:rsidR="00794AC9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1</w:t>
      </w:r>
      <w:r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 as part of the full financi</w:t>
      </w:r>
      <w:r w:rsidR="005335E0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al monitoring re</w:t>
      </w:r>
      <w:r w:rsidR="00F00B6F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turn for Month </w:t>
      </w:r>
      <w:r w:rsidR="00B7225F"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>11</w:t>
      </w:r>
      <w:r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.  </w:t>
      </w:r>
    </w:p>
    <w:p w14:paraId="308B59EA" w14:textId="4275D7F0" w:rsidR="00CB3487" w:rsidRDefault="00CB3487" w:rsidP="00CB3487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</w:pPr>
      <w:r w:rsidRPr="00B7225F"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  <w:t xml:space="preserve">The following table highlights the performance against the key revenue and capital financial targets. </w:t>
      </w:r>
    </w:p>
    <w:p w14:paraId="3DE9EA27" w14:textId="77777777" w:rsidR="00DA25D9" w:rsidRPr="00B7225F" w:rsidRDefault="00DA25D9" w:rsidP="00CB3487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938"/>
        <w:gridCol w:w="1674"/>
        <w:gridCol w:w="1437"/>
        <w:gridCol w:w="1972"/>
      </w:tblGrid>
      <w:tr w:rsidR="00EC58CE" w:rsidRPr="002979D2" w14:paraId="39036FB4" w14:textId="77777777" w:rsidTr="00EC58CE">
        <w:trPr>
          <w:trHeight w:val="624"/>
        </w:trPr>
        <w:tc>
          <w:tcPr>
            <w:tcW w:w="0" w:type="auto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2F75B5"/>
            <w:hideMark/>
          </w:tcPr>
          <w:p w14:paraId="6D052505" w14:textId="77777777" w:rsidR="00EC58CE" w:rsidRPr="002979D2" w:rsidRDefault="00EC58CE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Target</w:t>
            </w:r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2F75B5"/>
            <w:hideMark/>
          </w:tcPr>
          <w:p w14:paraId="796A27CD" w14:textId="77777777" w:rsidR="00EC58CE" w:rsidRPr="002979D2" w:rsidRDefault="00EC58CE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Current Month</w:t>
            </w:r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2F75B5"/>
            <w:hideMark/>
          </w:tcPr>
          <w:p w14:paraId="7885CE64" w14:textId="77777777" w:rsidR="00EC58CE" w:rsidRPr="002979D2" w:rsidRDefault="00EC58CE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Year to Date</w:t>
            </w:r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2F75B5"/>
            <w:hideMark/>
          </w:tcPr>
          <w:p w14:paraId="404BDA53" w14:textId="77777777" w:rsidR="00EC58CE" w:rsidRPr="002979D2" w:rsidRDefault="00EC58CE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Year-end Forecast</w:t>
            </w:r>
          </w:p>
        </w:tc>
      </w:tr>
      <w:tr w:rsidR="00EC58CE" w:rsidRPr="002979D2" w14:paraId="17C56A80" w14:textId="77777777" w:rsidTr="00EC58CE">
        <w:trPr>
          <w:trHeight w:val="798"/>
        </w:trPr>
        <w:tc>
          <w:tcPr>
            <w:tcW w:w="0" w:type="auto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3E12627" w14:textId="77777777" w:rsidR="00EC58CE" w:rsidRPr="002979D2" w:rsidRDefault="00EC58CE" w:rsidP="00EC5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Revenue financial target Deficit/(Surplus)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C6E0B4"/>
            <w:noWrap/>
            <w:vAlign w:val="center"/>
            <w:hideMark/>
          </w:tcPr>
          <w:p w14:paraId="7F81973B" w14:textId="0B6E5677" w:rsidR="00EC58CE" w:rsidRPr="002979D2" w:rsidRDefault="00630179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993B64F" w14:textId="670682D4" w:rsidR="00EC58CE" w:rsidRPr="002979D2" w:rsidRDefault="00F00B6F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</w:t>
            </w:r>
            <w:r w:rsidR="002979D2"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21</w:t>
            </w:r>
            <w:r w:rsidR="00EC58CE"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A9D08E"/>
            <w:vAlign w:val="center"/>
            <w:hideMark/>
          </w:tcPr>
          <w:p w14:paraId="22C5C28D" w14:textId="77777777" w:rsidR="00EC58CE" w:rsidRPr="002979D2" w:rsidRDefault="00EC58CE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Breakeven</w:t>
            </w:r>
          </w:p>
        </w:tc>
      </w:tr>
      <w:tr w:rsidR="00EC58CE" w:rsidRPr="002979D2" w14:paraId="21AE3B29" w14:textId="77777777" w:rsidTr="00EC58CE">
        <w:trPr>
          <w:trHeight w:val="798"/>
        </w:trPr>
        <w:tc>
          <w:tcPr>
            <w:tcW w:w="0" w:type="auto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B936AB9" w14:textId="77777777" w:rsidR="00EC58CE" w:rsidRPr="002979D2" w:rsidRDefault="00EC58CE" w:rsidP="00EC5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Capital financial target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C6E0B4"/>
            <w:noWrap/>
            <w:vAlign w:val="center"/>
            <w:hideMark/>
          </w:tcPr>
          <w:p w14:paraId="3171F3DB" w14:textId="6647287D" w:rsidR="00EC58CE" w:rsidRPr="002979D2" w:rsidRDefault="002979D2" w:rsidP="00D82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11.955</w:t>
            </w:r>
            <w:r w:rsidR="00EC58CE"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BA4D852" w14:textId="183F4E2B" w:rsidR="00EC58CE" w:rsidRPr="002979D2" w:rsidRDefault="002979D2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10.690</w:t>
            </w:r>
            <w:r w:rsidR="00EC58CE"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A9D08E"/>
            <w:vAlign w:val="center"/>
            <w:hideMark/>
          </w:tcPr>
          <w:p w14:paraId="7E0BB1BA" w14:textId="77777777" w:rsidR="00EC58CE" w:rsidRPr="002979D2" w:rsidRDefault="00EC58CE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Breakeven</w:t>
            </w:r>
          </w:p>
        </w:tc>
      </w:tr>
      <w:tr w:rsidR="00EC58CE" w:rsidRPr="002979D2" w14:paraId="7C63D5B6" w14:textId="77777777" w:rsidTr="00EC58CE">
        <w:trPr>
          <w:trHeight w:val="798"/>
        </w:trPr>
        <w:tc>
          <w:tcPr>
            <w:tcW w:w="0" w:type="auto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42060D9" w14:textId="77777777" w:rsidR="00EC58CE" w:rsidRPr="002979D2" w:rsidRDefault="00EC58CE" w:rsidP="00EC5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Public Sector Payment Policy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C6E0B4"/>
            <w:noWrap/>
            <w:vAlign w:val="center"/>
            <w:hideMark/>
          </w:tcPr>
          <w:p w14:paraId="59302D36" w14:textId="0F16C4C9" w:rsidR="00EC58CE" w:rsidRPr="002979D2" w:rsidRDefault="00630179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96</w:t>
            </w:r>
            <w:r w:rsidR="00EC58CE"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8435C4A" w14:textId="694BE5D5" w:rsidR="00EC58CE" w:rsidRPr="002979D2" w:rsidRDefault="00630179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96.26</w:t>
            </w:r>
            <w:r w:rsidR="00EC58CE"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A9D08E"/>
            <w:vAlign w:val="center"/>
            <w:hideMark/>
          </w:tcPr>
          <w:p w14:paraId="3B385D66" w14:textId="77777777" w:rsidR="00EC58CE" w:rsidRPr="002979D2" w:rsidRDefault="00EC58CE" w:rsidP="00EC5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979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&gt;95%</w:t>
            </w:r>
          </w:p>
        </w:tc>
      </w:tr>
    </w:tbl>
    <w:p w14:paraId="1D0AA825" w14:textId="77777777" w:rsidR="00CB3487" w:rsidRPr="002979D2" w:rsidRDefault="00CB3487" w:rsidP="00CB3487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 w:themeColor="text1"/>
          <w:kern w:val="24"/>
          <w:sz w:val="24"/>
          <w:szCs w:val="24"/>
          <w:lang w:eastAsia="en-GB"/>
        </w:rPr>
      </w:pPr>
    </w:p>
    <w:p w14:paraId="3CE16530" w14:textId="7D74F0BB" w:rsidR="00750FAB" w:rsidRPr="0070223B" w:rsidRDefault="00417C5D" w:rsidP="003D446B">
      <w:pPr>
        <w:jc w:val="both"/>
        <w:rPr>
          <w:rFonts w:ascii="Verdana" w:eastAsia="Times New Roman" w:hAnsi="Verdana"/>
          <w:sz w:val="24"/>
          <w:szCs w:val="24"/>
        </w:rPr>
      </w:pPr>
      <w:r w:rsidRPr="002979D2">
        <w:rPr>
          <w:rFonts w:ascii="Verdana" w:eastAsia="Times New Roman" w:hAnsi="Verdana"/>
          <w:sz w:val="24"/>
          <w:szCs w:val="24"/>
        </w:rPr>
        <w:t xml:space="preserve">The Public Health </w:t>
      </w:r>
      <w:r w:rsidR="00EC58CE" w:rsidRPr="002979D2">
        <w:rPr>
          <w:rFonts w:ascii="Verdana" w:eastAsia="Times New Roman" w:hAnsi="Verdana"/>
          <w:sz w:val="24"/>
          <w:szCs w:val="24"/>
        </w:rPr>
        <w:t>W</w:t>
      </w:r>
      <w:r w:rsidR="00D823E5" w:rsidRPr="002979D2">
        <w:rPr>
          <w:rFonts w:ascii="Verdana" w:eastAsia="Times New Roman" w:hAnsi="Verdana"/>
          <w:sz w:val="24"/>
          <w:szCs w:val="24"/>
        </w:rPr>
        <w:t xml:space="preserve">ales financial position as at </w:t>
      </w:r>
      <w:r w:rsidR="0070223B" w:rsidRPr="002979D2">
        <w:rPr>
          <w:rFonts w:ascii="Verdana" w:eastAsia="Times New Roman" w:hAnsi="Verdana"/>
          <w:sz w:val="24"/>
          <w:szCs w:val="24"/>
        </w:rPr>
        <w:t>28</w:t>
      </w:r>
      <w:r w:rsidR="0070223B" w:rsidRPr="002979D2">
        <w:rPr>
          <w:rFonts w:ascii="Verdana" w:eastAsia="Times New Roman" w:hAnsi="Verdana"/>
          <w:sz w:val="24"/>
          <w:szCs w:val="24"/>
          <w:vertAlign w:val="superscript"/>
        </w:rPr>
        <w:t>th</w:t>
      </w:r>
      <w:r w:rsidR="0070223B" w:rsidRPr="002979D2">
        <w:rPr>
          <w:rFonts w:ascii="Verdana" w:eastAsia="Times New Roman" w:hAnsi="Verdana"/>
          <w:sz w:val="24"/>
          <w:szCs w:val="24"/>
        </w:rPr>
        <w:t xml:space="preserve"> February</w:t>
      </w:r>
      <w:r w:rsidR="003050AA" w:rsidRPr="002979D2">
        <w:rPr>
          <w:rFonts w:ascii="Verdana" w:eastAsia="Times New Roman" w:hAnsi="Verdana"/>
          <w:sz w:val="24"/>
          <w:szCs w:val="24"/>
        </w:rPr>
        <w:t xml:space="preserve"> </w:t>
      </w:r>
      <w:r w:rsidR="0094079D" w:rsidRPr="002979D2">
        <w:rPr>
          <w:rFonts w:ascii="Verdana" w:eastAsia="Times New Roman" w:hAnsi="Verdana"/>
          <w:sz w:val="24"/>
          <w:szCs w:val="24"/>
        </w:rPr>
        <w:t>i</w:t>
      </w:r>
      <w:r w:rsidR="003D446B" w:rsidRPr="002979D2">
        <w:rPr>
          <w:rFonts w:ascii="Verdana" w:eastAsia="Times New Roman" w:hAnsi="Verdana"/>
          <w:sz w:val="24"/>
          <w:szCs w:val="24"/>
        </w:rPr>
        <w:t xml:space="preserve">s </w:t>
      </w:r>
      <w:r w:rsidR="006E4369" w:rsidRPr="002979D2">
        <w:rPr>
          <w:rFonts w:ascii="Verdana" w:eastAsia="Times New Roman" w:hAnsi="Verdana"/>
          <w:sz w:val="24"/>
          <w:szCs w:val="24"/>
        </w:rPr>
        <w:t>a</w:t>
      </w:r>
      <w:r w:rsidR="002979D2" w:rsidRPr="002979D2">
        <w:rPr>
          <w:rFonts w:ascii="Verdana" w:eastAsia="Times New Roman" w:hAnsi="Verdana"/>
          <w:sz w:val="24"/>
          <w:szCs w:val="24"/>
        </w:rPr>
        <w:t xml:space="preserve"> net surplus of £21</w:t>
      </w:r>
      <w:r w:rsidR="00834652" w:rsidRPr="002979D2">
        <w:rPr>
          <w:rFonts w:ascii="Verdana" w:eastAsia="Times New Roman" w:hAnsi="Verdana"/>
          <w:sz w:val="24"/>
          <w:szCs w:val="24"/>
        </w:rPr>
        <w:t>k</w:t>
      </w:r>
      <w:r w:rsidR="00FE66BE" w:rsidRPr="002979D2">
        <w:rPr>
          <w:rFonts w:ascii="Verdana" w:eastAsia="Times New Roman" w:hAnsi="Verdana"/>
          <w:sz w:val="24"/>
          <w:szCs w:val="24"/>
        </w:rPr>
        <w:t xml:space="preserve">. </w:t>
      </w:r>
      <w:r w:rsidR="00FE66BE" w:rsidRPr="0070223B">
        <w:rPr>
          <w:rFonts w:ascii="Verdana" w:eastAsia="Times New Roman" w:hAnsi="Verdana"/>
          <w:sz w:val="24"/>
          <w:szCs w:val="24"/>
        </w:rPr>
        <w:t>This position includes £</w:t>
      </w:r>
      <w:r w:rsidR="0070223B" w:rsidRPr="0070223B">
        <w:rPr>
          <w:rFonts w:ascii="Verdana" w:eastAsia="Times New Roman" w:hAnsi="Verdana"/>
          <w:sz w:val="24"/>
          <w:szCs w:val="24"/>
        </w:rPr>
        <w:t>41.956</w:t>
      </w:r>
      <w:r w:rsidR="00FE66BE" w:rsidRPr="0070223B">
        <w:rPr>
          <w:rFonts w:ascii="Verdana" w:eastAsia="Times New Roman" w:hAnsi="Verdana"/>
          <w:sz w:val="24"/>
          <w:szCs w:val="24"/>
        </w:rPr>
        <w:t xml:space="preserve">m of costs directly related to the </w:t>
      </w:r>
      <w:r w:rsidR="00750FAB" w:rsidRPr="0070223B">
        <w:rPr>
          <w:rFonts w:ascii="Verdana" w:eastAsia="Times New Roman" w:hAnsi="Verdana"/>
          <w:sz w:val="24"/>
          <w:szCs w:val="24"/>
        </w:rPr>
        <w:t>COVID-19 response, of which:</w:t>
      </w:r>
    </w:p>
    <w:p w14:paraId="2DF3C2CC" w14:textId="39CFFE53" w:rsidR="00750FAB" w:rsidRPr="00074FCD" w:rsidRDefault="0070223B" w:rsidP="00750FAB">
      <w:pPr>
        <w:pStyle w:val="ListParagraph"/>
        <w:numPr>
          <w:ilvl w:val="0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074FCD">
        <w:rPr>
          <w:rFonts w:ascii="Verdana" w:hAnsi="Verdana"/>
        </w:rPr>
        <w:t xml:space="preserve">£3.008m </w:t>
      </w:r>
      <w:r w:rsidR="00750FAB" w:rsidRPr="00074FCD">
        <w:rPr>
          <w:rFonts w:ascii="Verdana" w:hAnsi="Verdana"/>
        </w:rPr>
        <w:t xml:space="preserve">has been met from within Public Health Wales budgets </w:t>
      </w:r>
      <w:r w:rsidR="00140A18" w:rsidRPr="00074FCD">
        <w:rPr>
          <w:rFonts w:ascii="Verdana" w:hAnsi="Verdana"/>
        </w:rPr>
        <w:t xml:space="preserve">to cover the following costs </w:t>
      </w:r>
      <w:r w:rsidR="00750FAB" w:rsidRPr="00074FCD">
        <w:rPr>
          <w:rFonts w:ascii="Verdana" w:hAnsi="Verdana"/>
        </w:rPr>
        <w:t>as follows:</w:t>
      </w:r>
    </w:p>
    <w:p w14:paraId="7B84D636" w14:textId="133789A9" w:rsidR="00750FAB" w:rsidRPr="00074FCD" w:rsidRDefault="0070223B" w:rsidP="00750FAB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074FCD">
        <w:rPr>
          <w:rFonts w:ascii="Verdana" w:hAnsi="Verdana"/>
        </w:rPr>
        <w:t xml:space="preserve">£1.235m </w:t>
      </w:r>
      <w:r w:rsidR="00750FAB" w:rsidRPr="00074FCD">
        <w:rPr>
          <w:rFonts w:ascii="Verdana" w:hAnsi="Verdana"/>
        </w:rPr>
        <w:t>from pay underspends</w:t>
      </w:r>
      <w:r w:rsidR="00204E18" w:rsidRPr="00074FCD">
        <w:rPr>
          <w:rFonts w:ascii="Verdana" w:hAnsi="Verdana"/>
        </w:rPr>
        <w:t>;</w:t>
      </w:r>
    </w:p>
    <w:p w14:paraId="321AC81C" w14:textId="473584EE" w:rsidR="00750FAB" w:rsidRPr="00074FCD" w:rsidRDefault="00074FCD" w:rsidP="00750FAB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074FCD">
        <w:rPr>
          <w:rFonts w:ascii="Verdana" w:hAnsi="Verdana"/>
        </w:rPr>
        <w:t>£1.501</w:t>
      </w:r>
      <w:r w:rsidR="00EC7C84">
        <w:rPr>
          <w:rFonts w:ascii="Verdana" w:hAnsi="Verdana"/>
        </w:rPr>
        <w:t>m</w:t>
      </w:r>
      <w:r w:rsidRPr="00074FCD">
        <w:rPr>
          <w:rFonts w:ascii="Verdana" w:hAnsi="Verdana"/>
        </w:rPr>
        <w:t xml:space="preserve"> </w:t>
      </w:r>
      <w:r w:rsidR="00750FAB" w:rsidRPr="00074FCD">
        <w:rPr>
          <w:rFonts w:ascii="Verdana" w:hAnsi="Verdana"/>
        </w:rPr>
        <w:t>from non-pay reductions in spend and internal investment slippage</w:t>
      </w:r>
      <w:r w:rsidR="00F239DF" w:rsidRPr="00074FCD">
        <w:rPr>
          <w:rFonts w:ascii="Verdana" w:hAnsi="Verdana"/>
        </w:rPr>
        <w:t>, and</w:t>
      </w:r>
      <w:r w:rsidR="00750FAB" w:rsidRPr="00074FCD">
        <w:rPr>
          <w:rFonts w:ascii="Verdana" w:hAnsi="Verdana"/>
        </w:rPr>
        <w:t xml:space="preserve"> </w:t>
      </w:r>
    </w:p>
    <w:p w14:paraId="487BA2A1" w14:textId="6C602DF6" w:rsidR="005D33F8" w:rsidRPr="00074FCD" w:rsidRDefault="00074FCD" w:rsidP="00750FAB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074FCD">
        <w:rPr>
          <w:rFonts w:ascii="Verdana" w:hAnsi="Verdana"/>
        </w:rPr>
        <w:t>£</w:t>
      </w:r>
      <w:r w:rsidR="00EC7C84">
        <w:rPr>
          <w:rFonts w:ascii="Verdana" w:hAnsi="Verdana"/>
        </w:rPr>
        <w:t>0.</w:t>
      </w:r>
      <w:r w:rsidRPr="00074FCD">
        <w:rPr>
          <w:rFonts w:ascii="Verdana" w:hAnsi="Verdana"/>
        </w:rPr>
        <w:t>272</w:t>
      </w:r>
      <w:r w:rsidR="00EC7C84">
        <w:rPr>
          <w:rFonts w:ascii="Verdana" w:hAnsi="Verdana"/>
        </w:rPr>
        <w:t>m</w:t>
      </w:r>
      <w:r w:rsidRPr="00074FCD">
        <w:rPr>
          <w:rFonts w:ascii="Verdana" w:hAnsi="Verdana"/>
        </w:rPr>
        <w:t xml:space="preserve"> </w:t>
      </w:r>
      <w:r w:rsidR="00750FAB" w:rsidRPr="00074FCD">
        <w:rPr>
          <w:rFonts w:ascii="Verdana" w:hAnsi="Verdana"/>
        </w:rPr>
        <w:t>from the re-purposing of the investment funding from the National Health Protection Service</w:t>
      </w:r>
      <w:r w:rsidR="00BE2FB3" w:rsidRPr="00074FCD">
        <w:rPr>
          <w:rFonts w:ascii="Verdana" w:hAnsi="Verdana"/>
        </w:rPr>
        <w:t xml:space="preserve"> </w:t>
      </w:r>
    </w:p>
    <w:p w14:paraId="4A1AC6C4" w14:textId="3123FBB9" w:rsidR="00750FAB" w:rsidRPr="00074FCD" w:rsidRDefault="00750FAB" w:rsidP="00750FAB">
      <w:pPr>
        <w:pStyle w:val="ListParagraph"/>
        <w:numPr>
          <w:ilvl w:val="0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074FCD">
        <w:rPr>
          <w:rFonts w:ascii="Verdana" w:hAnsi="Verdana"/>
        </w:rPr>
        <w:t>£</w:t>
      </w:r>
      <w:r w:rsidR="00EC7C84">
        <w:rPr>
          <w:rFonts w:ascii="Verdana" w:hAnsi="Verdana"/>
        </w:rPr>
        <w:t>0.</w:t>
      </w:r>
      <w:r w:rsidR="00074FCD" w:rsidRPr="00074FCD">
        <w:rPr>
          <w:rFonts w:ascii="Verdana" w:hAnsi="Verdana"/>
        </w:rPr>
        <w:t>928</w:t>
      </w:r>
      <w:r w:rsidR="00EC7C84">
        <w:rPr>
          <w:rFonts w:ascii="Verdana" w:hAnsi="Verdana"/>
        </w:rPr>
        <w:t>m</w:t>
      </w:r>
      <w:r w:rsidRPr="00074FCD">
        <w:rPr>
          <w:rFonts w:ascii="Verdana" w:hAnsi="Verdana"/>
        </w:rPr>
        <w:t xml:space="preserve"> has been met from external funding in respect of Genomics sequencing tests</w:t>
      </w:r>
      <w:r w:rsidR="00237D70" w:rsidRPr="00074FCD">
        <w:rPr>
          <w:rFonts w:ascii="Verdana" w:hAnsi="Verdana"/>
        </w:rPr>
        <w:t xml:space="preserve"> </w:t>
      </w:r>
      <w:r w:rsidR="00881990" w:rsidRPr="00074FCD">
        <w:rPr>
          <w:rFonts w:ascii="Verdana" w:hAnsi="Verdana"/>
        </w:rPr>
        <w:t xml:space="preserve">of </w:t>
      </w:r>
      <w:r w:rsidR="00417A0C" w:rsidRPr="00074FCD">
        <w:rPr>
          <w:rFonts w:ascii="Verdana" w:hAnsi="Verdana"/>
        </w:rPr>
        <w:t>£</w:t>
      </w:r>
      <w:r w:rsidR="00EC7C84">
        <w:rPr>
          <w:rFonts w:ascii="Verdana" w:hAnsi="Verdana"/>
        </w:rPr>
        <w:t>0.</w:t>
      </w:r>
      <w:r w:rsidR="00074FCD" w:rsidRPr="00074FCD">
        <w:rPr>
          <w:rFonts w:ascii="Verdana" w:hAnsi="Verdana"/>
        </w:rPr>
        <w:t>875</w:t>
      </w:r>
      <w:r w:rsidR="00EC7C84">
        <w:rPr>
          <w:rFonts w:ascii="Verdana" w:hAnsi="Verdana"/>
        </w:rPr>
        <w:t>m</w:t>
      </w:r>
      <w:r w:rsidR="00417A0C" w:rsidRPr="00074FCD">
        <w:rPr>
          <w:rFonts w:ascii="Verdana" w:hAnsi="Verdana"/>
        </w:rPr>
        <w:t xml:space="preserve"> </w:t>
      </w:r>
      <w:r w:rsidR="00881990" w:rsidRPr="00074FCD">
        <w:rPr>
          <w:rFonts w:ascii="Verdana" w:hAnsi="Verdana"/>
        </w:rPr>
        <w:t xml:space="preserve">and platform validation </w:t>
      </w:r>
      <w:r w:rsidR="00417A0C" w:rsidRPr="00074FCD">
        <w:rPr>
          <w:rFonts w:ascii="Verdana" w:hAnsi="Verdana"/>
        </w:rPr>
        <w:t>of £</w:t>
      </w:r>
      <w:r w:rsidR="00EC7C84">
        <w:rPr>
          <w:rFonts w:ascii="Verdana" w:hAnsi="Verdana"/>
        </w:rPr>
        <w:t>0.0</w:t>
      </w:r>
      <w:r w:rsidR="00417A0C" w:rsidRPr="00074FCD">
        <w:rPr>
          <w:rFonts w:ascii="Verdana" w:hAnsi="Verdana"/>
        </w:rPr>
        <w:t>5</w:t>
      </w:r>
      <w:r w:rsidR="00074FCD" w:rsidRPr="00074FCD">
        <w:rPr>
          <w:rFonts w:ascii="Verdana" w:hAnsi="Verdana"/>
        </w:rPr>
        <w:t>3</w:t>
      </w:r>
      <w:r w:rsidR="00EC7C84">
        <w:rPr>
          <w:rFonts w:ascii="Verdana" w:hAnsi="Verdana"/>
        </w:rPr>
        <w:t>m</w:t>
      </w:r>
      <w:r w:rsidRPr="00074FCD">
        <w:rPr>
          <w:rFonts w:ascii="Verdana" w:hAnsi="Verdana"/>
        </w:rPr>
        <w:t xml:space="preserve">, with </w:t>
      </w:r>
    </w:p>
    <w:p w14:paraId="0048239A" w14:textId="583A0F63" w:rsidR="00140A18" w:rsidRPr="00EC7C84" w:rsidRDefault="00750FAB" w:rsidP="00140A18">
      <w:pPr>
        <w:pStyle w:val="ListParagraph"/>
        <w:numPr>
          <w:ilvl w:val="0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>£</w:t>
      </w:r>
      <w:r w:rsidR="00417A0C" w:rsidRPr="00EC7C84">
        <w:rPr>
          <w:rFonts w:ascii="Verdana" w:hAnsi="Verdana"/>
        </w:rPr>
        <w:t>3</w:t>
      </w:r>
      <w:r w:rsidR="00074FCD" w:rsidRPr="00EC7C84">
        <w:rPr>
          <w:rFonts w:ascii="Verdana" w:hAnsi="Verdana"/>
        </w:rPr>
        <w:t>8</w:t>
      </w:r>
      <w:r w:rsidR="00417A0C" w:rsidRPr="00EC7C84">
        <w:rPr>
          <w:rFonts w:ascii="Verdana" w:hAnsi="Verdana"/>
        </w:rPr>
        <w:t>.</w:t>
      </w:r>
      <w:r w:rsidR="00074FCD" w:rsidRPr="00EC7C84">
        <w:rPr>
          <w:rFonts w:ascii="Verdana" w:hAnsi="Verdana"/>
        </w:rPr>
        <w:t>020</w:t>
      </w:r>
      <w:r w:rsidRPr="00EC7C84">
        <w:rPr>
          <w:rFonts w:ascii="Verdana" w:hAnsi="Verdana"/>
        </w:rPr>
        <w:t>m of additional funding fro</w:t>
      </w:r>
      <w:r w:rsidR="00237D70" w:rsidRPr="00EC7C84">
        <w:rPr>
          <w:rFonts w:ascii="Verdana" w:hAnsi="Verdana"/>
        </w:rPr>
        <w:t>m Welsh Government covering</w:t>
      </w:r>
      <w:r w:rsidR="00140A18" w:rsidRPr="00EC7C84">
        <w:rPr>
          <w:rFonts w:ascii="Verdana" w:hAnsi="Verdana"/>
        </w:rPr>
        <w:t>:</w:t>
      </w:r>
    </w:p>
    <w:p w14:paraId="6A8A689D" w14:textId="77777777" w:rsidR="00140A18" w:rsidRPr="00EC7C84" w:rsidRDefault="00140A18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>P</w:t>
      </w:r>
      <w:r w:rsidR="00237D70" w:rsidRPr="00EC7C84">
        <w:rPr>
          <w:rFonts w:ascii="Verdana" w:hAnsi="Verdana"/>
        </w:rPr>
        <w:t>ay</w:t>
      </w:r>
      <w:r w:rsidR="00D93D22" w:rsidRPr="00EC7C84">
        <w:rPr>
          <w:rFonts w:ascii="Verdana" w:hAnsi="Verdana"/>
        </w:rPr>
        <w:t xml:space="preserve"> (</w:t>
      </w:r>
      <w:r w:rsidR="00E815F3" w:rsidRPr="00EC7C84">
        <w:rPr>
          <w:rFonts w:ascii="Verdana" w:hAnsi="Verdana"/>
        </w:rPr>
        <w:t>Q</w:t>
      </w:r>
      <w:r w:rsidR="00204E18" w:rsidRPr="00EC7C84">
        <w:rPr>
          <w:rFonts w:ascii="Verdana" w:hAnsi="Verdana"/>
        </w:rPr>
        <w:t xml:space="preserve">uarters </w:t>
      </w:r>
      <w:r w:rsidR="00D93D22" w:rsidRPr="00EC7C84">
        <w:rPr>
          <w:rFonts w:ascii="Verdana" w:hAnsi="Verdana"/>
        </w:rPr>
        <w:t>1</w:t>
      </w:r>
      <w:r w:rsidR="00204E18" w:rsidRPr="00EC7C84">
        <w:rPr>
          <w:rFonts w:ascii="Verdana" w:hAnsi="Verdana"/>
        </w:rPr>
        <w:t xml:space="preserve"> </w:t>
      </w:r>
      <w:r w:rsidR="00D93D22" w:rsidRPr="00EC7C84">
        <w:rPr>
          <w:rFonts w:ascii="Verdana" w:hAnsi="Verdana"/>
        </w:rPr>
        <w:t>&amp;</w:t>
      </w:r>
      <w:r w:rsidR="00204E18" w:rsidRPr="00EC7C84">
        <w:rPr>
          <w:rFonts w:ascii="Verdana" w:hAnsi="Verdana"/>
        </w:rPr>
        <w:t xml:space="preserve"> </w:t>
      </w:r>
      <w:r w:rsidR="00D93D22" w:rsidRPr="00EC7C84">
        <w:rPr>
          <w:rFonts w:ascii="Verdana" w:hAnsi="Verdana"/>
        </w:rPr>
        <w:t>2)</w:t>
      </w:r>
      <w:r w:rsidR="00237D70" w:rsidRPr="00EC7C84">
        <w:rPr>
          <w:rFonts w:ascii="Verdana" w:hAnsi="Verdana"/>
        </w:rPr>
        <w:t xml:space="preserve"> </w:t>
      </w:r>
      <w:r w:rsidR="00750FAB" w:rsidRPr="00EC7C84">
        <w:rPr>
          <w:rFonts w:ascii="Verdana" w:hAnsi="Verdana"/>
        </w:rPr>
        <w:t>£</w:t>
      </w:r>
      <w:r w:rsidR="00237D70" w:rsidRPr="00EC7C84">
        <w:rPr>
          <w:rFonts w:ascii="Verdana" w:hAnsi="Verdana"/>
        </w:rPr>
        <w:t>2</w:t>
      </w:r>
      <w:r w:rsidR="00750FAB" w:rsidRPr="00EC7C84">
        <w:rPr>
          <w:rFonts w:ascii="Verdana" w:hAnsi="Verdana"/>
        </w:rPr>
        <w:t>.</w:t>
      </w:r>
      <w:r w:rsidR="00237D70" w:rsidRPr="00EC7C84">
        <w:rPr>
          <w:rFonts w:ascii="Verdana" w:hAnsi="Verdana"/>
        </w:rPr>
        <w:t>330</w:t>
      </w:r>
      <w:r w:rsidR="00750FAB" w:rsidRPr="00EC7C84">
        <w:rPr>
          <w:rFonts w:ascii="Verdana" w:hAnsi="Verdana"/>
        </w:rPr>
        <w:t>m</w:t>
      </w:r>
      <w:r w:rsidRPr="00EC7C84">
        <w:rPr>
          <w:rFonts w:ascii="Verdana" w:hAnsi="Verdana"/>
        </w:rPr>
        <w:t>;</w:t>
      </w:r>
      <w:r w:rsidR="00237D70" w:rsidRPr="00EC7C84">
        <w:rPr>
          <w:rFonts w:ascii="Verdana" w:hAnsi="Verdana"/>
        </w:rPr>
        <w:t xml:space="preserve"> </w:t>
      </w:r>
    </w:p>
    <w:p w14:paraId="5ADC4C8A" w14:textId="015C1411" w:rsidR="00140A18" w:rsidRPr="00EC7C84" w:rsidRDefault="00140A18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>T</w:t>
      </w:r>
      <w:r w:rsidR="00237D70" w:rsidRPr="00EC7C84">
        <w:rPr>
          <w:rFonts w:ascii="Verdana" w:hAnsi="Verdana"/>
        </w:rPr>
        <w:t>esting</w:t>
      </w:r>
      <w:r w:rsidR="00D93D22" w:rsidRPr="00EC7C84">
        <w:rPr>
          <w:rFonts w:ascii="Verdana" w:hAnsi="Verdana"/>
        </w:rPr>
        <w:t xml:space="preserve"> strategy </w:t>
      </w:r>
      <w:r w:rsidR="00750FAB" w:rsidRPr="00EC7C84">
        <w:rPr>
          <w:rFonts w:ascii="Verdana" w:hAnsi="Verdana"/>
        </w:rPr>
        <w:t>£</w:t>
      </w:r>
      <w:r w:rsidR="00074FCD" w:rsidRPr="00EC7C84">
        <w:rPr>
          <w:rFonts w:ascii="Verdana" w:hAnsi="Verdana"/>
        </w:rPr>
        <w:t>31.012</w:t>
      </w:r>
      <w:r w:rsidR="00750FAB" w:rsidRPr="00EC7C84">
        <w:rPr>
          <w:rFonts w:ascii="Verdana" w:hAnsi="Verdana"/>
        </w:rPr>
        <w:t>m</w:t>
      </w:r>
      <w:r w:rsidRPr="00EC7C84">
        <w:rPr>
          <w:rFonts w:ascii="Verdana" w:hAnsi="Verdana"/>
        </w:rPr>
        <w:t>;</w:t>
      </w:r>
      <w:r w:rsidR="00237D70" w:rsidRPr="00EC7C84">
        <w:rPr>
          <w:rFonts w:ascii="Verdana" w:hAnsi="Verdana"/>
        </w:rPr>
        <w:t xml:space="preserve"> </w:t>
      </w:r>
    </w:p>
    <w:p w14:paraId="50713BE0" w14:textId="25D7ECA2" w:rsidR="00140A18" w:rsidRPr="00EC7C84" w:rsidRDefault="00237D70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>Genomics seq</w:t>
      </w:r>
      <w:r w:rsidR="00C14AA2" w:rsidRPr="00EC7C84">
        <w:rPr>
          <w:rFonts w:ascii="Verdana" w:hAnsi="Verdana"/>
        </w:rPr>
        <w:t>uencing £</w:t>
      </w:r>
      <w:r w:rsidR="005D33F8" w:rsidRPr="00EC7C84">
        <w:rPr>
          <w:rFonts w:ascii="Verdana" w:hAnsi="Verdana"/>
        </w:rPr>
        <w:t>1.</w:t>
      </w:r>
      <w:r w:rsidR="00881990" w:rsidRPr="00EC7C84">
        <w:rPr>
          <w:rFonts w:ascii="Verdana" w:hAnsi="Verdana"/>
        </w:rPr>
        <w:t>423</w:t>
      </w:r>
      <w:r w:rsidR="00C14AA2" w:rsidRPr="00EC7C84">
        <w:rPr>
          <w:rFonts w:ascii="Verdana" w:hAnsi="Verdana"/>
        </w:rPr>
        <w:t>m</w:t>
      </w:r>
      <w:r w:rsidR="00140A18" w:rsidRPr="00EC7C84">
        <w:rPr>
          <w:rFonts w:ascii="Verdana" w:hAnsi="Verdana"/>
        </w:rPr>
        <w:t>;</w:t>
      </w:r>
    </w:p>
    <w:p w14:paraId="2312CFE0" w14:textId="2A7C9DD0" w:rsidR="00140A18" w:rsidRPr="00EC7C84" w:rsidRDefault="00C14AA2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 xml:space="preserve">IP5 </w:t>
      </w:r>
      <w:r w:rsidR="00337323" w:rsidRPr="00EC7C84">
        <w:rPr>
          <w:rFonts w:ascii="Verdana" w:hAnsi="Verdana"/>
        </w:rPr>
        <w:t>Laboratory</w:t>
      </w:r>
      <w:r w:rsidR="00E55BFA" w:rsidRPr="00EC7C84">
        <w:rPr>
          <w:rFonts w:ascii="Verdana" w:hAnsi="Verdana"/>
        </w:rPr>
        <w:t xml:space="preserve"> </w:t>
      </w:r>
      <w:r w:rsidR="00140A18" w:rsidRPr="00EC7C84">
        <w:rPr>
          <w:rFonts w:ascii="Verdana" w:hAnsi="Verdana"/>
        </w:rPr>
        <w:t>Pay</w:t>
      </w:r>
      <w:r w:rsidR="00337323" w:rsidRPr="00EC7C84">
        <w:rPr>
          <w:rFonts w:ascii="Verdana" w:hAnsi="Verdana"/>
        </w:rPr>
        <w:t xml:space="preserve"> </w:t>
      </w:r>
      <w:r w:rsidRPr="00EC7C84">
        <w:rPr>
          <w:rFonts w:ascii="Verdana" w:hAnsi="Verdana"/>
        </w:rPr>
        <w:t>£0.</w:t>
      </w:r>
      <w:r w:rsidR="00074FCD" w:rsidRPr="00EC7C84">
        <w:rPr>
          <w:rFonts w:ascii="Verdana" w:hAnsi="Verdana"/>
        </w:rPr>
        <w:t>659</w:t>
      </w:r>
      <w:r w:rsidRPr="00EC7C84">
        <w:rPr>
          <w:rFonts w:ascii="Verdana" w:hAnsi="Verdana"/>
        </w:rPr>
        <w:t>m</w:t>
      </w:r>
      <w:r w:rsidR="00140A18" w:rsidRPr="00EC7C84">
        <w:rPr>
          <w:rFonts w:ascii="Verdana" w:hAnsi="Verdana"/>
        </w:rPr>
        <w:t>;</w:t>
      </w:r>
      <w:r w:rsidR="00237D70" w:rsidRPr="00EC7C84">
        <w:rPr>
          <w:rFonts w:ascii="Verdana" w:hAnsi="Verdana"/>
        </w:rPr>
        <w:t xml:space="preserve"> </w:t>
      </w:r>
    </w:p>
    <w:p w14:paraId="23BD9380" w14:textId="12E6DED4" w:rsidR="00140A18" w:rsidRPr="00EC7C84" w:rsidRDefault="00337323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lastRenderedPageBreak/>
        <w:t xml:space="preserve">Hot Laboratory, </w:t>
      </w:r>
      <w:r w:rsidR="00FB51D5" w:rsidRPr="00EC7C84">
        <w:rPr>
          <w:rFonts w:ascii="Verdana" w:hAnsi="Verdana"/>
        </w:rPr>
        <w:t xml:space="preserve">Resilience </w:t>
      </w:r>
      <w:r w:rsidRPr="00EC7C84">
        <w:rPr>
          <w:rFonts w:ascii="Verdana" w:hAnsi="Verdana"/>
        </w:rPr>
        <w:t>and improved turnaround times</w:t>
      </w:r>
      <w:r w:rsidR="00E55BFA" w:rsidRPr="00EC7C84">
        <w:rPr>
          <w:rFonts w:ascii="Verdana" w:hAnsi="Verdana"/>
        </w:rPr>
        <w:t xml:space="preserve"> </w:t>
      </w:r>
      <w:r w:rsidR="00140A18" w:rsidRPr="00EC7C84">
        <w:rPr>
          <w:rFonts w:ascii="Verdana" w:hAnsi="Verdana"/>
        </w:rPr>
        <w:t>Pay</w:t>
      </w:r>
      <w:r w:rsidR="00FB51D5" w:rsidRPr="00EC7C84">
        <w:rPr>
          <w:rFonts w:ascii="Verdana" w:hAnsi="Verdana"/>
        </w:rPr>
        <w:t xml:space="preserve"> £</w:t>
      </w:r>
      <w:r w:rsidR="00074FCD" w:rsidRPr="00EC7C84">
        <w:rPr>
          <w:rFonts w:ascii="Verdana" w:hAnsi="Verdana"/>
        </w:rPr>
        <w:t>1.039</w:t>
      </w:r>
      <w:r w:rsidR="00FB51D5" w:rsidRPr="00EC7C84">
        <w:rPr>
          <w:rFonts w:ascii="Verdana" w:hAnsi="Verdana"/>
        </w:rPr>
        <w:t>m</w:t>
      </w:r>
      <w:r w:rsidR="00140A18" w:rsidRPr="00EC7C84">
        <w:rPr>
          <w:rFonts w:ascii="Verdana" w:hAnsi="Verdana"/>
        </w:rPr>
        <w:t>;</w:t>
      </w:r>
      <w:r w:rsidR="00FB51D5" w:rsidRPr="00EC7C84">
        <w:rPr>
          <w:rFonts w:ascii="Verdana" w:hAnsi="Verdana"/>
        </w:rPr>
        <w:t xml:space="preserve"> </w:t>
      </w:r>
    </w:p>
    <w:p w14:paraId="3AD06826" w14:textId="54FFEE08" w:rsidR="00140A18" w:rsidRPr="00EC7C84" w:rsidRDefault="005D33F8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 xml:space="preserve">Flu </w:t>
      </w:r>
      <w:r w:rsidR="00204E18" w:rsidRPr="00EC7C84">
        <w:rPr>
          <w:rFonts w:ascii="Verdana" w:hAnsi="Verdana"/>
        </w:rPr>
        <w:t>Programme</w:t>
      </w:r>
      <w:r w:rsidRPr="00EC7C84">
        <w:rPr>
          <w:rFonts w:ascii="Verdana" w:hAnsi="Verdana"/>
        </w:rPr>
        <w:t xml:space="preserve"> £0.</w:t>
      </w:r>
      <w:r w:rsidR="00074FCD" w:rsidRPr="00EC7C84">
        <w:rPr>
          <w:rFonts w:ascii="Verdana" w:hAnsi="Verdana"/>
        </w:rPr>
        <w:t>127</w:t>
      </w:r>
      <w:r w:rsidRPr="00EC7C84">
        <w:rPr>
          <w:rFonts w:ascii="Verdana" w:hAnsi="Verdana"/>
        </w:rPr>
        <w:t>m</w:t>
      </w:r>
      <w:r w:rsidR="00140A18" w:rsidRPr="00EC7C84">
        <w:rPr>
          <w:rFonts w:ascii="Verdana" w:hAnsi="Verdana"/>
        </w:rPr>
        <w:t>;</w:t>
      </w:r>
    </w:p>
    <w:p w14:paraId="68383AB1" w14:textId="013C9428" w:rsidR="00140A18" w:rsidRPr="00EC7C84" w:rsidRDefault="00FB51D5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>£</w:t>
      </w:r>
      <w:r w:rsidR="00074FCD" w:rsidRPr="00EC7C84">
        <w:rPr>
          <w:rFonts w:ascii="Verdana" w:hAnsi="Verdana"/>
        </w:rPr>
        <w:t>1</w:t>
      </w:r>
      <w:r w:rsidRPr="00EC7C84">
        <w:rPr>
          <w:rFonts w:ascii="Verdana" w:hAnsi="Verdana"/>
        </w:rPr>
        <w:t>.</w:t>
      </w:r>
      <w:r w:rsidR="00074FCD" w:rsidRPr="00EC7C84">
        <w:rPr>
          <w:rFonts w:ascii="Verdana" w:hAnsi="Verdana"/>
        </w:rPr>
        <w:t>115</w:t>
      </w:r>
      <w:r w:rsidRPr="00EC7C84">
        <w:rPr>
          <w:rFonts w:ascii="Verdana" w:hAnsi="Verdana"/>
        </w:rPr>
        <w:t>m Online Testing for STIs</w:t>
      </w:r>
      <w:r w:rsidR="00074FCD" w:rsidRPr="00EC7C84">
        <w:rPr>
          <w:rFonts w:ascii="Verdana" w:hAnsi="Verdana"/>
        </w:rPr>
        <w:t>;</w:t>
      </w:r>
    </w:p>
    <w:p w14:paraId="50307DAE" w14:textId="4E6DD1E1" w:rsidR="00750FAB" w:rsidRPr="00EC7C84" w:rsidRDefault="00237D70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>I</w:t>
      </w:r>
      <w:r w:rsidR="00204E18" w:rsidRPr="00EC7C84">
        <w:rPr>
          <w:rFonts w:ascii="Verdana" w:hAnsi="Verdana"/>
        </w:rPr>
        <w:t xml:space="preserve">nstitute of Clinical Science and Technology </w:t>
      </w:r>
      <w:r w:rsidRPr="00EC7C84">
        <w:rPr>
          <w:rFonts w:ascii="Verdana" w:hAnsi="Verdana"/>
        </w:rPr>
        <w:t>PPE guidance £0.</w:t>
      </w:r>
      <w:r w:rsidR="005D33F8" w:rsidRPr="00EC7C84">
        <w:rPr>
          <w:rFonts w:ascii="Verdana" w:hAnsi="Verdana"/>
        </w:rPr>
        <w:t>12</w:t>
      </w:r>
      <w:r w:rsidR="00881990" w:rsidRPr="00EC7C84">
        <w:rPr>
          <w:rFonts w:ascii="Verdana" w:hAnsi="Verdana"/>
        </w:rPr>
        <w:t>5</w:t>
      </w:r>
      <w:r w:rsidRPr="00EC7C84">
        <w:rPr>
          <w:rFonts w:ascii="Verdana" w:hAnsi="Verdana"/>
        </w:rPr>
        <w:t>m</w:t>
      </w:r>
      <w:r w:rsidR="00074FCD" w:rsidRPr="00EC7C84">
        <w:rPr>
          <w:rFonts w:ascii="Verdana" w:hAnsi="Verdana"/>
        </w:rPr>
        <w:t>, and</w:t>
      </w:r>
    </w:p>
    <w:p w14:paraId="66197715" w14:textId="3EF51782" w:rsidR="00074FCD" w:rsidRDefault="00074FCD" w:rsidP="00291A04">
      <w:pPr>
        <w:pStyle w:val="ListParagraph"/>
        <w:numPr>
          <w:ilvl w:val="1"/>
          <w:numId w:val="38"/>
        </w:numPr>
        <w:spacing w:before="120" w:after="120" w:line="256" w:lineRule="auto"/>
        <w:jc w:val="both"/>
        <w:rPr>
          <w:rFonts w:ascii="Verdana" w:hAnsi="Verdana"/>
        </w:rPr>
      </w:pPr>
      <w:r w:rsidRPr="00EC7C84">
        <w:rPr>
          <w:rFonts w:ascii="Verdana" w:hAnsi="Verdana"/>
        </w:rPr>
        <w:t>COVID-19 Vaccination Programme £0.190m.</w:t>
      </w:r>
    </w:p>
    <w:p w14:paraId="5B93A606" w14:textId="77777777" w:rsidR="00DA25D9" w:rsidRPr="00EC7C84" w:rsidRDefault="00DA25D9" w:rsidP="00DA25D9">
      <w:pPr>
        <w:pStyle w:val="ListParagraph"/>
        <w:spacing w:before="120" w:after="120" w:line="256" w:lineRule="auto"/>
        <w:ind w:left="1530"/>
        <w:jc w:val="both"/>
        <w:rPr>
          <w:rFonts w:ascii="Verdana" w:hAnsi="Verdana"/>
        </w:rPr>
      </w:pPr>
    </w:p>
    <w:p w14:paraId="6F524CD5" w14:textId="77777777" w:rsidR="00291A04" w:rsidRPr="00AF44B0" w:rsidRDefault="00291A04" w:rsidP="00794AC9">
      <w:pPr>
        <w:pStyle w:val="ListParagraph"/>
        <w:spacing w:before="120" w:after="120" w:line="256" w:lineRule="auto"/>
        <w:ind w:left="1530"/>
        <w:jc w:val="both"/>
        <w:rPr>
          <w:rFonts w:ascii="Verdana" w:hAnsi="Verdana"/>
          <w:highlight w:val="magenta"/>
        </w:rPr>
      </w:pPr>
    </w:p>
    <w:p w14:paraId="435A724D" w14:textId="25FEF6A8" w:rsidR="00B73677" w:rsidRPr="000F1B97" w:rsidRDefault="00B73677" w:rsidP="00B73677">
      <w:pPr>
        <w:pStyle w:val="ListParagraph"/>
        <w:numPr>
          <w:ilvl w:val="0"/>
          <w:numId w:val="10"/>
        </w:numPr>
        <w:jc w:val="both"/>
        <w:rPr>
          <w:rFonts w:ascii="Verdana" w:eastAsia="Times New Roman" w:hAnsi="Verdana"/>
          <w:b/>
          <w:u w:val="single"/>
        </w:rPr>
      </w:pPr>
      <w:r w:rsidRPr="000F1B97">
        <w:rPr>
          <w:rFonts w:ascii="Verdana" w:eastAsia="Times New Roman" w:hAnsi="Verdana"/>
          <w:b/>
          <w:u w:val="single"/>
        </w:rPr>
        <w:t xml:space="preserve">Overview of </w:t>
      </w:r>
      <w:r w:rsidR="00794AC9" w:rsidRPr="000F1B97">
        <w:rPr>
          <w:rFonts w:ascii="Verdana" w:eastAsia="Times New Roman" w:hAnsi="Verdana"/>
          <w:b/>
          <w:u w:val="single"/>
        </w:rPr>
        <w:t>F</w:t>
      </w:r>
      <w:r w:rsidR="000F1B97" w:rsidRPr="000F1B97">
        <w:rPr>
          <w:rFonts w:ascii="Verdana" w:eastAsia="Times New Roman" w:hAnsi="Verdana"/>
          <w:b/>
          <w:u w:val="single"/>
        </w:rPr>
        <w:t>inancial Performance at Month 11</w:t>
      </w:r>
    </w:p>
    <w:p w14:paraId="7FDFD59A" w14:textId="77777777" w:rsidR="00AA223C" w:rsidRPr="000F1B97" w:rsidRDefault="00AA223C" w:rsidP="00AA223C">
      <w:pPr>
        <w:jc w:val="both"/>
        <w:rPr>
          <w:rFonts w:ascii="Verdana" w:eastAsia="Times New Roman" w:hAnsi="Verdana"/>
          <w:b/>
          <w:u w:val="single"/>
        </w:rPr>
      </w:pPr>
    </w:p>
    <w:p w14:paraId="491268C9" w14:textId="77777777" w:rsidR="002D34FE" w:rsidRPr="000F1B97" w:rsidRDefault="002D34FE" w:rsidP="002D34FE">
      <w:pPr>
        <w:pStyle w:val="ListParagraph"/>
        <w:numPr>
          <w:ilvl w:val="1"/>
          <w:numId w:val="10"/>
        </w:numPr>
        <w:jc w:val="both"/>
        <w:rPr>
          <w:rFonts w:ascii="Verdana" w:eastAsia="Times New Roman" w:hAnsi="Verdana"/>
          <w:b/>
        </w:rPr>
      </w:pPr>
      <w:r w:rsidRPr="000F1B97">
        <w:rPr>
          <w:rFonts w:ascii="Verdana" w:eastAsia="Times New Roman" w:hAnsi="Verdana"/>
          <w:b/>
        </w:rPr>
        <w:t>Financial Performance by Directorate</w:t>
      </w:r>
    </w:p>
    <w:p w14:paraId="624AB9F7" w14:textId="77777777" w:rsidR="002D34FE" w:rsidRPr="000F1B97" w:rsidRDefault="002D34FE" w:rsidP="002D34FE">
      <w:pPr>
        <w:jc w:val="both"/>
        <w:rPr>
          <w:rFonts w:ascii="Verdana" w:eastAsia="Times New Roman" w:hAnsi="Verdana"/>
        </w:rPr>
      </w:pPr>
    </w:p>
    <w:p w14:paraId="67CD157D" w14:textId="77777777" w:rsidR="00C54F63" w:rsidRPr="000F1B97" w:rsidRDefault="00AA223C" w:rsidP="002D34FE">
      <w:pPr>
        <w:jc w:val="both"/>
        <w:rPr>
          <w:rFonts w:ascii="Verdana" w:eastAsia="Times New Roman" w:hAnsi="Verdana"/>
          <w:sz w:val="24"/>
          <w:szCs w:val="24"/>
        </w:rPr>
      </w:pPr>
      <w:r w:rsidRPr="000F1B97">
        <w:rPr>
          <w:rFonts w:ascii="Verdana" w:eastAsia="Times New Roman" w:hAnsi="Verdana"/>
          <w:sz w:val="24"/>
          <w:szCs w:val="24"/>
        </w:rPr>
        <w:t xml:space="preserve">Table </w:t>
      </w:r>
      <w:proofErr w:type="gramStart"/>
      <w:r w:rsidRPr="000F1B97">
        <w:rPr>
          <w:rFonts w:ascii="Verdana" w:eastAsia="Times New Roman" w:hAnsi="Verdana"/>
          <w:sz w:val="24"/>
          <w:szCs w:val="24"/>
        </w:rPr>
        <w:t>A</w:t>
      </w:r>
      <w:proofErr w:type="gramEnd"/>
      <w:r w:rsidRPr="000F1B97">
        <w:rPr>
          <w:rFonts w:ascii="Verdana" w:eastAsia="Times New Roman" w:hAnsi="Verdana"/>
          <w:sz w:val="24"/>
          <w:szCs w:val="24"/>
        </w:rPr>
        <w:t xml:space="preserve"> outlines the Financial Performance by Directorate</w:t>
      </w:r>
      <w:r w:rsidR="001C653D" w:rsidRPr="000F1B97">
        <w:rPr>
          <w:rFonts w:ascii="Verdana" w:eastAsia="Times New Roman" w:hAnsi="Verdana"/>
          <w:sz w:val="24"/>
          <w:szCs w:val="24"/>
        </w:rPr>
        <w:t xml:space="preserve"> and the Covid-19 response</w:t>
      </w:r>
      <w:r w:rsidRPr="000F1B97">
        <w:rPr>
          <w:rFonts w:ascii="Verdana" w:eastAsia="Times New Roman" w:hAnsi="Verdana"/>
          <w:sz w:val="24"/>
          <w:szCs w:val="24"/>
        </w:rPr>
        <w:t>.</w:t>
      </w:r>
    </w:p>
    <w:p w14:paraId="41BE57AB" w14:textId="77777777" w:rsidR="00E815F3" w:rsidRPr="000F1B97" w:rsidRDefault="00B6467E" w:rsidP="003D446B">
      <w:pPr>
        <w:jc w:val="both"/>
        <w:rPr>
          <w:rFonts w:ascii="Verdana" w:hAnsi="Verdana"/>
          <w:sz w:val="24"/>
          <w:szCs w:val="24"/>
        </w:rPr>
      </w:pPr>
      <w:r w:rsidRPr="000F1B97">
        <w:rPr>
          <w:rFonts w:ascii="Verdana" w:hAnsi="Verdana"/>
          <w:b/>
          <w:sz w:val="24"/>
          <w:szCs w:val="24"/>
        </w:rPr>
        <w:t xml:space="preserve">Table </w:t>
      </w:r>
      <w:proofErr w:type="gramStart"/>
      <w:r w:rsidRPr="000F1B97">
        <w:rPr>
          <w:rFonts w:ascii="Verdana" w:hAnsi="Verdana"/>
          <w:b/>
          <w:sz w:val="24"/>
          <w:szCs w:val="24"/>
        </w:rPr>
        <w:t>A</w:t>
      </w:r>
      <w:proofErr w:type="gramEnd"/>
      <w:r w:rsidR="00FE66BE" w:rsidRPr="000F1B97">
        <w:rPr>
          <w:rFonts w:ascii="Verdana" w:hAnsi="Verdana"/>
          <w:b/>
          <w:sz w:val="24"/>
          <w:szCs w:val="24"/>
        </w:rPr>
        <w:t xml:space="preserve"> – Overview of Financial Performance by Directorate</w:t>
      </w:r>
      <w:r w:rsidR="00C54F63" w:rsidRPr="000F1B97">
        <w:rPr>
          <w:rFonts w:ascii="Verdana" w:hAnsi="Verdana"/>
          <w:b/>
          <w:sz w:val="24"/>
          <w:szCs w:val="24"/>
        </w:rPr>
        <w:t xml:space="preserve"> </w:t>
      </w:r>
    </w:p>
    <w:tbl>
      <w:tblPr>
        <w:tblW w:w="9200" w:type="dxa"/>
        <w:tblInd w:w="-5" w:type="dxa"/>
        <w:tblLook w:val="04A0" w:firstRow="1" w:lastRow="0" w:firstColumn="1" w:lastColumn="0" w:noHBand="0" w:noVBand="1"/>
      </w:tblPr>
      <w:tblGrid>
        <w:gridCol w:w="4720"/>
        <w:gridCol w:w="1060"/>
        <w:gridCol w:w="1280"/>
        <w:gridCol w:w="1120"/>
        <w:gridCol w:w="1020"/>
      </w:tblGrid>
      <w:tr w:rsidR="000F1B97" w:rsidRPr="000F1B97" w14:paraId="092C6880" w14:textId="77777777" w:rsidTr="000F1B97">
        <w:trPr>
          <w:trHeight w:val="900"/>
        </w:trPr>
        <w:tc>
          <w:tcPr>
            <w:tcW w:w="4720" w:type="dxa"/>
            <w:tcBorders>
              <w:top w:val="single" w:sz="4" w:space="0" w:color="F2F2F2"/>
              <w:left w:val="single" w:sz="4" w:space="0" w:color="F2F2F2"/>
              <w:bottom w:val="nil"/>
              <w:right w:val="nil"/>
            </w:tcBorders>
            <w:shd w:val="clear" w:color="DDEBF7" w:fill="2F75B5"/>
            <w:hideMark/>
          </w:tcPr>
          <w:p w14:paraId="13FB8617" w14:textId="77777777" w:rsidR="000F1B97" w:rsidRPr="000F1B97" w:rsidRDefault="000F1B97" w:rsidP="000F1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Directorate</w:t>
            </w:r>
          </w:p>
        </w:tc>
        <w:tc>
          <w:tcPr>
            <w:tcW w:w="1060" w:type="dxa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DDEBF7" w:fill="2F75B5"/>
            <w:hideMark/>
          </w:tcPr>
          <w:p w14:paraId="3353D508" w14:textId="77777777" w:rsidR="000F1B97" w:rsidRPr="000F1B97" w:rsidRDefault="000F1B97" w:rsidP="000F1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Income Variance £000s</w:t>
            </w:r>
          </w:p>
        </w:tc>
        <w:tc>
          <w:tcPr>
            <w:tcW w:w="1280" w:type="dxa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DDEBF7" w:fill="2F75B5"/>
            <w:hideMark/>
          </w:tcPr>
          <w:p w14:paraId="322061FC" w14:textId="77777777" w:rsidR="000F1B97" w:rsidRPr="000F1B97" w:rsidRDefault="000F1B97" w:rsidP="000F1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Pay Variance £000s</w:t>
            </w:r>
          </w:p>
        </w:tc>
        <w:tc>
          <w:tcPr>
            <w:tcW w:w="1120" w:type="dxa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DDEBF7" w:fill="2F75B5"/>
            <w:hideMark/>
          </w:tcPr>
          <w:p w14:paraId="1F5BBE5D" w14:textId="77777777" w:rsidR="000F1B97" w:rsidRPr="000F1B97" w:rsidRDefault="000F1B97" w:rsidP="000F1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Non Pay Variance £000s</w:t>
            </w:r>
          </w:p>
        </w:tc>
        <w:tc>
          <w:tcPr>
            <w:tcW w:w="1020" w:type="dxa"/>
            <w:tcBorders>
              <w:top w:val="single" w:sz="4" w:space="0" w:color="F2F2F2"/>
              <w:left w:val="nil"/>
              <w:bottom w:val="nil"/>
              <w:right w:val="single" w:sz="4" w:space="0" w:color="F2F2F2"/>
            </w:tcBorders>
            <w:shd w:val="clear" w:color="DDEBF7" w:fill="2F75B5"/>
            <w:hideMark/>
          </w:tcPr>
          <w:p w14:paraId="1DA2CA02" w14:textId="77777777" w:rsidR="000F1B97" w:rsidRPr="000F1B97" w:rsidRDefault="000F1B97" w:rsidP="000F1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Grand Total £000s</w:t>
            </w:r>
          </w:p>
        </w:tc>
      </w:tr>
      <w:tr w:rsidR="000F1B97" w:rsidRPr="000F1B97" w14:paraId="78C5EC4C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1ABB4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Central Budgets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4CA85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A17A6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A1225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1,031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7034A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963</w:t>
            </w:r>
          </w:p>
        </w:tc>
      </w:tr>
      <w:tr w:rsidR="000F1B97" w:rsidRPr="000F1B97" w14:paraId="54E260C8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70536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Population Health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CE26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44000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822AF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4F84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0F1B97" w:rsidRPr="000F1B97" w14:paraId="194158C9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7ACBB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ACE's Hub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A2DC4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A9C02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FD078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59F9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0F1B97" w:rsidRPr="000F1B97" w14:paraId="70C4B78D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DAC0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Hosted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FFFBF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30FF0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743F3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6B258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</w:tr>
      <w:tr w:rsidR="000F1B97" w:rsidRPr="000F1B97" w14:paraId="69B94F2E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29768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WHO Collaborating Centre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73BEF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320C8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D7424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D80F7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-19</w:t>
            </w:r>
          </w:p>
        </w:tc>
      </w:tr>
      <w:tr w:rsidR="000F1B97" w:rsidRPr="000F1B97" w14:paraId="403DADD9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F948C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Board and Corporate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26380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FF886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DEA0C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89F22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-57</w:t>
            </w:r>
          </w:p>
        </w:tc>
      </w:tr>
      <w:tr w:rsidR="000F1B97" w:rsidRPr="000F1B97" w14:paraId="2594FAE5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3726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Public Health Services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77410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739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C59B0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9808B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-1,096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5128A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-61</w:t>
            </w:r>
          </w:p>
        </w:tc>
      </w:tr>
      <w:tr w:rsidR="000F1B97" w:rsidRPr="000F1B97" w14:paraId="2361E9FE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9F6F6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Quality Nursing &amp; Allied Health Professionals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4180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B9F04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00C55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5F556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-65</w:t>
            </w:r>
          </w:p>
        </w:tc>
      </w:tr>
      <w:tr w:rsidR="000F1B97" w:rsidRPr="000F1B97" w14:paraId="7BE52F9A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A7196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People &amp; Organisational Development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49029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B5ABA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43F5A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F38D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-67</w:t>
            </w:r>
          </w:p>
        </w:tc>
      </w:tr>
      <w:tr w:rsidR="000F1B97" w:rsidRPr="000F1B97" w14:paraId="0DC41857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0256D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Operations and Finance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89173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0D439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A7AA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1353C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-87</w:t>
            </w:r>
          </w:p>
        </w:tc>
      </w:tr>
      <w:tr w:rsidR="000F1B97" w:rsidRPr="000F1B97" w14:paraId="1C59DF8C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67768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Improvement Cymru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F944B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8CDF9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2A34C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F6C49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-119</w:t>
            </w:r>
          </w:p>
        </w:tc>
      </w:tr>
      <w:tr w:rsidR="000F1B97" w:rsidRPr="000F1B97" w14:paraId="04246B02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1CC16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Knowledge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F33BE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0F25E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EBAD2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1C661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-156</w:t>
            </w:r>
          </w:p>
        </w:tc>
      </w:tr>
      <w:tr w:rsidR="000F1B97" w:rsidRPr="000F1B97" w14:paraId="7EAEFFA4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9D132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Health &amp; Wellbeing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B17BF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AD727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CA1B3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42226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-353</w:t>
            </w:r>
          </w:p>
        </w:tc>
      </w:tr>
      <w:tr w:rsidR="000F1B97" w:rsidRPr="000F1B97" w14:paraId="4BFAB232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A922FBD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Directorate 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53E348F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E73360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-379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4ED8456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6FABB92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-21</w:t>
            </w:r>
          </w:p>
        </w:tc>
      </w:tr>
      <w:tr w:rsidR="000F1B97" w:rsidRPr="000F1B97" w14:paraId="2EF1FC83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000D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Covid 19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5F567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41B81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FF0000"/>
                <w:lang w:eastAsia="en-GB"/>
              </w:rPr>
              <w:t>-0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FE85A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1846C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0F1B97" w:rsidRPr="000F1B97" w14:paraId="3EA46C7D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710482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COVID19 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EC6BDA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9677682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13A18D7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CD7D21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0F1B97" w:rsidRPr="000F1B97" w14:paraId="1FA20CE1" w14:textId="77777777" w:rsidTr="000F1B97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DDEBF7" w:fill="BDD7EE"/>
            <w:noWrap/>
            <w:vAlign w:val="bottom"/>
            <w:hideMark/>
          </w:tcPr>
          <w:p w14:paraId="44E2DBF7" w14:textId="77777777" w:rsidR="000F1B97" w:rsidRPr="000F1B97" w:rsidRDefault="000F1B97" w:rsidP="000F1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lang w:eastAsia="en-GB"/>
              </w:rPr>
              <w:t>Grand 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DEBF7" w:fill="BDD7EE"/>
            <w:noWrap/>
            <w:vAlign w:val="bottom"/>
            <w:hideMark/>
          </w:tcPr>
          <w:p w14:paraId="4E1D636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lang w:eastAsia="en-GB"/>
              </w:rPr>
              <w:t>708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DDEBF7" w:fill="BDD7EE"/>
            <w:noWrap/>
            <w:vAlign w:val="bottom"/>
            <w:hideMark/>
          </w:tcPr>
          <w:p w14:paraId="587C3E7D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-379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DEBF7" w:fill="BDD7EE"/>
            <w:noWrap/>
            <w:vAlign w:val="bottom"/>
            <w:hideMark/>
          </w:tcPr>
          <w:p w14:paraId="31761ED9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DDEBF7" w:fill="BDD7EE"/>
            <w:noWrap/>
            <w:vAlign w:val="bottom"/>
            <w:hideMark/>
          </w:tcPr>
          <w:p w14:paraId="1B8A31B7" w14:textId="77777777" w:rsidR="000F1B97" w:rsidRPr="000F1B97" w:rsidRDefault="000F1B97" w:rsidP="000F1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F1B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-21</w:t>
            </w:r>
          </w:p>
        </w:tc>
      </w:tr>
    </w:tbl>
    <w:p w14:paraId="6D5961EC" w14:textId="77777777" w:rsidR="003050AA" w:rsidRPr="00AF44B0" w:rsidRDefault="003050AA" w:rsidP="003D446B">
      <w:pPr>
        <w:jc w:val="both"/>
        <w:rPr>
          <w:rFonts w:ascii="Verdana" w:hAnsi="Verdana"/>
          <w:sz w:val="24"/>
          <w:szCs w:val="24"/>
          <w:highlight w:val="magenta"/>
        </w:rPr>
      </w:pPr>
    </w:p>
    <w:p w14:paraId="251B10B1" w14:textId="52E7B349" w:rsidR="0031273C" w:rsidRPr="00DA25D9" w:rsidRDefault="00B72CFD" w:rsidP="00DA25D9">
      <w:pPr>
        <w:tabs>
          <w:tab w:val="num" w:pos="1008"/>
          <w:tab w:val="left" w:pos="8222"/>
        </w:tabs>
        <w:spacing w:before="240" w:line="240" w:lineRule="auto"/>
        <w:ind w:right="-284" w:hanging="17"/>
        <w:jc w:val="both"/>
        <w:rPr>
          <w:rFonts w:ascii="Calibri" w:hAnsi="Calibri"/>
          <w:color w:val="1F497D"/>
        </w:rPr>
      </w:pPr>
      <w:r w:rsidRPr="007E6B7D">
        <w:rPr>
          <w:rFonts w:ascii="Verdana" w:hAnsi="Verdana"/>
          <w:sz w:val="24"/>
          <w:szCs w:val="24"/>
        </w:rPr>
        <w:t>The main variance at M</w:t>
      </w:r>
      <w:r w:rsidR="000F1B97" w:rsidRPr="007E6B7D">
        <w:rPr>
          <w:rFonts w:ascii="Verdana" w:hAnsi="Verdana"/>
          <w:sz w:val="24"/>
          <w:szCs w:val="24"/>
        </w:rPr>
        <w:t>onth 11</w:t>
      </w:r>
      <w:r w:rsidR="00AA223C" w:rsidRPr="007E6B7D">
        <w:rPr>
          <w:rFonts w:ascii="Verdana" w:hAnsi="Verdana"/>
          <w:sz w:val="24"/>
          <w:szCs w:val="24"/>
        </w:rPr>
        <w:t xml:space="preserve"> is within </w:t>
      </w:r>
      <w:r w:rsidR="00EE4297" w:rsidRPr="007E6B7D">
        <w:rPr>
          <w:rFonts w:ascii="Verdana" w:hAnsi="Verdana"/>
          <w:sz w:val="24"/>
          <w:szCs w:val="24"/>
        </w:rPr>
        <w:t>Central budgets</w:t>
      </w:r>
      <w:r w:rsidR="00AA223C" w:rsidRPr="007E6B7D">
        <w:rPr>
          <w:rFonts w:ascii="Verdana" w:hAnsi="Verdana"/>
          <w:sz w:val="24"/>
          <w:szCs w:val="24"/>
        </w:rPr>
        <w:t xml:space="preserve">. </w:t>
      </w:r>
      <w:r w:rsidR="00F929E2" w:rsidRPr="007E6B7D">
        <w:rPr>
          <w:rFonts w:ascii="Verdana" w:hAnsi="Verdana"/>
          <w:sz w:val="24"/>
          <w:szCs w:val="24"/>
          <w:lang w:eastAsia="en-GB"/>
        </w:rPr>
        <w:t xml:space="preserve">Due to the exceptional need to realign budgets at the midpoint in 2020/21, as a result of the impact of </w:t>
      </w:r>
      <w:proofErr w:type="spellStart"/>
      <w:r w:rsidR="00F929E2" w:rsidRPr="007E6B7D">
        <w:rPr>
          <w:rFonts w:ascii="Verdana" w:hAnsi="Verdana"/>
          <w:sz w:val="24"/>
          <w:szCs w:val="24"/>
          <w:lang w:eastAsia="en-GB"/>
        </w:rPr>
        <w:t>CovID</w:t>
      </w:r>
      <w:proofErr w:type="spellEnd"/>
      <w:r w:rsidR="00F929E2" w:rsidRPr="007E6B7D">
        <w:rPr>
          <w:rFonts w:ascii="Verdana" w:hAnsi="Verdana"/>
          <w:sz w:val="24"/>
          <w:szCs w:val="24"/>
          <w:lang w:eastAsia="en-GB"/>
        </w:rPr>
        <w:t xml:space="preserve"> on our operations, the Central Budgets are being used to manage a number of financial risks and opportunities. These include the </w:t>
      </w:r>
      <w:r w:rsidR="00F929E2" w:rsidRPr="007E6B7D">
        <w:rPr>
          <w:rFonts w:ascii="Verdana" w:hAnsi="Verdana"/>
          <w:sz w:val="24"/>
          <w:szCs w:val="24"/>
          <w:lang w:eastAsia="en-GB"/>
        </w:rPr>
        <w:lastRenderedPageBreak/>
        <w:t>effects of budget realignments, investment slippage,</w:t>
      </w:r>
      <w:r w:rsidR="00F929E2" w:rsidRPr="007E6B7D">
        <w:rPr>
          <w:rFonts w:ascii="Verdana" w:hAnsi="Verdana"/>
          <w:sz w:val="24"/>
          <w:szCs w:val="24"/>
        </w:rPr>
        <w:t xml:space="preserve"> Digital priority commitments and creditor write back.</w:t>
      </w:r>
    </w:p>
    <w:p w14:paraId="1A5C1864" w14:textId="17E8B6FE" w:rsidR="00B73677" w:rsidRPr="00DA25D9" w:rsidRDefault="00C33C0F" w:rsidP="00A566A9">
      <w:pPr>
        <w:pStyle w:val="NormalWeb"/>
        <w:spacing w:before="200" w:beforeAutospacing="0" w:after="0" w:afterAutospacing="0"/>
        <w:jc w:val="both"/>
        <w:rPr>
          <w:rFonts w:ascii="Verdana" w:hAnsi="Verdana" w:cstheme="minorBidi"/>
          <w:b/>
          <w:lang w:eastAsia="en-US"/>
        </w:rPr>
      </w:pPr>
      <w:r w:rsidRPr="00DA25D9">
        <w:rPr>
          <w:rFonts w:ascii="Verdana" w:hAnsi="Verdana" w:cstheme="minorBidi"/>
          <w:b/>
          <w:lang w:eastAsia="en-US"/>
        </w:rPr>
        <w:t>2.</w:t>
      </w:r>
      <w:r w:rsidR="00DA25D9">
        <w:rPr>
          <w:rFonts w:ascii="Verdana" w:hAnsi="Verdana" w:cstheme="minorBidi"/>
          <w:b/>
          <w:lang w:eastAsia="en-US"/>
        </w:rPr>
        <w:t>2</w:t>
      </w:r>
      <w:r w:rsidR="00AA223C" w:rsidRPr="00DA25D9">
        <w:rPr>
          <w:rFonts w:ascii="Verdana" w:hAnsi="Verdana" w:cstheme="minorBidi"/>
          <w:b/>
          <w:lang w:eastAsia="en-US"/>
        </w:rPr>
        <w:t xml:space="preserve"> </w:t>
      </w:r>
      <w:r w:rsidR="00B73677" w:rsidRPr="00DA25D9">
        <w:rPr>
          <w:rFonts w:ascii="Verdana" w:hAnsi="Verdana" w:cstheme="minorBidi"/>
          <w:b/>
          <w:lang w:eastAsia="en-US"/>
        </w:rPr>
        <w:t>Investments</w:t>
      </w:r>
    </w:p>
    <w:p w14:paraId="5A206FBF" w14:textId="77777777" w:rsidR="00B73677" w:rsidRPr="00DA25D9" w:rsidRDefault="00B73677" w:rsidP="00B73677">
      <w:pPr>
        <w:spacing w:before="200" w:after="160" w:line="256" w:lineRule="auto"/>
        <w:jc w:val="both"/>
        <w:rPr>
          <w:rFonts w:ascii="Verdana" w:eastAsia="Times New Roman" w:hAnsi="Verdana"/>
          <w:sz w:val="24"/>
          <w:szCs w:val="24"/>
        </w:rPr>
      </w:pPr>
      <w:r w:rsidRPr="00DA25D9">
        <w:rPr>
          <w:rFonts w:ascii="Verdana" w:eastAsia="Times New Roman" w:hAnsi="Verdana"/>
          <w:sz w:val="24"/>
          <w:szCs w:val="24"/>
        </w:rPr>
        <w:t xml:space="preserve">There </w:t>
      </w:r>
      <w:r w:rsidR="00C955ED" w:rsidRPr="00DA25D9">
        <w:rPr>
          <w:rFonts w:ascii="Verdana" w:eastAsia="Times New Roman" w:hAnsi="Verdana"/>
          <w:sz w:val="24"/>
          <w:szCs w:val="24"/>
        </w:rPr>
        <w:t>has</w:t>
      </w:r>
      <w:r w:rsidRPr="00DA25D9">
        <w:rPr>
          <w:rFonts w:ascii="Verdana" w:eastAsia="Times New Roman" w:hAnsi="Verdana"/>
          <w:sz w:val="24"/>
          <w:szCs w:val="24"/>
        </w:rPr>
        <w:t xml:space="preserve"> be</w:t>
      </w:r>
      <w:r w:rsidR="00C955ED" w:rsidRPr="00DA25D9">
        <w:rPr>
          <w:rFonts w:ascii="Verdana" w:eastAsia="Times New Roman" w:hAnsi="Verdana"/>
          <w:sz w:val="24"/>
          <w:szCs w:val="24"/>
        </w:rPr>
        <w:t>en</w:t>
      </w:r>
      <w:r w:rsidRPr="00DA25D9">
        <w:rPr>
          <w:rFonts w:ascii="Verdana" w:eastAsia="Times New Roman" w:hAnsi="Verdana"/>
          <w:sz w:val="24"/>
          <w:szCs w:val="24"/>
        </w:rPr>
        <w:t xml:space="preserve"> slippage against investment</w:t>
      </w:r>
      <w:r w:rsidR="001C653D" w:rsidRPr="00DA25D9">
        <w:rPr>
          <w:rFonts w:ascii="Verdana" w:eastAsia="Times New Roman" w:hAnsi="Verdana"/>
          <w:sz w:val="24"/>
          <w:szCs w:val="24"/>
        </w:rPr>
        <w:t>s</w:t>
      </w:r>
      <w:r w:rsidRPr="00DA25D9">
        <w:rPr>
          <w:rFonts w:ascii="Verdana" w:eastAsia="Times New Roman" w:hAnsi="Verdana"/>
          <w:sz w:val="24"/>
          <w:szCs w:val="24"/>
        </w:rPr>
        <w:t xml:space="preserve"> within Public Health Wales due to delays in the allocation of internal investment funding as a result of COVID-19. </w:t>
      </w:r>
    </w:p>
    <w:p w14:paraId="296BCDCD" w14:textId="52686A6A" w:rsidR="00346DCD" w:rsidRPr="00DA25D9" w:rsidRDefault="00B73677" w:rsidP="00934F69">
      <w:pPr>
        <w:spacing w:before="200" w:after="160" w:line="256" w:lineRule="auto"/>
        <w:jc w:val="both"/>
        <w:rPr>
          <w:rFonts w:ascii="Verdana" w:eastAsia="Times New Roman" w:hAnsi="Verdana"/>
          <w:sz w:val="24"/>
          <w:szCs w:val="24"/>
        </w:rPr>
      </w:pPr>
      <w:r w:rsidRPr="00DA25D9">
        <w:rPr>
          <w:rFonts w:ascii="Verdana" w:eastAsia="Times New Roman" w:hAnsi="Verdana"/>
          <w:sz w:val="24"/>
          <w:szCs w:val="24"/>
        </w:rPr>
        <w:t xml:space="preserve">Due to the inability of our Directorates to pursue </w:t>
      </w:r>
      <w:r w:rsidR="00C955ED" w:rsidRPr="00DA25D9">
        <w:rPr>
          <w:rFonts w:ascii="Verdana" w:eastAsia="Times New Roman" w:hAnsi="Verdana"/>
          <w:sz w:val="24"/>
          <w:szCs w:val="24"/>
        </w:rPr>
        <w:t xml:space="preserve">their original </w:t>
      </w:r>
      <w:r w:rsidRPr="00DA25D9">
        <w:rPr>
          <w:rFonts w:ascii="Verdana" w:eastAsia="Times New Roman" w:hAnsi="Verdana"/>
          <w:sz w:val="24"/>
          <w:szCs w:val="24"/>
        </w:rPr>
        <w:t>investment</w:t>
      </w:r>
      <w:r w:rsidR="00C955ED" w:rsidRPr="00DA25D9">
        <w:rPr>
          <w:rFonts w:ascii="Verdana" w:eastAsia="Times New Roman" w:hAnsi="Verdana"/>
          <w:sz w:val="24"/>
          <w:szCs w:val="24"/>
        </w:rPr>
        <w:t xml:space="preserve"> plans</w:t>
      </w:r>
      <w:r w:rsidR="00C220C7" w:rsidRPr="00DA25D9">
        <w:rPr>
          <w:rFonts w:ascii="Verdana" w:eastAsia="Times New Roman" w:hAnsi="Verdana"/>
          <w:sz w:val="24"/>
          <w:szCs w:val="24"/>
        </w:rPr>
        <w:t xml:space="preserve">, </w:t>
      </w:r>
      <w:r w:rsidR="00DA25D9" w:rsidRPr="00DA25D9">
        <w:rPr>
          <w:rFonts w:ascii="Verdana" w:eastAsia="Times New Roman" w:hAnsi="Verdana"/>
          <w:sz w:val="24"/>
          <w:szCs w:val="24"/>
        </w:rPr>
        <w:t>£1.189</w:t>
      </w:r>
      <w:r w:rsidR="00C33C0F" w:rsidRPr="00DA25D9">
        <w:rPr>
          <w:rFonts w:ascii="Verdana" w:eastAsia="Times New Roman" w:hAnsi="Verdana"/>
          <w:sz w:val="24"/>
          <w:szCs w:val="24"/>
        </w:rPr>
        <w:t>m</w:t>
      </w:r>
      <w:r w:rsidR="007043FC" w:rsidRPr="00DA25D9">
        <w:rPr>
          <w:rFonts w:ascii="Verdana" w:eastAsia="Times New Roman" w:hAnsi="Verdana"/>
          <w:sz w:val="24"/>
          <w:szCs w:val="24"/>
        </w:rPr>
        <w:t xml:space="preserve"> of </w:t>
      </w:r>
      <w:r w:rsidR="00C14AA2" w:rsidRPr="00DA25D9">
        <w:rPr>
          <w:rFonts w:ascii="Verdana" w:eastAsia="Times New Roman" w:hAnsi="Verdana"/>
          <w:sz w:val="24"/>
          <w:szCs w:val="24"/>
        </w:rPr>
        <w:t>month’s</w:t>
      </w:r>
      <w:r w:rsidR="00DA25D9" w:rsidRPr="00DA25D9">
        <w:rPr>
          <w:rFonts w:ascii="Verdana" w:eastAsia="Times New Roman" w:hAnsi="Verdana"/>
          <w:sz w:val="24"/>
          <w:szCs w:val="24"/>
        </w:rPr>
        <w:t xml:space="preserve"> 1 – 11</w:t>
      </w:r>
      <w:r w:rsidRPr="00DA25D9">
        <w:rPr>
          <w:rFonts w:ascii="Verdana" w:eastAsia="Times New Roman" w:hAnsi="Verdana"/>
          <w:sz w:val="24"/>
          <w:szCs w:val="24"/>
        </w:rPr>
        <w:t xml:space="preserve"> investment slippage has been used to form part of Public Health Wales overall financial commitment to supporting the COVID-19 response. </w:t>
      </w:r>
      <w:r w:rsidR="00547503" w:rsidRPr="00DA25D9">
        <w:rPr>
          <w:rFonts w:ascii="Verdana" w:eastAsia="Times New Roman" w:hAnsi="Verdana"/>
          <w:sz w:val="24"/>
          <w:szCs w:val="24"/>
        </w:rPr>
        <w:t xml:space="preserve">The investment monies have been built into </w:t>
      </w:r>
      <w:r w:rsidR="001C653D" w:rsidRPr="00DA25D9">
        <w:rPr>
          <w:rFonts w:ascii="Verdana" w:eastAsia="Times New Roman" w:hAnsi="Verdana"/>
          <w:sz w:val="24"/>
          <w:szCs w:val="24"/>
        </w:rPr>
        <w:t>Public Health Wales</w:t>
      </w:r>
      <w:r w:rsidR="00547503" w:rsidRPr="00DA25D9">
        <w:rPr>
          <w:rFonts w:ascii="Verdana" w:eastAsia="Times New Roman" w:hAnsi="Verdana"/>
          <w:sz w:val="24"/>
          <w:szCs w:val="24"/>
        </w:rPr>
        <w:t xml:space="preserve"> revised Operational plans and forecast breakeven position.</w:t>
      </w:r>
    </w:p>
    <w:p w14:paraId="27C2FC07" w14:textId="77777777" w:rsidR="00FF7411" w:rsidRPr="00AF44B0" w:rsidRDefault="00FF7411" w:rsidP="005B39FA">
      <w:pPr>
        <w:jc w:val="both"/>
        <w:rPr>
          <w:rFonts w:ascii="Verdana" w:hAnsi="Verdana"/>
          <w:b/>
          <w:sz w:val="24"/>
          <w:szCs w:val="24"/>
          <w:highlight w:val="magenta"/>
        </w:rPr>
      </w:pPr>
    </w:p>
    <w:p w14:paraId="59F4FB9B" w14:textId="77777777" w:rsidR="005B39FA" w:rsidRPr="00EC7C84" w:rsidRDefault="00FF7411" w:rsidP="00FF7411">
      <w:pPr>
        <w:pStyle w:val="ListParagraph"/>
        <w:numPr>
          <w:ilvl w:val="0"/>
          <w:numId w:val="10"/>
        </w:numPr>
        <w:jc w:val="both"/>
        <w:rPr>
          <w:rFonts w:ascii="Verdana" w:hAnsi="Verdana"/>
          <w:b/>
          <w:u w:val="single"/>
        </w:rPr>
      </w:pPr>
      <w:r w:rsidRPr="00EC7C84">
        <w:rPr>
          <w:rFonts w:ascii="Verdana" w:hAnsi="Verdana"/>
          <w:b/>
          <w:u w:val="single"/>
        </w:rPr>
        <w:t>Forecast position</w:t>
      </w:r>
      <w:r w:rsidR="0075301D" w:rsidRPr="00EC7C84">
        <w:rPr>
          <w:rFonts w:ascii="Verdana" w:hAnsi="Verdana"/>
          <w:b/>
          <w:u w:val="single"/>
        </w:rPr>
        <w:t xml:space="preserve"> </w:t>
      </w:r>
    </w:p>
    <w:p w14:paraId="2665470C" w14:textId="77777777" w:rsidR="0075301D" w:rsidRPr="00AF44B0" w:rsidRDefault="0075301D" w:rsidP="00890ADD">
      <w:pPr>
        <w:jc w:val="both"/>
        <w:rPr>
          <w:rFonts w:ascii="Verdana" w:eastAsia="Times New Roman" w:hAnsi="Verdana"/>
          <w:b/>
          <w:sz w:val="24"/>
          <w:szCs w:val="24"/>
          <w:highlight w:val="magenta"/>
        </w:rPr>
      </w:pPr>
    </w:p>
    <w:p w14:paraId="166353C1" w14:textId="77777777" w:rsidR="0075301D" w:rsidRPr="00EC7C84" w:rsidRDefault="00934F69" w:rsidP="00890ADD">
      <w:pPr>
        <w:jc w:val="both"/>
        <w:rPr>
          <w:rFonts w:ascii="Verdana" w:eastAsia="Times New Roman" w:hAnsi="Verdana"/>
          <w:b/>
          <w:sz w:val="24"/>
          <w:szCs w:val="24"/>
        </w:rPr>
      </w:pPr>
      <w:r w:rsidRPr="00EC7C84">
        <w:rPr>
          <w:rFonts w:ascii="Verdana" w:eastAsia="Times New Roman" w:hAnsi="Verdana"/>
          <w:b/>
          <w:sz w:val="24"/>
          <w:szCs w:val="24"/>
        </w:rPr>
        <w:t xml:space="preserve">3.1 </w:t>
      </w:r>
      <w:r w:rsidR="0075301D" w:rsidRPr="00EC7C84">
        <w:rPr>
          <w:rFonts w:ascii="Verdana" w:eastAsia="Times New Roman" w:hAnsi="Verdana"/>
          <w:b/>
          <w:sz w:val="24"/>
          <w:szCs w:val="24"/>
        </w:rPr>
        <w:t>Covid-19</w:t>
      </w:r>
    </w:p>
    <w:p w14:paraId="7B90D605" w14:textId="77777777" w:rsidR="00890ADD" w:rsidRPr="00EC7C84" w:rsidRDefault="00890ADD" w:rsidP="00890ADD">
      <w:pPr>
        <w:jc w:val="both"/>
        <w:rPr>
          <w:rFonts w:ascii="Verdana" w:hAnsi="Verdana"/>
          <w:sz w:val="24"/>
          <w:szCs w:val="24"/>
          <w:lang w:eastAsia="en-GB"/>
        </w:rPr>
      </w:pPr>
      <w:r w:rsidRPr="00EC7C84">
        <w:rPr>
          <w:rFonts w:ascii="Verdana" w:eastAsia="Times New Roman" w:hAnsi="Verdana"/>
          <w:sz w:val="24"/>
          <w:szCs w:val="24"/>
        </w:rPr>
        <w:t xml:space="preserve">NHS </w:t>
      </w:r>
      <w:proofErr w:type="gramStart"/>
      <w:r w:rsidRPr="00EC7C84">
        <w:rPr>
          <w:rFonts w:ascii="Verdana" w:eastAsia="Times New Roman" w:hAnsi="Verdana"/>
          <w:sz w:val="24"/>
          <w:szCs w:val="24"/>
        </w:rPr>
        <w:t>Wales</w:t>
      </w:r>
      <w:proofErr w:type="gramEnd"/>
      <w:r w:rsidRPr="00EC7C84">
        <w:rPr>
          <w:rFonts w:ascii="Verdana" w:eastAsia="Times New Roman" w:hAnsi="Verdana"/>
          <w:sz w:val="24"/>
          <w:szCs w:val="24"/>
        </w:rPr>
        <w:t xml:space="preserve"> organisations are required to submit a COVID19 monitoring return as part of their Monthly Monitoring Returns to Welsh Government. This captures a forecast </w:t>
      </w:r>
      <w:r w:rsidRPr="00EC7C84">
        <w:rPr>
          <w:rFonts w:ascii="Verdana" w:hAnsi="Verdana"/>
          <w:sz w:val="24"/>
          <w:szCs w:val="24"/>
          <w:lang w:eastAsia="en-GB"/>
        </w:rPr>
        <w:t xml:space="preserve">for all COVID-19 costs for 2020/21 along with non-delivery of planned savings, planned operational expenditure cost reductions and slippage on planned investments. </w:t>
      </w:r>
    </w:p>
    <w:p w14:paraId="7E6F85E2" w14:textId="4CB425BA" w:rsidR="00C955ED" w:rsidRPr="00EC7C84" w:rsidRDefault="00890ADD" w:rsidP="00C955ED">
      <w:pPr>
        <w:jc w:val="both"/>
        <w:rPr>
          <w:rFonts w:ascii="Verdana" w:hAnsi="Verdana"/>
          <w:sz w:val="24"/>
          <w:szCs w:val="24"/>
        </w:rPr>
      </w:pPr>
      <w:r w:rsidRPr="00EC7C84">
        <w:rPr>
          <w:rFonts w:ascii="Verdana" w:hAnsi="Verdana"/>
          <w:b/>
          <w:sz w:val="24"/>
          <w:szCs w:val="24"/>
          <w:lang w:eastAsia="en-GB"/>
        </w:rPr>
        <w:t>Appendix 1</w:t>
      </w:r>
      <w:r w:rsidRPr="00EC7C84">
        <w:rPr>
          <w:rFonts w:ascii="Verdana" w:hAnsi="Verdana"/>
          <w:sz w:val="24"/>
          <w:szCs w:val="24"/>
          <w:lang w:eastAsia="en-GB"/>
        </w:rPr>
        <w:t xml:space="preserve"> includes the full monitoring return submitted by Public Health Wales on 1</w:t>
      </w:r>
      <w:r w:rsidR="00881990" w:rsidRPr="00EC7C84">
        <w:rPr>
          <w:rFonts w:ascii="Verdana" w:hAnsi="Verdana"/>
          <w:sz w:val="24"/>
          <w:szCs w:val="24"/>
          <w:lang w:eastAsia="en-GB"/>
        </w:rPr>
        <w:t>1</w:t>
      </w:r>
      <w:r w:rsidR="00416226" w:rsidRPr="00EC7C84">
        <w:rPr>
          <w:rFonts w:ascii="Verdana" w:hAnsi="Verdana"/>
          <w:sz w:val="24"/>
          <w:szCs w:val="24"/>
          <w:lang w:eastAsia="en-GB"/>
        </w:rPr>
        <w:t xml:space="preserve"> </w:t>
      </w:r>
      <w:r w:rsidR="00EC7C84" w:rsidRPr="00EC7C84">
        <w:rPr>
          <w:rFonts w:ascii="Verdana" w:hAnsi="Verdana"/>
          <w:sz w:val="24"/>
          <w:szCs w:val="24"/>
          <w:lang w:eastAsia="en-GB"/>
        </w:rPr>
        <w:t>March</w:t>
      </w:r>
      <w:r w:rsidR="00416226" w:rsidRPr="00EC7C84">
        <w:rPr>
          <w:rFonts w:ascii="Verdana" w:hAnsi="Verdana"/>
          <w:sz w:val="24"/>
          <w:szCs w:val="24"/>
          <w:lang w:eastAsia="en-GB"/>
        </w:rPr>
        <w:t xml:space="preserve"> 2021</w:t>
      </w:r>
      <w:r w:rsidRPr="00EC7C84">
        <w:rPr>
          <w:rFonts w:ascii="Verdana" w:hAnsi="Verdana"/>
          <w:sz w:val="24"/>
          <w:szCs w:val="24"/>
          <w:lang w:eastAsia="en-GB"/>
        </w:rPr>
        <w:t xml:space="preserve">.  Table B3 within the return specifically relates to COVID-19.  Actual costs </w:t>
      </w:r>
      <w:r w:rsidR="00C955ED" w:rsidRPr="00EC7C84">
        <w:rPr>
          <w:rFonts w:ascii="Verdana" w:hAnsi="Verdana"/>
          <w:sz w:val="24"/>
          <w:szCs w:val="24"/>
          <w:lang w:eastAsia="en-GB"/>
        </w:rPr>
        <w:t>have been</w:t>
      </w:r>
      <w:r w:rsidRPr="00EC7C84">
        <w:rPr>
          <w:rFonts w:ascii="Verdana" w:hAnsi="Verdana"/>
          <w:sz w:val="24"/>
          <w:szCs w:val="24"/>
          <w:lang w:eastAsia="en-GB"/>
        </w:rPr>
        <w:t xml:space="preserve"> reported for April</w:t>
      </w:r>
      <w:r w:rsidR="00881990" w:rsidRPr="00EC7C84">
        <w:rPr>
          <w:rFonts w:ascii="Verdana" w:hAnsi="Verdana"/>
          <w:sz w:val="24"/>
          <w:szCs w:val="24"/>
          <w:lang w:eastAsia="en-GB"/>
        </w:rPr>
        <w:t xml:space="preserve"> 2020</w:t>
      </w:r>
      <w:r w:rsidRPr="00EC7C84">
        <w:rPr>
          <w:rFonts w:ascii="Verdana" w:hAnsi="Verdana"/>
          <w:sz w:val="24"/>
          <w:szCs w:val="24"/>
          <w:lang w:eastAsia="en-GB"/>
        </w:rPr>
        <w:t xml:space="preserve"> to </w:t>
      </w:r>
      <w:r w:rsidR="00EC7C84" w:rsidRPr="00EC7C84">
        <w:rPr>
          <w:rFonts w:ascii="Verdana" w:hAnsi="Verdana"/>
          <w:sz w:val="24"/>
          <w:szCs w:val="24"/>
          <w:lang w:eastAsia="en-GB"/>
        </w:rPr>
        <w:t>February</w:t>
      </w:r>
      <w:r w:rsidR="00416226" w:rsidRPr="00EC7C84">
        <w:rPr>
          <w:rFonts w:ascii="Verdana" w:hAnsi="Verdana"/>
          <w:sz w:val="24"/>
          <w:szCs w:val="24"/>
          <w:lang w:eastAsia="en-GB"/>
        </w:rPr>
        <w:t xml:space="preserve"> 202</w:t>
      </w:r>
      <w:r w:rsidR="00881990" w:rsidRPr="00EC7C84">
        <w:rPr>
          <w:rFonts w:ascii="Verdana" w:hAnsi="Verdana"/>
          <w:sz w:val="24"/>
          <w:szCs w:val="24"/>
          <w:lang w:eastAsia="en-GB"/>
        </w:rPr>
        <w:t>1</w:t>
      </w:r>
      <w:r w:rsidRPr="00EC7C84">
        <w:rPr>
          <w:rFonts w:ascii="Verdana" w:hAnsi="Verdana"/>
          <w:sz w:val="24"/>
          <w:szCs w:val="24"/>
          <w:lang w:eastAsia="en-GB"/>
        </w:rPr>
        <w:t xml:space="preserve"> and estimat</w:t>
      </w:r>
      <w:r w:rsidR="00EC7C84" w:rsidRPr="00EC7C84">
        <w:rPr>
          <w:rFonts w:ascii="Verdana" w:hAnsi="Verdana"/>
          <w:sz w:val="24"/>
          <w:szCs w:val="24"/>
          <w:lang w:eastAsia="en-GB"/>
        </w:rPr>
        <w:t>ed costs have been included for</w:t>
      </w:r>
      <w:r w:rsidRPr="00EC7C84">
        <w:rPr>
          <w:rFonts w:ascii="Verdana" w:hAnsi="Verdana"/>
          <w:sz w:val="24"/>
          <w:szCs w:val="24"/>
          <w:lang w:eastAsia="en-GB"/>
        </w:rPr>
        <w:t xml:space="preserve"> March</w:t>
      </w:r>
      <w:r w:rsidR="00416226" w:rsidRPr="00EC7C84">
        <w:rPr>
          <w:rFonts w:ascii="Verdana" w:hAnsi="Verdana"/>
          <w:sz w:val="24"/>
          <w:szCs w:val="24"/>
          <w:lang w:eastAsia="en-GB"/>
        </w:rPr>
        <w:t xml:space="preserve"> 2021</w:t>
      </w:r>
      <w:r w:rsidRPr="00EC7C84">
        <w:rPr>
          <w:rFonts w:ascii="Verdana" w:hAnsi="Verdana"/>
          <w:sz w:val="24"/>
          <w:szCs w:val="24"/>
          <w:lang w:eastAsia="en-GB"/>
        </w:rPr>
        <w:t xml:space="preserve">. </w:t>
      </w:r>
      <w:r w:rsidR="00C955ED" w:rsidRPr="00EC7C84">
        <w:rPr>
          <w:rFonts w:ascii="Verdana" w:hAnsi="Verdana"/>
          <w:sz w:val="24"/>
          <w:szCs w:val="24"/>
          <w:lang w:eastAsia="en-GB"/>
        </w:rPr>
        <w:t xml:space="preserve"> </w:t>
      </w:r>
      <w:r w:rsidR="00617233" w:rsidRPr="00EC7C84">
        <w:rPr>
          <w:rFonts w:ascii="Verdana" w:hAnsi="Verdana"/>
          <w:sz w:val="24"/>
          <w:szCs w:val="24"/>
          <w:lang w:eastAsia="en-GB"/>
        </w:rPr>
        <w:t xml:space="preserve">It has been assumed </w:t>
      </w:r>
      <w:r w:rsidR="00C955ED" w:rsidRPr="00EC7C84">
        <w:rPr>
          <w:rFonts w:ascii="Verdana" w:hAnsi="Verdana"/>
          <w:sz w:val="24"/>
          <w:szCs w:val="24"/>
          <w:lang w:eastAsia="en-GB"/>
        </w:rPr>
        <w:t>that</w:t>
      </w:r>
      <w:r w:rsidR="00C955ED" w:rsidRPr="00EC7C84">
        <w:rPr>
          <w:rFonts w:ascii="Verdana" w:hAnsi="Verdana"/>
          <w:sz w:val="24"/>
          <w:szCs w:val="24"/>
        </w:rPr>
        <w:t xml:space="preserve"> Welsh Government will fund the remaining COVID-19 expenditure over and above internal funding already identified.</w:t>
      </w:r>
    </w:p>
    <w:p w14:paraId="177029E9" w14:textId="0129A8AD" w:rsidR="00C955ED" w:rsidRDefault="00C955ED" w:rsidP="00C955ED">
      <w:pPr>
        <w:jc w:val="both"/>
        <w:rPr>
          <w:rFonts w:ascii="Verdana" w:hAnsi="Verdana"/>
          <w:sz w:val="24"/>
          <w:szCs w:val="24"/>
        </w:rPr>
      </w:pPr>
      <w:r w:rsidRPr="00EC7C84">
        <w:rPr>
          <w:rFonts w:ascii="Verdana" w:hAnsi="Verdana"/>
          <w:sz w:val="24"/>
          <w:szCs w:val="24"/>
        </w:rPr>
        <w:t>Table C</w:t>
      </w:r>
      <w:r w:rsidR="00A34923" w:rsidRPr="00EC7C84">
        <w:rPr>
          <w:rFonts w:ascii="Verdana" w:hAnsi="Verdana"/>
          <w:sz w:val="24"/>
          <w:szCs w:val="24"/>
        </w:rPr>
        <w:t xml:space="preserve"> summarises the operational expenditure and funding source of the Public Health Wales Covid-19 response plan:</w:t>
      </w:r>
    </w:p>
    <w:p w14:paraId="363895E4" w14:textId="0867F1D2" w:rsidR="00DA25D9" w:rsidRDefault="00DA25D9" w:rsidP="00C955ED">
      <w:pPr>
        <w:jc w:val="both"/>
        <w:rPr>
          <w:rFonts w:ascii="Verdana" w:hAnsi="Verdana"/>
          <w:sz w:val="24"/>
          <w:szCs w:val="24"/>
        </w:rPr>
      </w:pPr>
    </w:p>
    <w:p w14:paraId="16B4B013" w14:textId="24C186FA" w:rsidR="00DA25D9" w:rsidRDefault="00DA25D9" w:rsidP="00C955ED">
      <w:pPr>
        <w:jc w:val="both"/>
        <w:rPr>
          <w:rFonts w:ascii="Verdana" w:hAnsi="Verdana"/>
          <w:sz w:val="24"/>
          <w:szCs w:val="24"/>
        </w:rPr>
      </w:pPr>
    </w:p>
    <w:p w14:paraId="22BAAEE8" w14:textId="4FB1F9D2" w:rsidR="00DA25D9" w:rsidRDefault="00DA25D9" w:rsidP="00C955ED">
      <w:pPr>
        <w:jc w:val="both"/>
        <w:rPr>
          <w:rFonts w:ascii="Verdana" w:hAnsi="Verdana"/>
          <w:sz w:val="24"/>
          <w:szCs w:val="24"/>
        </w:rPr>
      </w:pPr>
    </w:p>
    <w:p w14:paraId="79C9CDCB" w14:textId="77777777" w:rsidR="00DA25D9" w:rsidRDefault="00DA25D9" w:rsidP="00C955ED">
      <w:pPr>
        <w:jc w:val="both"/>
        <w:rPr>
          <w:rFonts w:ascii="Verdana" w:hAnsi="Verdana"/>
          <w:sz w:val="24"/>
          <w:szCs w:val="24"/>
        </w:rPr>
      </w:pPr>
    </w:p>
    <w:p w14:paraId="6A89297B" w14:textId="77777777" w:rsidR="00DA25D9" w:rsidRPr="00EC7C84" w:rsidRDefault="00DA25D9" w:rsidP="00C955ED">
      <w:pPr>
        <w:jc w:val="both"/>
        <w:rPr>
          <w:rFonts w:ascii="Verdana" w:hAnsi="Verdana"/>
          <w:sz w:val="24"/>
          <w:szCs w:val="24"/>
        </w:rPr>
      </w:pPr>
    </w:p>
    <w:p w14:paraId="45049E65" w14:textId="77777777" w:rsidR="004F01A3" w:rsidRPr="00AF44B0" w:rsidRDefault="004F01A3" w:rsidP="00C955ED">
      <w:pPr>
        <w:jc w:val="both"/>
        <w:rPr>
          <w:rFonts w:ascii="Verdana" w:hAnsi="Verdana"/>
          <w:sz w:val="24"/>
          <w:szCs w:val="24"/>
          <w:highlight w:val="magenta"/>
        </w:rPr>
      </w:pPr>
    </w:p>
    <w:p w14:paraId="5747203D" w14:textId="209B057F" w:rsidR="00890ADD" w:rsidRDefault="00890ADD" w:rsidP="00890ADD">
      <w:pPr>
        <w:jc w:val="both"/>
        <w:rPr>
          <w:rFonts w:ascii="Verdana" w:hAnsi="Verdana"/>
          <w:b/>
          <w:sz w:val="24"/>
          <w:szCs w:val="24"/>
          <w:lang w:eastAsia="en-GB"/>
        </w:rPr>
      </w:pPr>
      <w:r w:rsidRPr="00EC7C84">
        <w:rPr>
          <w:rFonts w:ascii="Verdana" w:hAnsi="Verdana"/>
          <w:b/>
          <w:sz w:val="24"/>
          <w:szCs w:val="24"/>
          <w:lang w:eastAsia="en-GB"/>
        </w:rPr>
        <w:lastRenderedPageBreak/>
        <w:t xml:space="preserve">Table </w:t>
      </w:r>
      <w:r w:rsidR="002A16EC" w:rsidRPr="00EC7C84">
        <w:rPr>
          <w:rFonts w:ascii="Verdana" w:hAnsi="Verdana"/>
          <w:b/>
          <w:sz w:val="24"/>
          <w:szCs w:val="24"/>
          <w:lang w:eastAsia="en-GB"/>
        </w:rPr>
        <w:t>C</w:t>
      </w:r>
      <w:r w:rsidRPr="00EC7C84">
        <w:rPr>
          <w:rFonts w:ascii="Verdana" w:hAnsi="Verdana"/>
          <w:b/>
          <w:sz w:val="24"/>
          <w:szCs w:val="24"/>
          <w:lang w:eastAsia="en-GB"/>
        </w:rPr>
        <w:t xml:space="preserve"> </w:t>
      </w:r>
      <w:r w:rsidR="002A16EC" w:rsidRPr="00EC7C84">
        <w:rPr>
          <w:rFonts w:ascii="Verdana" w:hAnsi="Verdana"/>
          <w:b/>
          <w:sz w:val="24"/>
          <w:szCs w:val="24"/>
          <w:lang w:eastAsia="en-GB"/>
        </w:rPr>
        <w:t>– Covid-</w:t>
      </w:r>
      <w:r w:rsidR="005F532F" w:rsidRPr="00EC7C84">
        <w:rPr>
          <w:rFonts w:ascii="Verdana" w:hAnsi="Verdana"/>
          <w:b/>
          <w:sz w:val="24"/>
          <w:szCs w:val="24"/>
          <w:lang w:eastAsia="en-GB"/>
        </w:rPr>
        <w:t>19 financial for</w:t>
      </w:r>
      <w:r w:rsidR="0057789B" w:rsidRPr="00EC7C84">
        <w:rPr>
          <w:rFonts w:ascii="Verdana" w:hAnsi="Verdana"/>
          <w:b/>
          <w:sz w:val="24"/>
          <w:szCs w:val="24"/>
          <w:lang w:eastAsia="en-GB"/>
        </w:rPr>
        <w:t xml:space="preserve">ecast at month </w:t>
      </w:r>
      <w:r w:rsidR="00881990" w:rsidRPr="00EC7C84">
        <w:rPr>
          <w:rFonts w:ascii="Verdana" w:hAnsi="Verdana"/>
          <w:b/>
          <w:sz w:val="24"/>
          <w:szCs w:val="24"/>
          <w:lang w:eastAsia="en-GB"/>
        </w:rPr>
        <w:t>1</w:t>
      </w:r>
      <w:r w:rsidR="00EC7C84">
        <w:rPr>
          <w:rFonts w:ascii="Verdana" w:hAnsi="Verdana"/>
          <w:b/>
          <w:sz w:val="24"/>
          <w:szCs w:val="24"/>
          <w:lang w:eastAsia="en-GB"/>
        </w:rPr>
        <w:t>1</w:t>
      </w:r>
      <w:r w:rsidR="002A16EC" w:rsidRPr="00EC7C84">
        <w:rPr>
          <w:rFonts w:ascii="Verdana" w:hAnsi="Verdana"/>
          <w:b/>
          <w:sz w:val="24"/>
          <w:szCs w:val="24"/>
          <w:lang w:eastAsia="en-GB"/>
        </w:rPr>
        <w:t xml:space="preserve"> </w:t>
      </w:r>
    </w:p>
    <w:p w14:paraId="6B9CE5C0" w14:textId="4885842F" w:rsidR="00EC7C84" w:rsidRPr="00EC7C84" w:rsidRDefault="00EC7C84" w:rsidP="00890ADD">
      <w:pPr>
        <w:jc w:val="both"/>
        <w:rPr>
          <w:rFonts w:ascii="Verdana" w:hAnsi="Verdana"/>
          <w:b/>
          <w:sz w:val="24"/>
          <w:szCs w:val="24"/>
          <w:lang w:eastAsia="en-GB"/>
        </w:rPr>
      </w:pPr>
      <w:r w:rsidRPr="00EC7C84">
        <w:rPr>
          <w:noProof/>
          <w:lang w:eastAsia="en-GB"/>
        </w:rPr>
        <w:drawing>
          <wp:inline distT="0" distB="0" distL="0" distR="0" wp14:anchorId="51D2AAA8" wp14:editId="4914CDCB">
            <wp:extent cx="5731510" cy="821516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BD9B7" w14:textId="3949643F" w:rsidR="002A16EC" w:rsidRPr="00EC7C84" w:rsidRDefault="002A16EC" w:rsidP="0031273C">
      <w:pPr>
        <w:spacing w:after="240"/>
        <w:jc w:val="both"/>
        <w:rPr>
          <w:rFonts w:ascii="Verdana" w:hAnsi="Verdana"/>
          <w:color w:val="FF0000"/>
          <w:sz w:val="24"/>
          <w:szCs w:val="24"/>
        </w:rPr>
      </w:pPr>
      <w:r w:rsidRPr="00EC7C84">
        <w:rPr>
          <w:rFonts w:ascii="Verdana" w:hAnsi="Verdana"/>
          <w:sz w:val="24"/>
          <w:szCs w:val="24"/>
        </w:rPr>
        <w:lastRenderedPageBreak/>
        <w:t xml:space="preserve">Actual costs </w:t>
      </w:r>
      <w:r w:rsidR="00A34923" w:rsidRPr="00EC7C84">
        <w:rPr>
          <w:rFonts w:ascii="Verdana" w:hAnsi="Verdana"/>
          <w:sz w:val="24"/>
          <w:szCs w:val="24"/>
        </w:rPr>
        <w:t xml:space="preserve">for Antigen testing </w:t>
      </w:r>
      <w:r w:rsidRPr="00EC7C84">
        <w:rPr>
          <w:rFonts w:ascii="Verdana" w:hAnsi="Verdana"/>
          <w:sz w:val="24"/>
          <w:szCs w:val="24"/>
        </w:rPr>
        <w:t xml:space="preserve">have been reported </w:t>
      </w:r>
      <w:r w:rsidR="00416226" w:rsidRPr="00EC7C84">
        <w:rPr>
          <w:rFonts w:ascii="Verdana" w:hAnsi="Verdana"/>
          <w:sz w:val="24"/>
          <w:szCs w:val="24"/>
        </w:rPr>
        <w:t xml:space="preserve">for </w:t>
      </w:r>
      <w:r w:rsidRPr="00EC7C84">
        <w:rPr>
          <w:rFonts w:ascii="Verdana" w:hAnsi="Verdana"/>
          <w:sz w:val="24"/>
          <w:szCs w:val="24"/>
        </w:rPr>
        <w:t>April</w:t>
      </w:r>
      <w:r w:rsidR="00881990" w:rsidRPr="00EC7C84">
        <w:rPr>
          <w:rFonts w:ascii="Verdana" w:hAnsi="Verdana"/>
          <w:sz w:val="24"/>
          <w:szCs w:val="24"/>
        </w:rPr>
        <w:t xml:space="preserve"> 2020</w:t>
      </w:r>
      <w:r w:rsidRPr="00EC7C84">
        <w:rPr>
          <w:rFonts w:ascii="Verdana" w:hAnsi="Verdana"/>
          <w:sz w:val="24"/>
          <w:szCs w:val="24"/>
        </w:rPr>
        <w:t xml:space="preserve"> through to </w:t>
      </w:r>
      <w:r w:rsidR="00EC7C84" w:rsidRPr="00EC7C84">
        <w:rPr>
          <w:rFonts w:ascii="Verdana" w:hAnsi="Verdana"/>
          <w:sz w:val="24"/>
          <w:szCs w:val="24"/>
        </w:rPr>
        <w:t>February</w:t>
      </w:r>
      <w:r w:rsidR="00881990" w:rsidRPr="00EC7C84">
        <w:rPr>
          <w:rFonts w:ascii="Verdana" w:hAnsi="Verdana"/>
          <w:sz w:val="24"/>
          <w:szCs w:val="24"/>
        </w:rPr>
        <w:t xml:space="preserve"> </w:t>
      </w:r>
      <w:r w:rsidR="00416226" w:rsidRPr="00EC7C84">
        <w:rPr>
          <w:rFonts w:ascii="Verdana" w:hAnsi="Verdana"/>
          <w:sz w:val="24"/>
          <w:szCs w:val="24"/>
        </w:rPr>
        <w:t>202</w:t>
      </w:r>
      <w:r w:rsidR="00881990" w:rsidRPr="00EC7C84">
        <w:rPr>
          <w:rFonts w:ascii="Verdana" w:hAnsi="Verdana"/>
          <w:sz w:val="24"/>
          <w:szCs w:val="24"/>
        </w:rPr>
        <w:t>1</w:t>
      </w:r>
      <w:r w:rsidR="0031273C" w:rsidRPr="00EC7C84">
        <w:rPr>
          <w:rFonts w:ascii="Verdana" w:hAnsi="Verdana"/>
          <w:sz w:val="24"/>
          <w:szCs w:val="24"/>
        </w:rPr>
        <w:t>.  S</w:t>
      </w:r>
      <w:r w:rsidR="0031273C" w:rsidRPr="00EC7C84">
        <w:rPr>
          <w:rFonts w:ascii="Verdana" w:eastAsia="Times New Roman" w:hAnsi="Verdana" w:cs="Arial"/>
          <w:iCs/>
          <w:sz w:val="24"/>
          <w:szCs w:val="24"/>
          <w:lang w:eastAsia="en-GB"/>
        </w:rPr>
        <w:t xml:space="preserve">amples received to December for testing in Welsh laboratories </w:t>
      </w:r>
      <w:r w:rsidR="00EC7C84" w:rsidRPr="00EC7C84">
        <w:rPr>
          <w:rFonts w:ascii="Verdana" w:eastAsia="Times New Roman" w:hAnsi="Verdana" w:cs="Arial"/>
          <w:iCs/>
          <w:sz w:val="24"/>
          <w:szCs w:val="24"/>
          <w:lang w:eastAsia="en-GB"/>
        </w:rPr>
        <w:t>did</w:t>
      </w:r>
      <w:r w:rsidR="0031273C" w:rsidRPr="00EC7C84">
        <w:rPr>
          <w:rFonts w:ascii="Verdana" w:eastAsia="Times New Roman" w:hAnsi="Verdana" w:cs="Arial"/>
          <w:iCs/>
          <w:sz w:val="24"/>
          <w:szCs w:val="24"/>
          <w:lang w:eastAsia="en-GB"/>
        </w:rPr>
        <w:t xml:space="preserve"> not exceeded 50% of the capacity available and </w:t>
      </w:r>
      <w:r w:rsidR="0031273C" w:rsidRPr="00EC7C84">
        <w:rPr>
          <w:rFonts w:ascii="Verdana" w:eastAsia="Times New Roman" w:hAnsi="Verdana" w:cs="Times New Roman"/>
          <w:iCs/>
          <w:sz w:val="24"/>
          <w:szCs w:val="24"/>
          <w:lang w:eastAsia="en-GB"/>
        </w:rPr>
        <w:t xml:space="preserve">therefore the forecast for Q4 </w:t>
      </w:r>
      <w:r w:rsidR="00881990" w:rsidRPr="00EC7C84">
        <w:rPr>
          <w:rFonts w:ascii="Verdana" w:eastAsia="Times New Roman" w:hAnsi="Verdana" w:cs="Times New Roman"/>
          <w:iCs/>
          <w:sz w:val="24"/>
          <w:szCs w:val="24"/>
          <w:lang w:eastAsia="en-GB"/>
        </w:rPr>
        <w:t>was</w:t>
      </w:r>
      <w:r w:rsidR="0031273C" w:rsidRPr="00EC7C84">
        <w:rPr>
          <w:rFonts w:ascii="Verdana" w:eastAsia="Times New Roman" w:hAnsi="Verdana" w:cs="Times New Roman"/>
          <w:iCs/>
          <w:sz w:val="24"/>
          <w:szCs w:val="24"/>
          <w:lang w:eastAsia="en-GB"/>
        </w:rPr>
        <w:t xml:space="preserve"> reduced based on the assumption that the current levels of testing in Welsh laboratories will continue.  E</w:t>
      </w:r>
      <w:r w:rsidRPr="00EC7C84">
        <w:rPr>
          <w:rFonts w:ascii="Verdana" w:hAnsi="Verdana"/>
          <w:sz w:val="24"/>
          <w:szCs w:val="24"/>
        </w:rPr>
        <w:t>stimate</w:t>
      </w:r>
      <w:r w:rsidR="00A34923" w:rsidRPr="00EC7C84">
        <w:rPr>
          <w:rFonts w:ascii="Verdana" w:hAnsi="Verdana"/>
          <w:sz w:val="24"/>
          <w:szCs w:val="24"/>
        </w:rPr>
        <w:t xml:space="preserve">d costs </w:t>
      </w:r>
      <w:r w:rsidR="00DA25D9" w:rsidRPr="00EC7C84">
        <w:rPr>
          <w:rFonts w:ascii="Verdana" w:hAnsi="Verdana"/>
          <w:sz w:val="24"/>
          <w:szCs w:val="24"/>
        </w:rPr>
        <w:t>for March</w:t>
      </w:r>
      <w:r w:rsidR="00A34923" w:rsidRPr="00EC7C84">
        <w:rPr>
          <w:rFonts w:ascii="Verdana" w:hAnsi="Verdana"/>
          <w:sz w:val="24"/>
          <w:szCs w:val="24"/>
        </w:rPr>
        <w:t xml:space="preserve"> </w:t>
      </w:r>
      <w:r w:rsidR="00416226" w:rsidRPr="00EC7C84">
        <w:rPr>
          <w:rFonts w:ascii="Verdana" w:hAnsi="Verdana"/>
          <w:sz w:val="24"/>
          <w:szCs w:val="24"/>
        </w:rPr>
        <w:t xml:space="preserve">2021 </w:t>
      </w:r>
      <w:r w:rsidR="0031273C" w:rsidRPr="00EC7C84">
        <w:rPr>
          <w:rFonts w:ascii="Verdana" w:hAnsi="Verdana"/>
          <w:sz w:val="24"/>
          <w:szCs w:val="24"/>
        </w:rPr>
        <w:t xml:space="preserve">are </w:t>
      </w:r>
      <w:r w:rsidR="00A34923" w:rsidRPr="00EC7C84">
        <w:rPr>
          <w:rFonts w:ascii="Verdana" w:hAnsi="Verdana"/>
          <w:sz w:val="24"/>
          <w:szCs w:val="24"/>
        </w:rPr>
        <w:t xml:space="preserve">based on the following testing </w:t>
      </w:r>
      <w:r w:rsidR="00416226" w:rsidRPr="00EC7C84">
        <w:rPr>
          <w:rFonts w:ascii="Verdana" w:hAnsi="Verdana"/>
          <w:sz w:val="24"/>
          <w:szCs w:val="24"/>
        </w:rPr>
        <w:t>numbers</w:t>
      </w:r>
      <w:r w:rsidRPr="00EC7C84">
        <w:rPr>
          <w:rFonts w:ascii="Verdana" w:hAnsi="Verdana"/>
          <w:sz w:val="24"/>
          <w:szCs w:val="24"/>
        </w:rPr>
        <w:t>:</w:t>
      </w:r>
      <w:r w:rsidR="00617233" w:rsidRPr="00EC7C84">
        <w:rPr>
          <w:rFonts w:ascii="Verdana" w:hAnsi="Verdana"/>
          <w:sz w:val="24"/>
          <w:szCs w:val="24"/>
        </w:rPr>
        <w:t xml:space="preserve"> </w:t>
      </w:r>
    </w:p>
    <w:tbl>
      <w:tblPr>
        <w:tblStyle w:val="TableGrid"/>
        <w:tblW w:w="3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EC7C84" w:rsidRPr="00EC7C84" w14:paraId="318CDD2B" w14:textId="77777777" w:rsidTr="00EC7C84">
        <w:tc>
          <w:tcPr>
            <w:tcW w:w="2552" w:type="dxa"/>
          </w:tcPr>
          <w:p w14:paraId="6F3C2C53" w14:textId="77777777" w:rsidR="00EC7C84" w:rsidRPr="00EC7C84" w:rsidRDefault="00EC7C84" w:rsidP="00F46284">
            <w:pPr>
              <w:spacing w:after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5D22D" w14:textId="77777777" w:rsidR="00EC7C84" w:rsidRPr="00EC7C84" w:rsidRDefault="00EC7C84" w:rsidP="00F46284">
            <w:pPr>
              <w:spacing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C7C84">
              <w:rPr>
                <w:rFonts w:ascii="Verdana" w:hAnsi="Verdana"/>
                <w:b/>
                <w:sz w:val="24"/>
                <w:szCs w:val="24"/>
              </w:rPr>
              <w:t>Mar-20</w:t>
            </w:r>
          </w:p>
        </w:tc>
      </w:tr>
      <w:tr w:rsidR="00EC7C84" w:rsidRPr="00EC7C84" w14:paraId="2CC118B6" w14:textId="77777777" w:rsidTr="00EC7C84">
        <w:tc>
          <w:tcPr>
            <w:tcW w:w="2552" w:type="dxa"/>
          </w:tcPr>
          <w:p w14:paraId="040D85C7" w14:textId="77777777" w:rsidR="00EC7C84" w:rsidRPr="00EC7C84" w:rsidRDefault="00EC7C84" w:rsidP="00F46284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EC7C84">
              <w:rPr>
                <w:rFonts w:ascii="Verdana" w:hAnsi="Verdana"/>
                <w:sz w:val="24"/>
                <w:szCs w:val="24"/>
              </w:rPr>
              <w:t>Tests per day</w:t>
            </w:r>
          </w:p>
        </w:tc>
        <w:tc>
          <w:tcPr>
            <w:tcW w:w="1417" w:type="dxa"/>
          </w:tcPr>
          <w:p w14:paraId="6541EA29" w14:textId="77777777" w:rsidR="00EC7C84" w:rsidRPr="00EC7C84" w:rsidRDefault="00EC7C84" w:rsidP="00416226">
            <w:pPr>
              <w:spacing w:after="240"/>
              <w:jc w:val="center"/>
              <w:rPr>
                <w:rFonts w:ascii="Verdana" w:hAnsi="Verdana"/>
                <w:sz w:val="24"/>
                <w:szCs w:val="24"/>
              </w:rPr>
            </w:pPr>
            <w:r w:rsidRPr="00EC7C84">
              <w:rPr>
                <w:rFonts w:ascii="Verdana" w:hAnsi="Verdana"/>
                <w:sz w:val="24"/>
                <w:szCs w:val="24"/>
              </w:rPr>
              <w:t>5,000</w:t>
            </w:r>
          </w:p>
        </w:tc>
      </w:tr>
      <w:tr w:rsidR="00EC7C84" w:rsidRPr="00AF44B0" w14:paraId="442F551D" w14:textId="77777777" w:rsidTr="00EC7C84">
        <w:tc>
          <w:tcPr>
            <w:tcW w:w="2552" w:type="dxa"/>
          </w:tcPr>
          <w:p w14:paraId="06DDD497" w14:textId="77777777" w:rsidR="00EC7C84" w:rsidRPr="00EC7C84" w:rsidRDefault="00EC7C84" w:rsidP="00F46284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EC7C84">
              <w:rPr>
                <w:rFonts w:ascii="Verdana" w:hAnsi="Verdana"/>
                <w:sz w:val="24"/>
                <w:szCs w:val="24"/>
              </w:rPr>
              <w:t>Total monthly tests</w:t>
            </w:r>
          </w:p>
        </w:tc>
        <w:tc>
          <w:tcPr>
            <w:tcW w:w="1417" w:type="dxa"/>
          </w:tcPr>
          <w:p w14:paraId="2FBEC243" w14:textId="77777777" w:rsidR="00EC7C84" w:rsidRPr="00EC7C84" w:rsidRDefault="00EC7C84" w:rsidP="00416226">
            <w:pPr>
              <w:spacing w:after="240"/>
              <w:jc w:val="center"/>
              <w:rPr>
                <w:rFonts w:ascii="Verdana" w:hAnsi="Verdana"/>
                <w:sz w:val="24"/>
                <w:szCs w:val="24"/>
              </w:rPr>
            </w:pPr>
            <w:r w:rsidRPr="00EC7C84">
              <w:rPr>
                <w:rFonts w:ascii="Verdana" w:hAnsi="Verdana"/>
                <w:sz w:val="24"/>
                <w:szCs w:val="24"/>
              </w:rPr>
              <w:t>155,000</w:t>
            </w:r>
          </w:p>
        </w:tc>
      </w:tr>
    </w:tbl>
    <w:p w14:paraId="66E10C07" w14:textId="77777777" w:rsidR="002A16EC" w:rsidRPr="00AF44B0" w:rsidRDefault="002A16EC" w:rsidP="002A16EC">
      <w:pPr>
        <w:spacing w:after="240"/>
        <w:rPr>
          <w:rFonts w:ascii="Verdana" w:hAnsi="Verdana"/>
          <w:sz w:val="24"/>
          <w:szCs w:val="24"/>
          <w:highlight w:val="magenta"/>
        </w:rPr>
      </w:pPr>
    </w:p>
    <w:p w14:paraId="658619F6" w14:textId="77777777" w:rsidR="0051605F" w:rsidRPr="00DA25D9" w:rsidRDefault="00163E3F" w:rsidP="0051605F">
      <w:pPr>
        <w:spacing w:after="240"/>
        <w:jc w:val="both"/>
        <w:rPr>
          <w:rFonts w:ascii="Verdana" w:hAnsi="Verdana"/>
          <w:sz w:val="24"/>
          <w:szCs w:val="24"/>
        </w:rPr>
      </w:pPr>
      <w:r w:rsidRPr="00DA25D9">
        <w:rPr>
          <w:rFonts w:ascii="Verdana" w:hAnsi="Verdana"/>
          <w:sz w:val="24"/>
          <w:szCs w:val="24"/>
        </w:rPr>
        <w:t>T</w:t>
      </w:r>
      <w:r w:rsidR="0051605F" w:rsidRPr="00DA25D9">
        <w:rPr>
          <w:rFonts w:ascii="Verdana" w:hAnsi="Verdana"/>
          <w:sz w:val="24"/>
          <w:szCs w:val="24"/>
        </w:rPr>
        <w:t>he original plan was for P</w:t>
      </w:r>
      <w:r w:rsidRPr="00DA25D9">
        <w:rPr>
          <w:rFonts w:ascii="Verdana" w:hAnsi="Verdana"/>
          <w:sz w:val="24"/>
          <w:szCs w:val="24"/>
        </w:rPr>
        <w:t>ublic Health Wales</w:t>
      </w:r>
      <w:r w:rsidR="0051605F" w:rsidRPr="00DA25D9">
        <w:rPr>
          <w:rFonts w:ascii="Verdana" w:hAnsi="Verdana"/>
          <w:sz w:val="24"/>
          <w:szCs w:val="24"/>
        </w:rPr>
        <w:t xml:space="preserve"> to provide capacity for antibody testing to be undertaken in the IP5 lab</w:t>
      </w:r>
      <w:r w:rsidRPr="00DA25D9">
        <w:rPr>
          <w:rFonts w:ascii="Verdana" w:hAnsi="Verdana"/>
          <w:sz w:val="24"/>
          <w:szCs w:val="24"/>
        </w:rPr>
        <w:t>oratory</w:t>
      </w:r>
      <w:r w:rsidR="0051605F" w:rsidRPr="00DA25D9">
        <w:rPr>
          <w:rFonts w:ascii="Verdana" w:hAnsi="Verdana"/>
          <w:sz w:val="24"/>
          <w:szCs w:val="24"/>
        </w:rPr>
        <w:t>.  W</w:t>
      </w:r>
      <w:r w:rsidRPr="00DA25D9">
        <w:rPr>
          <w:rFonts w:ascii="Verdana" w:hAnsi="Verdana"/>
          <w:sz w:val="24"/>
          <w:szCs w:val="24"/>
        </w:rPr>
        <w:t xml:space="preserve">elsh Government </w:t>
      </w:r>
      <w:r w:rsidR="0051605F" w:rsidRPr="00DA25D9">
        <w:rPr>
          <w:rFonts w:ascii="Verdana" w:hAnsi="Verdana"/>
          <w:sz w:val="24"/>
          <w:szCs w:val="24"/>
        </w:rPr>
        <w:t xml:space="preserve">approved a contract with Ortho Clinical Diagnostics for the supply of testing kits to deliver this capacity.  Due to </w:t>
      </w:r>
      <w:r w:rsidRPr="00DA25D9">
        <w:rPr>
          <w:rFonts w:ascii="Verdana" w:hAnsi="Verdana"/>
          <w:sz w:val="24"/>
          <w:szCs w:val="24"/>
        </w:rPr>
        <w:t xml:space="preserve">a change in </w:t>
      </w:r>
      <w:r w:rsidR="0051605F" w:rsidRPr="00DA25D9">
        <w:rPr>
          <w:rFonts w:ascii="Verdana" w:hAnsi="Verdana"/>
          <w:sz w:val="24"/>
          <w:szCs w:val="24"/>
        </w:rPr>
        <w:t>W</w:t>
      </w:r>
      <w:r w:rsidRPr="00DA25D9">
        <w:rPr>
          <w:rFonts w:ascii="Verdana" w:hAnsi="Verdana"/>
          <w:sz w:val="24"/>
          <w:szCs w:val="24"/>
        </w:rPr>
        <w:t xml:space="preserve">elsh Government </w:t>
      </w:r>
      <w:r w:rsidR="0051605F" w:rsidRPr="00DA25D9">
        <w:rPr>
          <w:rFonts w:ascii="Verdana" w:hAnsi="Verdana"/>
          <w:sz w:val="24"/>
          <w:szCs w:val="24"/>
        </w:rPr>
        <w:t>policy</w:t>
      </w:r>
      <w:r w:rsidRPr="00DA25D9">
        <w:rPr>
          <w:rFonts w:ascii="Verdana" w:hAnsi="Verdana"/>
          <w:sz w:val="24"/>
          <w:szCs w:val="24"/>
        </w:rPr>
        <w:t xml:space="preserve"> on antibody testing</w:t>
      </w:r>
      <w:r w:rsidR="0051605F" w:rsidRPr="00DA25D9">
        <w:rPr>
          <w:rFonts w:ascii="Verdana" w:hAnsi="Verdana"/>
          <w:sz w:val="24"/>
          <w:szCs w:val="24"/>
        </w:rPr>
        <w:t xml:space="preserve"> P</w:t>
      </w:r>
      <w:r w:rsidRPr="00DA25D9">
        <w:rPr>
          <w:rFonts w:ascii="Verdana" w:hAnsi="Verdana"/>
          <w:sz w:val="24"/>
          <w:szCs w:val="24"/>
        </w:rPr>
        <w:t>ublic Health Wales</w:t>
      </w:r>
      <w:r w:rsidR="0051605F" w:rsidRPr="00DA25D9">
        <w:rPr>
          <w:rFonts w:ascii="Verdana" w:hAnsi="Verdana"/>
          <w:sz w:val="24"/>
          <w:szCs w:val="24"/>
        </w:rPr>
        <w:t xml:space="preserve"> are working with Ortho Clinical Diagnostics to verify and validate the kits for use as antigen testing kits.  </w:t>
      </w:r>
      <w:r w:rsidR="00416226" w:rsidRPr="00DA25D9">
        <w:rPr>
          <w:rFonts w:ascii="Verdana" w:hAnsi="Verdana"/>
          <w:sz w:val="24"/>
          <w:szCs w:val="24"/>
        </w:rPr>
        <w:t>No additional costs have been included in the forecast for antibody testing.</w:t>
      </w:r>
      <w:r w:rsidR="0051605F" w:rsidRPr="00DA25D9">
        <w:rPr>
          <w:rFonts w:ascii="Verdana" w:hAnsi="Verdana"/>
          <w:sz w:val="24"/>
          <w:szCs w:val="24"/>
        </w:rPr>
        <w:t xml:space="preserve"> </w:t>
      </w:r>
    </w:p>
    <w:p w14:paraId="649EE89A" w14:textId="77777777" w:rsidR="004C287E" w:rsidRPr="007E6B7D" w:rsidRDefault="004C287E" w:rsidP="00346DCD">
      <w:pPr>
        <w:jc w:val="both"/>
        <w:rPr>
          <w:rFonts w:ascii="Verdana" w:hAnsi="Verdana"/>
          <w:b/>
          <w:sz w:val="24"/>
          <w:szCs w:val="24"/>
        </w:rPr>
      </w:pPr>
      <w:r w:rsidRPr="007E6B7D">
        <w:rPr>
          <w:rFonts w:ascii="Verdana" w:hAnsi="Verdana"/>
          <w:b/>
          <w:sz w:val="24"/>
          <w:szCs w:val="24"/>
        </w:rPr>
        <w:t>3.2 All other Directorates</w:t>
      </w:r>
    </w:p>
    <w:p w14:paraId="3F4E4DE9" w14:textId="77777777" w:rsidR="007E37E4" w:rsidRPr="007E6B7D" w:rsidRDefault="004C287E" w:rsidP="007E37E4">
      <w:pPr>
        <w:jc w:val="both"/>
        <w:rPr>
          <w:rFonts w:ascii="Verdana" w:hAnsi="Verdana"/>
          <w:sz w:val="24"/>
          <w:szCs w:val="24"/>
        </w:rPr>
      </w:pPr>
      <w:r w:rsidRPr="007E6B7D">
        <w:rPr>
          <w:rFonts w:ascii="Verdana" w:hAnsi="Verdana"/>
          <w:sz w:val="24"/>
          <w:szCs w:val="24"/>
        </w:rPr>
        <w:t>Following the income and expenditure budget scrutiny process a breakeven position has been forecasted for P</w:t>
      </w:r>
      <w:r w:rsidR="00163E3F" w:rsidRPr="007E6B7D">
        <w:rPr>
          <w:rFonts w:ascii="Verdana" w:hAnsi="Verdana"/>
          <w:sz w:val="24"/>
          <w:szCs w:val="24"/>
        </w:rPr>
        <w:t xml:space="preserve">ublic </w:t>
      </w:r>
      <w:r w:rsidRPr="007E6B7D">
        <w:rPr>
          <w:rFonts w:ascii="Verdana" w:hAnsi="Verdana"/>
          <w:sz w:val="24"/>
          <w:szCs w:val="24"/>
        </w:rPr>
        <w:t>H</w:t>
      </w:r>
      <w:r w:rsidR="00163E3F" w:rsidRPr="007E6B7D">
        <w:rPr>
          <w:rFonts w:ascii="Verdana" w:hAnsi="Verdana"/>
          <w:sz w:val="24"/>
          <w:szCs w:val="24"/>
        </w:rPr>
        <w:t>ealth Wales</w:t>
      </w:r>
      <w:r w:rsidRPr="007E6B7D">
        <w:rPr>
          <w:rFonts w:ascii="Verdana" w:hAnsi="Verdana"/>
          <w:sz w:val="24"/>
          <w:szCs w:val="24"/>
        </w:rPr>
        <w:t xml:space="preserve">.  This </w:t>
      </w:r>
      <w:r w:rsidR="007E37E4" w:rsidRPr="007E6B7D">
        <w:rPr>
          <w:rFonts w:ascii="Verdana" w:hAnsi="Verdana"/>
          <w:sz w:val="24"/>
          <w:szCs w:val="24"/>
        </w:rPr>
        <w:t>includes</w:t>
      </w:r>
      <w:r w:rsidRPr="007E6B7D">
        <w:rPr>
          <w:rFonts w:ascii="Verdana" w:hAnsi="Verdana"/>
          <w:sz w:val="24"/>
          <w:szCs w:val="24"/>
        </w:rPr>
        <w:t xml:space="preserve"> a</w:t>
      </w:r>
      <w:r w:rsidR="007E37E4" w:rsidRPr="007E6B7D">
        <w:rPr>
          <w:rFonts w:ascii="Verdana" w:hAnsi="Verdana"/>
          <w:sz w:val="24"/>
          <w:szCs w:val="24"/>
        </w:rPr>
        <w:t>n</w:t>
      </w:r>
      <w:r w:rsidRPr="007E6B7D">
        <w:rPr>
          <w:rFonts w:ascii="Verdana" w:hAnsi="Verdana"/>
          <w:sz w:val="24"/>
          <w:szCs w:val="24"/>
        </w:rPr>
        <w:t xml:space="preserve"> </w:t>
      </w:r>
      <w:r w:rsidR="007E37E4" w:rsidRPr="007E6B7D">
        <w:rPr>
          <w:rFonts w:ascii="Verdana" w:hAnsi="Verdana"/>
          <w:sz w:val="24"/>
          <w:szCs w:val="24"/>
        </w:rPr>
        <w:t>assumption that Welsh Government will fund the remaining COVID-19 expenditure over and above internal funding already identified.</w:t>
      </w:r>
    </w:p>
    <w:p w14:paraId="3A0FC80D" w14:textId="77777777" w:rsidR="00BA1C8A" w:rsidRPr="007E6B7D" w:rsidRDefault="007E37E4" w:rsidP="007E37E4">
      <w:pPr>
        <w:jc w:val="both"/>
        <w:rPr>
          <w:rFonts w:ascii="Verdana" w:hAnsi="Verdana"/>
          <w:sz w:val="24"/>
          <w:szCs w:val="24"/>
        </w:rPr>
      </w:pPr>
      <w:r w:rsidRPr="007E6B7D">
        <w:rPr>
          <w:rFonts w:ascii="Verdana" w:hAnsi="Verdana"/>
          <w:sz w:val="24"/>
          <w:szCs w:val="24"/>
        </w:rPr>
        <w:t xml:space="preserve">There remains a clear finance focus on the response, reactivation of essential services and other priorities to ensure underlying financial balance is maintained within the parameters of the Board approved budget for </w:t>
      </w:r>
      <w:r w:rsidR="00131B5B" w:rsidRPr="007E6B7D">
        <w:rPr>
          <w:rFonts w:ascii="Verdana" w:hAnsi="Verdana"/>
          <w:sz w:val="24"/>
          <w:szCs w:val="24"/>
        </w:rPr>
        <w:t>20</w:t>
      </w:r>
      <w:r w:rsidRPr="007E6B7D">
        <w:rPr>
          <w:rFonts w:ascii="Verdana" w:hAnsi="Verdana"/>
          <w:sz w:val="24"/>
          <w:szCs w:val="24"/>
        </w:rPr>
        <w:t>20/21.</w:t>
      </w:r>
    </w:p>
    <w:p w14:paraId="0A7A5D7D" w14:textId="77777777" w:rsidR="007E37E4" w:rsidRPr="00AF44B0" w:rsidRDefault="007E37E4" w:rsidP="007E37E4">
      <w:pPr>
        <w:jc w:val="both"/>
        <w:rPr>
          <w:rFonts w:ascii="Verdana" w:hAnsi="Verdana"/>
          <w:sz w:val="24"/>
          <w:szCs w:val="24"/>
          <w:highlight w:val="magenta"/>
        </w:rPr>
      </w:pPr>
      <w:r w:rsidRPr="00AF44B0">
        <w:rPr>
          <w:rFonts w:ascii="Verdana" w:hAnsi="Verdana"/>
          <w:sz w:val="24"/>
          <w:szCs w:val="24"/>
          <w:highlight w:val="magenta"/>
        </w:rPr>
        <w:t xml:space="preserve"> </w:t>
      </w:r>
    </w:p>
    <w:p w14:paraId="136131D2" w14:textId="77777777" w:rsidR="00FF7411" w:rsidRPr="005E3042" w:rsidRDefault="00FF7411" w:rsidP="00FF7411">
      <w:pPr>
        <w:pStyle w:val="ListParagraph"/>
        <w:numPr>
          <w:ilvl w:val="0"/>
          <w:numId w:val="10"/>
        </w:numPr>
        <w:jc w:val="both"/>
        <w:rPr>
          <w:rFonts w:ascii="Verdana" w:hAnsi="Verdana"/>
          <w:b/>
          <w:u w:val="single"/>
        </w:rPr>
      </w:pPr>
      <w:r w:rsidRPr="005E3042">
        <w:rPr>
          <w:rFonts w:ascii="Verdana" w:hAnsi="Verdana"/>
          <w:b/>
          <w:u w:val="single"/>
        </w:rPr>
        <w:t>Capital</w:t>
      </w:r>
    </w:p>
    <w:p w14:paraId="12C0FB9D" w14:textId="77777777" w:rsidR="00FF7411" w:rsidRPr="005E3042" w:rsidRDefault="00FF7411" w:rsidP="00FF7411">
      <w:pPr>
        <w:pStyle w:val="ListParagraph"/>
        <w:ind w:left="360"/>
        <w:jc w:val="both"/>
        <w:rPr>
          <w:rFonts w:ascii="Verdana" w:hAnsi="Verdana"/>
          <w:b/>
        </w:rPr>
      </w:pPr>
    </w:p>
    <w:p w14:paraId="108183F7" w14:textId="48B9D5C1" w:rsidR="00FF7411" w:rsidRDefault="00FF7411" w:rsidP="00FF741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E3042">
        <w:rPr>
          <w:rFonts w:ascii="Verdana" w:hAnsi="Verdana"/>
          <w:sz w:val="24"/>
          <w:szCs w:val="24"/>
        </w:rPr>
        <w:t>Public Health Wales capita</w:t>
      </w:r>
      <w:r w:rsidR="005E3042">
        <w:rPr>
          <w:rFonts w:ascii="Verdana" w:hAnsi="Verdana"/>
          <w:sz w:val="24"/>
          <w:szCs w:val="24"/>
        </w:rPr>
        <w:t>l funding for 2020/21 totals £13.042</w:t>
      </w:r>
      <w:r w:rsidR="00511DA0">
        <w:rPr>
          <w:rFonts w:ascii="Verdana" w:hAnsi="Verdana"/>
          <w:sz w:val="24"/>
          <w:szCs w:val="24"/>
        </w:rPr>
        <w:t>m,</w:t>
      </w:r>
      <w:r w:rsidR="000A7F62" w:rsidRPr="005E3042">
        <w:rPr>
          <w:rFonts w:ascii="Verdana" w:hAnsi="Verdana"/>
          <w:sz w:val="24"/>
          <w:szCs w:val="24"/>
        </w:rPr>
        <w:t xml:space="preserve"> summary of the schemes detailed in Table D.  </w:t>
      </w:r>
    </w:p>
    <w:p w14:paraId="1C4A344B" w14:textId="77777777" w:rsidR="00511DA0" w:rsidRPr="005E3042" w:rsidRDefault="00511DA0" w:rsidP="00FF741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53B04A9C" w14:textId="77777777" w:rsidR="00163E3F" w:rsidRPr="00AF44B0" w:rsidRDefault="00163E3F" w:rsidP="00FF7411">
      <w:pPr>
        <w:spacing w:after="0" w:line="240" w:lineRule="auto"/>
        <w:jc w:val="both"/>
        <w:rPr>
          <w:rFonts w:ascii="Verdana" w:hAnsi="Verdana"/>
          <w:sz w:val="24"/>
          <w:szCs w:val="24"/>
          <w:highlight w:val="magenta"/>
        </w:rPr>
      </w:pPr>
    </w:p>
    <w:p w14:paraId="2D2B1F23" w14:textId="77777777" w:rsidR="00062C6C" w:rsidRPr="00AF44B0" w:rsidRDefault="00062C6C" w:rsidP="00FF7411">
      <w:pPr>
        <w:spacing w:after="0" w:line="240" w:lineRule="auto"/>
        <w:jc w:val="both"/>
        <w:rPr>
          <w:rFonts w:ascii="Verdana" w:hAnsi="Verdana"/>
          <w:sz w:val="24"/>
          <w:szCs w:val="24"/>
          <w:highlight w:val="magenta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1976"/>
        <w:gridCol w:w="4348"/>
        <w:gridCol w:w="1358"/>
        <w:gridCol w:w="1258"/>
      </w:tblGrid>
      <w:tr w:rsidR="005E3042" w:rsidRPr="005E3042" w14:paraId="2808AF9A" w14:textId="77777777" w:rsidTr="005E3042">
        <w:trPr>
          <w:trHeight w:val="66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AE47F98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lastRenderedPageBreak/>
              <w:t>Fund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0AFFC6E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117E8036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2020/21 Allocation £000's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3D09477F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YTD Spend 2020/21 £000's</w:t>
            </w:r>
          </w:p>
        </w:tc>
      </w:tr>
      <w:tr w:rsidR="005E3042" w:rsidRPr="005E3042" w14:paraId="3E52D62D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5FF7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6956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COVID 19 various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E395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8EB7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165</w:t>
            </w:r>
          </w:p>
        </w:tc>
      </w:tr>
      <w:tr w:rsidR="005E3042" w:rsidRPr="005E3042" w14:paraId="4AD8B697" w14:textId="77777777" w:rsidTr="005E3042">
        <w:trPr>
          <w:trHeight w:val="45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5212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283A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Screening Mobile upscale - Recovery following COVID-19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E894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2F63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</w:t>
            </w:r>
          </w:p>
        </w:tc>
      </w:tr>
      <w:tr w:rsidR="005E3042" w:rsidRPr="005E3042" w14:paraId="508BCFBF" w14:textId="77777777" w:rsidTr="005E3042">
        <w:trPr>
          <w:trHeight w:val="57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9F96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42A70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CSIMS Cervical information system NHAIS replacement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E8B9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D979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245</w:t>
            </w:r>
          </w:p>
        </w:tc>
      </w:tr>
      <w:tr w:rsidR="005E3042" w:rsidRPr="005E3042" w14:paraId="5D32692C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B598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4E95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4CC0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1214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5E3042" w:rsidRPr="005E3042" w14:paraId="220B8835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AA01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CD38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IT - New laptops/desktops/ replacement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A3B5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F960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</w:t>
            </w:r>
          </w:p>
        </w:tc>
      </w:tr>
      <w:tr w:rsidR="005E3042" w:rsidRPr="005E3042" w14:paraId="0CC71542" w14:textId="77777777" w:rsidTr="005E3042">
        <w:trPr>
          <w:trHeight w:val="495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12CD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F0921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Retinal Image Management System </w:t>
            </w:r>
            <w:proofErr w:type="spellStart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Optpmize</w:t>
            </w:r>
            <w:proofErr w:type="spellEnd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Software Support - DESW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1BD8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F3AE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5E3042" w:rsidRPr="005E3042" w14:paraId="68698315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3D8D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1A02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Replacement of virtual infrastructure at CQ2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C0CD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5EE7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</w:t>
            </w:r>
          </w:p>
        </w:tc>
      </w:tr>
      <w:tr w:rsidR="005E3042" w:rsidRPr="005E3042" w14:paraId="5D433DE1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9B31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C6E94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LINC (£58k re provided from 19/20)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246A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F210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</w:t>
            </w:r>
          </w:p>
        </w:tc>
      </w:tr>
      <w:tr w:rsidR="005E3042" w:rsidRPr="005E3042" w14:paraId="07C3233E" w14:textId="77777777" w:rsidTr="005E3042">
        <w:trPr>
          <w:trHeight w:val="45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DA6B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D3A7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Screening - Replacement Generators, biopsy chair and DESW fire doors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1AAF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8689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</w:t>
            </w:r>
          </w:p>
        </w:tc>
      </w:tr>
      <w:tr w:rsidR="005E3042" w:rsidRPr="005E3042" w14:paraId="23BC2928" w14:textId="77777777" w:rsidTr="005E3042">
        <w:trPr>
          <w:trHeight w:val="465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C38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3994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Replacement dated lighting systems with LED lighting systems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E8A9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8C04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</w:t>
            </w:r>
          </w:p>
        </w:tc>
      </w:tr>
      <w:tr w:rsidR="005E3042" w:rsidRPr="005E3042" w14:paraId="39936A36" w14:textId="77777777" w:rsidTr="005E3042">
        <w:trPr>
          <w:trHeight w:val="495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A3C0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Discretionary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DA36A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Class 1 safety cabinet replacement x 6 (Cardiff x4, Carmarthen x 1, Bangor x 1)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E8DB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011B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5E3042" w:rsidRPr="005E3042" w14:paraId="48270541" w14:textId="77777777" w:rsidTr="005E3042">
        <w:trPr>
          <w:trHeight w:val="300"/>
        </w:trPr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75E67C4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Discretionary Total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BBFB55A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1,672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49D0DCA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711</w:t>
            </w:r>
          </w:p>
        </w:tc>
      </w:tr>
      <w:tr w:rsidR="005E3042" w:rsidRPr="005E3042" w14:paraId="17EFF06B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66A8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FEEA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Cepheid Systems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4694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6113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718</w:t>
            </w:r>
          </w:p>
        </w:tc>
      </w:tr>
      <w:tr w:rsidR="005E3042" w:rsidRPr="005E3042" w14:paraId="53D59DD7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FC87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C812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Eplex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2C49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CCE1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553</w:t>
            </w:r>
          </w:p>
        </w:tc>
      </w:tr>
      <w:tr w:rsidR="005E3042" w:rsidRPr="005E3042" w14:paraId="105B74AC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339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93D0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PerkinElmer Platforms &amp; Reagents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74E9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E509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740</w:t>
            </w:r>
          </w:p>
        </w:tc>
      </w:tr>
      <w:tr w:rsidR="005E3042" w:rsidRPr="005E3042" w14:paraId="46CBF540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9B44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C3CB3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Hot Labs &amp; Laboratory Resilience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4CF6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2,393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3A1B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1,731</w:t>
            </w:r>
          </w:p>
        </w:tc>
      </w:tr>
      <w:tr w:rsidR="005E3042" w:rsidRPr="005E3042" w14:paraId="1E19C4AE" w14:textId="77777777" w:rsidTr="005E3042">
        <w:trPr>
          <w:trHeight w:val="54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711E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4FB6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MAST 3 x </w:t>
            </w:r>
            <w:proofErr w:type="spellStart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Microlab</w:t>
            </w:r>
            <w:proofErr w:type="spellEnd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Startlet</w:t>
            </w:r>
            <w:proofErr w:type="spellEnd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optical Unit and thermal cylinder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BB5B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5B6B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429</w:t>
            </w:r>
          </w:p>
        </w:tc>
      </w:tr>
      <w:tr w:rsidR="005E3042" w:rsidRPr="005E3042" w14:paraId="53A231E8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1283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25FD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Imperial Park 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1667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3,989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4FCC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4,671</w:t>
            </w:r>
          </w:p>
        </w:tc>
      </w:tr>
      <w:tr w:rsidR="005E3042" w:rsidRPr="005E3042" w14:paraId="2267464E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613C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BE702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Imperial Park 5 - contingency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F1A5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3071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5E3042" w:rsidRPr="005E3042" w14:paraId="332BD856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DD5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9652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MAST </w:t>
            </w:r>
            <w:proofErr w:type="spellStart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Seegene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8C5A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13E3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666</w:t>
            </w:r>
          </w:p>
        </w:tc>
      </w:tr>
      <w:tr w:rsidR="005E3042" w:rsidRPr="005E3042" w14:paraId="20470832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322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1D57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LINC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99A1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7541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470</w:t>
            </w:r>
          </w:p>
        </w:tc>
      </w:tr>
      <w:tr w:rsidR="005E3042" w:rsidRPr="005E3042" w14:paraId="294C11B3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27E0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Strategic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0A1AE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NextSeq</w:t>
            </w:r>
            <w:proofErr w:type="spellEnd"/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550 Sequencing System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59DD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6255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5E3042" w:rsidRPr="005E3042" w14:paraId="4C5BFC15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64FCA0E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Strategic Total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1E07669C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F83B40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11,370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A05D226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9,979</w:t>
            </w:r>
          </w:p>
        </w:tc>
      </w:tr>
      <w:tr w:rsidR="005E3042" w:rsidRPr="005E3042" w14:paraId="0BE4D18D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8A44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PHE Grant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4E56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PHE funding (income)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07FF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-26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7171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-26</w:t>
            </w:r>
          </w:p>
        </w:tc>
      </w:tr>
      <w:tr w:rsidR="005E3042" w:rsidRPr="005E3042" w14:paraId="3DF886CB" w14:textId="77777777" w:rsidTr="005E3042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BC01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PHE Grant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4B88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Additional genome sequencing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59BA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0CAF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</w:t>
            </w:r>
          </w:p>
        </w:tc>
      </w:tr>
      <w:tr w:rsidR="005E3042" w:rsidRPr="005E3042" w14:paraId="568DCC90" w14:textId="77777777" w:rsidTr="005E3042">
        <w:trPr>
          <w:trHeight w:val="300"/>
        </w:trPr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257DEE9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Approved Schemes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00F36DD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13,042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2B861D3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10,690</w:t>
            </w:r>
          </w:p>
        </w:tc>
      </w:tr>
      <w:tr w:rsidR="005E3042" w:rsidRPr="005E3042" w14:paraId="044F14BA" w14:textId="77777777" w:rsidTr="005E3042">
        <w:trPr>
          <w:trHeight w:val="300"/>
        </w:trPr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8ED9552" w14:textId="77777777" w:rsidR="005E3042" w:rsidRPr="005E3042" w:rsidRDefault="005E3042" w:rsidP="005E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Schemes (Approved &amp; Unapproved)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D861891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13,042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C697234" w14:textId="77777777" w:rsidR="005E3042" w:rsidRPr="005E3042" w:rsidRDefault="005E3042" w:rsidP="005E3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E3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10,690</w:t>
            </w:r>
          </w:p>
        </w:tc>
      </w:tr>
    </w:tbl>
    <w:p w14:paraId="462C2D5E" w14:textId="77777777" w:rsidR="00C20909" w:rsidRPr="00AF44B0" w:rsidRDefault="00C20909" w:rsidP="00734CA8">
      <w:pPr>
        <w:jc w:val="both"/>
        <w:rPr>
          <w:rFonts w:ascii="Verdana" w:hAnsi="Verdana" w:cs="Times New Roman"/>
          <w:sz w:val="24"/>
          <w:szCs w:val="24"/>
          <w:highlight w:val="magenta"/>
          <w:lang w:eastAsia="en-GB"/>
        </w:rPr>
      </w:pPr>
    </w:p>
    <w:p w14:paraId="27D55B59" w14:textId="0C2DB49E" w:rsidR="00FF7411" w:rsidRPr="005E3042" w:rsidRDefault="00587F86" w:rsidP="00734CA8">
      <w:pPr>
        <w:jc w:val="both"/>
        <w:rPr>
          <w:rFonts w:ascii="Verdana" w:hAnsi="Verdana" w:cs="Times New Roman"/>
          <w:sz w:val="24"/>
          <w:szCs w:val="24"/>
          <w:lang w:eastAsia="en-GB"/>
        </w:rPr>
      </w:pPr>
      <w:r w:rsidRPr="005E3042">
        <w:rPr>
          <w:rFonts w:ascii="Verdana" w:hAnsi="Verdana" w:cs="Times New Roman"/>
          <w:sz w:val="24"/>
          <w:szCs w:val="24"/>
          <w:lang w:eastAsia="en-GB"/>
        </w:rPr>
        <w:t>P</w:t>
      </w:r>
      <w:r w:rsidR="00163E3F" w:rsidRPr="005E3042">
        <w:rPr>
          <w:rFonts w:ascii="Verdana" w:hAnsi="Verdana" w:cs="Times New Roman"/>
          <w:sz w:val="24"/>
          <w:szCs w:val="24"/>
          <w:lang w:eastAsia="en-GB"/>
        </w:rPr>
        <w:t>ublic Health Wales</w:t>
      </w:r>
      <w:r w:rsidRPr="005E3042">
        <w:rPr>
          <w:rFonts w:ascii="Verdana" w:hAnsi="Verdana" w:cs="Times New Roman"/>
          <w:sz w:val="24"/>
          <w:szCs w:val="24"/>
          <w:lang w:eastAsia="en-GB"/>
        </w:rPr>
        <w:t xml:space="preserve"> </w:t>
      </w:r>
      <w:r w:rsidR="00163E3F" w:rsidRPr="005E3042">
        <w:rPr>
          <w:rFonts w:ascii="Verdana" w:hAnsi="Verdana" w:cs="Times New Roman"/>
          <w:sz w:val="24"/>
          <w:szCs w:val="24"/>
          <w:lang w:eastAsia="en-GB"/>
        </w:rPr>
        <w:t>d</w:t>
      </w:r>
      <w:r w:rsidR="00FF7411" w:rsidRPr="005E3042">
        <w:rPr>
          <w:rFonts w:ascii="Verdana" w:hAnsi="Verdana" w:cs="Times New Roman"/>
          <w:sz w:val="24"/>
          <w:szCs w:val="24"/>
          <w:lang w:eastAsia="en-GB"/>
        </w:rPr>
        <w:t>iscretionary</w:t>
      </w:r>
      <w:r w:rsidRPr="005E3042">
        <w:rPr>
          <w:rFonts w:ascii="Verdana" w:hAnsi="Verdana" w:cs="Times New Roman"/>
          <w:sz w:val="24"/>
          <w:szCs w:val="24"/>
          <w:lang w:eastAsia="en-GB"/>
        </w:rPr>
        <w:t xml:space="preserve"> allocation of</w:t>
      </w:r>
      <w:r w:rsidR="00815685" w:rsidRPr="005E3042">
        <w:rPr>
          <w:rFonts w:ascii="Verdana" w:hAnsi="Verdana" w:cs="Times New Roman"/>
          <w:sz w:val="24"/>
          <w:szCs w:val="24"/>
          <w:lang w:eastAsia="en-GB"/>
        </w:rPr>
        <w:t xml:space="preserve"> £1.672</w:t>
      </w:r>
      <w:r w:rsidR="00FF7411" w:rsidRPr="005E3042">
        <w:rPr>
          <w:rFonts w:ascii="Verdana" w:hAnsi="Verdana" w:cs="Times New Roman"/>
          <w:sz w:val="24"/>
          <w:szCs w:val="24"/>
          <w:lang w:eastAsia="en-GB"/>
        </w:rPr>
        <w:t>m</w:t>
      </w:r>
      <w:r w:rsidRPr="005E3042">
        <w:rPr>
          <w:rFonts w:ascii="Verdana" w:hAnsi="Verdana" w:cs="Times New Roman"/>
          <w:sz w:val="24"/>
          <w:szCs w:val="24"/>
          <w:lang w:eastAsia="en-GB"/>
        </w:rPr>
        <w:t xml:space="preserve"> remains the same as previous years.  </w:t>
      </w:r>
      <w:r w:rsidR="00163E3F" w:rsidRPr="005E3042">
        <w:rPr>
          <w:rFonts w:ascii="Verdana" w:hAnsi="Verdana" w:cs="Times New Roman"/>
          <w:sz w:val="24"/>
          <w:szCs w:val="24"/>
          <w:lang w:eastAsia="en-GB"/>
        </w:rPr>
        <w:t xml:space="preserve">Allocation of this to specific programmes was approved by </w:t>
      </w:r>
      <w:r w:rsidRPr="005E3042">
        <w:rPr>
          <w:rFonts w:ascii="Verdana" w:hAnsi="Verdana" w:cs="Times New Roman"/>
          <w:sz w:val="24"/>
          <w:szCs w:val="24"/>
          <w:lang w:eastAsia="en-GB"/>
        </w:rPr>
        <w:t>Business Executive Team</w:t>
      </w:r>
      <w:r w:rsidR="00163E3F" w:rsidRPr="005E3042">
        <w:rPr>
          <w:rFonts w:ascii="Verdana" w:hAnsi="Verdana" w:cs="Times New Roman"/>
          <w:sz w:val="24"/>
          <w:szCs w:val="24"/>
          <w:lang w:eastAsia="en-GB"/>
        </w:rPr>
        <w:t xml:space="preserve"> in July 2020. A</w:t>
      </w:r>
      <w:r w:rsidR="00D564E5" w:rsidRPr="005E3042">
        <w:rPr>
          <w:rFonts w:ascii="Verdana" w:hAnsi="Verdana" w:cs="Times New Roman"/>
          <w:sz w:val="24"/>
          <w:szCs w:val="24"/>
          <w:lang w:eastAsia="en-GB"/>
        </w:rPr>
        <w:t>n</w:t>
      </w:r>
      <w:r w:rsidR="00294380" w:rsidRPr="005E3042">
        <w:rPr>
          <w:rFonts w:ascii="Verdana" w:hAnsi="Verdana" w:cs="Times New Roman"/>
          <w:sz w:val="24"/>
          <w:szCs w:val="24"/>
          <w:lang w:eastAsia="en-GB"/>
        </w:rPr>
        <w:t xml:space="preserve"> updated Capital paper was </w:t>
      </w:r>
      <w:r w:rsidR="00D564E5" w:rsidRPr="005E3042">
        <w:rPr>
          <w:rFonts w:ascii="Verdana" w:hAnsi="Verdana" w:cs="Times New Roman"/>
          <w:sz w:val="24"/>
          <w:szCs w:val="24"/>
          <w:lang w:eastAsia="en-GB"/>
        </w:rPr>
        <w:t>submitted to</w:t>
      </w:r>
      <w:r w:rsidR="00163E3F" w:rsidRPr="005E3042">
        <w:rPr>
          <w:rFonts w:ascii="Verdana" w:hAnsi="Verdana" w:cs="Times New Roman"/>
          <w:sz w:val="24"/>
          <w:szCs w:val="24"/>
          <w:lang w:eastAsia="en-GB"/>
        </w:rPr>
        <w:t xml:space="preserve"> the</w:t>
      </w:r>
      <w:r w:rsidR="00D564E5" w:rsidRPr="005E3042">
        <w:rPr>
          <w:rFonts w:ascii="Verdana" w:hAnsi="Verdana" w:cs="Times New Roman"/>
          <w:sz w:val="24"/>
          <w:szCs w:val="24"/>
          <w:lang w:eastAsia="en-GB"/>
        </w:rPr>
        <w:t xml:space="preserve"> Business Executive</w:t>
      </w:r>
      <w:r w:rsidR="00163E3F" w:rsidRPr="005E3042">
        <w:rPr>
          <w:rFonts w:ascii="Verdana" w:hAnsi="Verdana" w:cs="Times New Roman"/>
          <w:sz w:val="24"/>
          <w:szCs w:val="24"/>
          <w:lang w:eastAsia="en-GB"/>
        </w:rPr>
        <w:t xml:space="preserve"> on the</w:t>
      </w:r>
      <w:r w:rsidR="00D564E5" w:rsidRPr="005E3042">
        <w:rPr>
          <w:rFonts w:ascii="Verdana" w:hAnsi="Verdana" w:cs="Times New Roman"/>
          <w:sz w:val="24"/>
          <w:szCs w:val="24"/>
          <w:lang w:eastAsia="en-GB"/>
        </w:rPr>
        <w:t xml:space="preserve"> </w:t>
      </w:r>
      <w:r w:rsidR="00163E3F" w:rsidRPr="005E3042">
        <w:rPr>
          <w:rFonts w:ascii="Verdana" w:hAnsi="Verdana" w:cs="Times New Roman"/>
          <w:sz w:val="24"/>
          <w:szCs w:val="24"/>
          <w:lang w:eastAsia="en-GB"/>
        </w:rPr>
        <w:t>15</w:t>
      </w:r>
      <w:r w:rsidR="00294380" w:rsidRPr="005E3042">
        <w:rPr>
          <w:rFonts w:ascii="Verdana" w:hAnsi="Verdana" w:cs="Times New Roman"/>
          <w:sz w:val="24"/>
          <w:szCs w:val="24"/>
          <w:lang w:eastAsia="en-GB"/>
        </w:rPr>
        <w:t xml:space="preserve"> December 2020, </w:t>
      </w:r>
      <w:r w:rsidR="00A230E0" w:rsidRPr="005E3042">
        <w:rPr>
          <w:rFonts w:ascii="Verdana" w:hAnsi="Verdana" w:cs="Times New Roman"/>
          <w:sz w:val="24"/>
          <w:szCs w:val="24"/>
          <w:lang w:eastAsia="en-GB"/>
        </w:rPr>
        <w:t>where approval was given for additional capital schemes and which are reflected in the table above.</w:t>
      </w:r>
    </w:p>
    <w:p w14:paraId="3F1E23E6" w14:textId="68E8C8C3" w:rsidR="00A65C16" w:rsidRPr="005E3042" w:rsidRDefault="00587F86" w:rsidP="00734CA8">
      <w:pPr>
        <w:jc w:val="both"/>
        <w:rPr>
          <w:rFonts w:ascii="Verdana" w:hAnsi="Verdana" w:cs="Times New Roman"/>
          <w:sz w:val="24"/>
          <w:szCs w:val="24"/>
          <w:lang w:eastAsia="en-GB"/>
        </w:rPr>
      </w:pPr>
      <w:r w:rsidRPr="005E3042">
        <w:rPr>
          <w:rFonts w:ascii="Verdana" w:hAnsi="Verdana" w:cs="Times New Roman"/>
          <w:sz w:val="24"/>
          <w:szCs w:val="24"/>
          <w:lang w:eastAsia="en-GB"/>
        </w:rPr>
        <w:t xml:space="preserve">PHW </w:t>
      </w:r>
      <w:r w:rsidR="00FF7411" w:rsidRPr="005E3042">
        <w:rPr>
          <w:rFonts w:ascii="Verdana" w:hAnsi="Verdana" w:cs="Times New Roman"/>
          <w:sz w:val="24"/>
          <w:szCs w:val="24"/>
          <w:lang w:eastAsia="en-GB"/>
        </w:rPr>
        <w:t>Strategic</w:t>
      </w:r>
      <w:r w:rsidRPr="005E3042">
        <w:rPr>
          <w:rFonts w:ascii="Verdana" w:hAnsi="Verdana" w:cs="Times New Roman"/>
          <w:sz w:val="24"/>
          <w:szCs w:val="24"/>
          <w:lang w:eastAsia="en-GB"/>
        </w:rPr>
        <w:t xml:space="preserve"> allocation for 20/21 of </w:t>
      </w:r>
      <w:r w:rsidR="00FF7411" w:rsidRPr="005E3042">
        <w:rPr>
          <w:rFonts w:ascii="Verdana" w:hAnsi="Verdana" w:cs="Times New Roman"/>
          <w:sz w:val="24"/>
          <w:szCs w:val="24"/>
          <w:lang w:eastAsia="en-GB"/>
        </w:rPr>
        <w:t>£</w:t>
      </w:r>
      <w:r w:rsidR="005E3042" w:rsidRPr="005E3042">
        <w:rPr>
          <w:rFonts w:ascii="Verdana" w:hAnsi="Verdana" w:cs="Times New Roman"/>
          <w:sz w:val="24"/>
          <w:szCs w:val="24"/>
          <w:lang w:eastAsia="en-GB"/>
        </w:rPr>
        <w:t>11.370</w:t>
      </w:r>
      <w:r w:rsidR="00734CA8" w:rsidRPr="005E3042">
        <w:rPr>
          <w:rFonts w:ascii="Verdana" w:hAnsi="Verdana" w:cs="Times New Roman"/>
          <w:sz w:val="24"/>
          <w:szCs w:val="24"/>
          <w:lang w:eastAsia="en-GB"/>
        </w:rPr>
        <w:t>m</w:t>
      </w:r>
      <w:r w:rsidR="00294380" w:rsidRPr="005E3042">
        <w:rPr>
          <w:rFonts w:ascii="Verdana" w:hAnsi="Verdana" w:cs="Times New Roman"/>
          <w:sz w:val="24"/>
          <w:szCs w:val="24"/>
          <w:lang w:eastAsia="en-GB"/>
        </w:rPr>
        <w:t xml:space="preserve"> </w:t>
      </w:r>
      <w:r w:rsidRPr="005E3042">
        <w:rPr>
          <w:rFonts w:ascii="Verdana" w:hAnsi="Verdana" w:cs="Times New Roman"/>
          <w:sz w:val="24"/>
          <w:szCs w:val="24"/>
          <w:lang w:eastAsia="en-GB"/>
        </w:rPr>
        <w:t xml:space="preserve">is </w:t>
      </w:r>
      <w:r w:rsidR="00A65C16" w:rsidRPr="005E3042">
        <w:rPr>
          <w:rFonts w:ascii="Verdana" w:hAnsi="Verdana" w:cs="Times New Roman"/>
          <w:sz w:val="24"/>
          <w:szCs w:val="24"/>
          <w:lang w:eastAsia="en-GB"/>
        </w:rPr>
        <w:t>predominantly driven</w:t>
      </w:r>
      <w:r w:rsidRPr="005E3042">
        <w:rPr>
          <w:rFonts w:ascii="Verdana" w:hAnsi="Verdana" w:cs="Times New Roman"/>
          <w:sz w:val="24"/>
          <w:szCs w:val="24"/>
          <w:lang w:eastAsia="en-GB"/>
        </w:rPr>
        <w:t xml:space="preserve"> by the response to</w:t>
      </w:r>
      <w:r w:rsidR="00FF7411" w:rsidRPr="005E3042">
        <w:rPr>
          <w:rFonts w:ascii="Verdana" w:hAnsi="Verdana" w:cs="Times New Roman"/>
          <w:sz w:val="24"/>
          <w:szCs w:val="24"/>
          <w:lang w:eastAsia="en-GB"/>
        </w:rPr>
        <w:t xml:space="preserve"> COVID-19</w:t>
      </w:r>
      <w:r w:rsidR="00734CA8" w:rsidRPr="005E3042">
        <w:rPr>
          <w:rFonts w:ascii="Verdana" w:hAnsi="Verdana" w:cs="Times New Roman"/>
          <w:sz w:val="24"/>
          <w:szCs w:val="24"/>
          <w:lang w:eastAsia="en-GB"/>
        </w:rPr>
        <w:t>.</w:t>
      </w:r>
      <w:r w:rsidR="00511DA0">
        <w:rPr>
          <w:rFonts w:ascii="Verdana" w:hAnsi="Verdana" w:cs="Times New Roman"/>
          <w:sz w:val="24"/>
          <w:szCs w:val="24"/>
          <w:lang w:eastAsia="en-GB"/>
        </w:rPr>
        <w:t xml:space="preserve">  C</w:t>
      </w:r>
      <w:r w:rsidR="00511DA0" w:rsidRPr="005E3042">
        <w:rPr>
          <w:rFonts w:ascii="Verdana" w:hAnsi="Verdana"/>
          <w:sz w:val="24"/>
          <w:szCs w:val="24"/>
        </w:rPr>
        <w:t>ontingency held for IP5</w:t>
      </w:r>
      <w:r w:rsidR="00511DA0">
        <w:rPr>
          <w:rFonts w:ascii="Verdana" w:hAnsi="Verdana"/>
          <w:sz w:val="24"/>
          <w:szCs w:val="24"/>
        </w:rPr>
        <w:t xml:space="preserve"> of £0.803m has been </w:t>
      </w:r>
      <w:r w:rsidR="00511DA0" w:rsidRPr="005E3042">
        <w:rPr>
          <w:rFonts w:ascii="Verdana" w:hAnsi="Verdana"/>
          <w:sz w:val="24"/>
          <w:szCs w:val="24"/>
        </w:rPr>
        <w:t>approved</w:t>
      </w:r>
      <w:r w:rsidR="00511DA0">
        <w:rPr>
          <w:rFonts w:ascii="Verdana" w:hAnsi="Verdana"/>
          <w:sz w:val="24"/>
          <w:szCs w:val="24"/>
        </w:rPr>
        <w:t>.</w:t>
      </w:r>
    </w:p>
    <w:p w14:paraId="0253FBBC" w14:textId="6E9C77D0" w:rsidR="00A65C16" w:rsidRPr="005E3042" w:rsidRDefault="005E3042" w:rsidP="00734CA8">
      <w:pPr>
        <w:jc w:val="both"/>
        <w:rPr>
          <w:rFonts w:ascii="Verdana" w:hAnsi="Verdana"/>
          <w:sz w:val="24"/>
          <w:szCs w:val="24"/>
        </w:rPr>
      </w:pPr>
      <w:r w:rsidRPr="005E3042">
        <w:rPr>
          <w:rFonts w:ascii="Verdana" w:hAnsi="Verdana"/>
          <w:sz w:val="24"/>
          <w:szCs w:val="24"/>
        </w:rPr>
        <w:lastRenderedPageBreak/>
        <w:t>Of the £4.671</w:t>
      </w:r>
      <w:r w:rsidR="00734CA8" w:rsidRPr="005E3042">
        <w:rPr>
          <w:rFonts w:ascii="Verdana" w:hAnsi="Verdana"/>
          <w:sz w:val="24"/>
          <w:szCs w:val="24"/>
        </w:rPr>
        <w:t>m YTD capital expenditure for PHW laboratory capac</w:t>
      </w:r>
      <w:r w:rsidR="00C20909" w:rsidRPr="005E3042">
        <w:rPr>
          <w:rFonts w:ascii="Verdana" w:hAnsi="Verdana"/>
          <w:sz w:val="24"/>
          <w:szCs w:val="24"/>
        </w:rPr>
        <w:t>ity at Imperial Par</w:t>
      </w:r>
      <w:r w:rsidR="00294380" w:rsidRPr="005E3042">
        <w:rPr>
          <w:rFonts w:ascii="Verdana" w:hAnsi="Verdana"/>
          <w:sz w:val="24"/>
          <w:szCs w:val="24"/>
        </w:rPr>
        <w:t xml:space="preserve">k 5 </w:t>
      </w:r>
      <w:r w:rsidRPr="005E3042">
        <w:rPr>
          <w:rFonts w:ascii="Verdana" w:hAnsi="Verdana"/>
          <w:sz w:val="24"/>
          <w:szCs w:val="24"/>
        </w:rPr>
        <w:t>£0.713</w:t>
      </w:r>
      <w:r w:rsidR="0071696B" w:rsidRPr="005E3042">
        <w:rPr>
          <w:rFonts w:ascii="Verdana" w:hAnsi="Verdana"/>
          <w:sz w:val="24"/>
          <w:szCs w:val="24"/>
        </w:rPr>
        <w:t xml:space="preserve">m </w:t>
      </w:r>
      <w:r w:rsidR="00734CA8" w:rsidRPr="005E3042">
        <w:rPr>
          <w:rFonts w:ascii="Verdana" w:hAnsi="Verdana"/>
          <w:sz w:val="24"/>
          <w:szCs w:val="24"/>
        </w:rPr>
        <w:t xml:space="preserve">reflects the spending on the original laboratory built at Imperial Park </w:t>
      </w:r>
      <w:r w:rsidR="00C34119" w:rsidRPr="005E3042">
        <w:rPr>
          <w:rFonts w:ascii="Verdana" w:hAnsi="Verdana"/>
          <w:sz w:val="24"/>
          <w:szCs w:val="24"/>
        </w:rPr>
        <w:t>5, which</w:t>
      </w:r>
      <w:r w:rsidR="00734CA8" w:rsidRPr="005E3042">
        <w:rPr>
          <w:rFonts w:ascii="Verdana" w:hAnsi="Verdana"/>
          <w:sz w:val="24"/>
          <w:szCs w:val="24"/>
        </w:rPr>
        <w:t xml:space="preserve"> has now transferred to DHSC. </w:t>
      </w:r>
      <w:r w:rsidR="00D274F8" w:rsidRPr="005E3042">
        <w:rPr>
          <w:rFonts w:ascii="Verdana" w:hAnsi="Verdana"/>
          <w:sz w:val="24"/>
          <w:szCs w:val="24"/>
        </w:rPr>
        <w:t>These costs will be recovered from</w:t>
      </w:r>
      <w:r w:rsidR="00734CA8" w:rsidRPr="005E3042">
        <w:rPr>
          <w:rFonts w:ascii="Verdana" w:hAnsi="Verdana"/>
          <w:sz w:val="24"/>
          <w:szCs w:val="24"/>
        </w:rPr>
        <w:t xml:space="preserve"> DHSC</w:t>
      </w:r>
      <w:r w:rsidR="007F611C" w:rsidRPr="005E3042">
        <w:rPr>
          <w:rFonts w:ascii="Verdana" w:hAnsi="Verdana"/>
          <w:sz w:val="24"/>
          <w:szCs w:val="24"/>
        </w:rPr>
        <w:t xml:space="preserve">. </w:t>
      </w:r>
    </w:p>
    <w:p w14:paraId="6AED1238" w14:textId="03E71EE4" w:rsidR="00294380" w:rsidRDefault="00294380" w:rsidP="00734CA8">
      <w:pPr>
        <w:jc w:val="both"/>
        <w:rPr>
          <w:rFonts w:ascii="Verdana" w:hAnsi="Verdana"/>
          <w:sz w:val="24"/>
          <w:szCs w:val="24"/>
        </w:rPr>
      </w:pPr>
      <w:r w:rsidRPr="005E3042">
        <w:rPr>
          <w:rFonts w:ascii="Verdana" w:hAnsi="Verdana"/>
          <w:sz w:val="24"/>
          <w:szCs w:val="24"/>
        </w:rPr>
        <w:t>A grant has been awarded by Public Health England relating to additional genome sequencing during the winter months, £0.026m of which will be used to purchase capital items.</w:t>
      </w:r>
    </w:p>
    <w:p w14:paraId="5498B2EB" w14:textId="77777777" w:rsidR="00DA25D9" w:rsidRPr="005E3042" w:rsidRDefault="00DA25D9" w:rsidP="00734CA8">
      <w:pPr>
        <w:jc w:val="both"/>
        <w:rPr>
          <w:rFonts w:ascii="Verdana" w:hAnsi="Verdana"/>
          <w:sz w:val="24"/>
          <w:szCs w:val="24"/>
        </w:rPr>
      </w:pPr>
    </w:p>
    <w:p w14:paraId="023E7263" w14:textId="77777777" w:rsidR="00734CA8" w:rsidRPr="0099761C" w:rsidRDefault="00A470E5" w:rsidP="00A470E5">
      <w:pPr>
        <w:pStyle w:val="ListParagraph"/>
        <w:numPr>
          <w:ilvl w:val="0"/>
          <w:numId w:val="10"/>
        </w:numPr>
        <w:jc w:val="both"/>
        <w:rPr>
          <w:rFonts w:ascii="Verdana" w:hAnsi="Verdana"/>
          <w:b/>
          <w:u w:val="single"/>
        </w:rPr>
      </w:pPr>
      <w:r w:rsidRPr="0099761C">
        <w:rPr>
          <w:rFonts w:ascii="Verdana" w:hAnsi="Verdana"/>
          <w:b/>
          <w:u w:val="single"/>
        </w:rPr>
        <w:t>Balance Sheet</w:t>
      </w:r>
    </w:p>
    <w:p w14:paraId="30B6F6F7" w14:textId="77777777" w:rsidR="00A470E5" w:rsidRPr="0099761C" w:rsidRDefault="00A470E5" w:rsidP="00A470E5">
      <w:pPr>
        <w:pStyle w:val="ListParagraph"/>
        <w:ind w:left="360"/>
        <w:jc w:val="both"/>
        <w:rPr>
          <w:rFonts w:ascii="Verdana" w:hAnsi="Verdana"/>
          <w:b/>
          <w:u w:val="single"/>
        </w:rPr>
      </w:pPr>
    </w:p>
    <w:p w14:paraId="762D21A5" w14:textId="10071379" w:rsidR="00A470E5" w:rsidRPr="0099761C" w:rsidRDefault="00A470E5" w:rsidP="00796A68">
      <w:pPr>
        <w:spacing w:after="0" w:line="240" w:lineRule="auto"/>
        <w:jc w:val="both"/>
        <w:rPr>
          <w:rFonts w:ascii="Verdana" w:hAnsi="Verdana"/>
          <w:sz w:val="24"/>
          <w:szCs w:val="24"/>
          <w:lang w:eastAsia="en-GB"/>
        </w:rPr>
      </w:pPr>
      <w:r w:rsidRPr="0099761C">
        <w:rPr>
          <w:rFonts w:ascii="Verdana" w:hAnsi="Verdana"/>
          <w:sz w:val="24"/>
          <w:szCs w:val="24"/>
          <w:lang w:eastAsia="en-GB"/>
        </w:rPr>
        <w:t xml:space="preserve">The Balance Sheet, or Statement of Financial Position, reports the assets, liabilities and reserves of the organisation at a specific point in time. </w:t>
      </w:r>
      <w:r w:rsidR="007F611C" w:rsidRPr="0099761C">
        <w:rPr>
          <w:rFonts w:ascii="Verdana" w:hAnsi="Verdana"/>
          <w:sz w:val="24"/>
          <w:szCs w:val="24"/>
          <w:lang w:eastAsia="en-GB"/>
        </w:rPr>
        <w:t xml:space="preserve">Table E provides a summary as at </w:t>
      </w:r>
      <w:r w:rsidR="0099761C">
        <w:rPr>
          <w:rFonts w:ascii="Verdana" w:hAnsi="Verdana"/>
          <w:sz w:val="24"/>
          <w:szCs w:val="24"/>
          <w:lang w:eastAsia="en-GB"/>
        </w:rPr>
        <w:t>28</w:t>
      </w:r>
      <w:r w:rsidR="0099761C" w:rsidRPr="0099761C">
        <w:rPr>
          <w:rFonts w:ascii="Verdana" w:hAnsi="Verdana"/>
          <w:sz w:val="24"/>
          <w:szCs w:val="24"/>
          <w:vertAlign w:val="superscript"/>
          <w:lang w:eastAsia="en-GB"/>
        </w:rPr>
        <w:t>th</w:t>
      </w:r>
      <w:r w:rsidR="0099761C">
        <w:rPr>
          <w:rFonts w:ascii="Verdana" w:hAnsi="Verdana"/>
          <w:sz w:val="24"/>
          <w:szCs w:val="24"/>
          <w:lang w:eastAsia="en-GB"/>
        </w:rPr>
        <w:t xml:space="preserve"> Febr</w:t>
      </w:r>
      <w:r w:rsidR="005C3EE6" w:rsidRPr="0099761C">
        <w:rPr>
          <w:rFonts w:ascii="Verdana" w:hAnsi="Verdana"/>
          <w:sz w:val="24"/>
          <w:szCs w:val="24"/>
          <w:lang w:eastAsia="en-GB"/>
        </w:rPr>
        <w:t>uary 2021</w:t>
      </w:r>
      <w:r w:rsidR="007F611C" w:rsidRPr="0099761C">
        <w:rPr>
          <w:rFonts w:ascii="Verdana" w:hAnsi="Verdana"/>
          <w:sz w:val="24"/>
          <w:szCs w:val="24"/>
          <w:lang w:eastAsia="en-GB"/>
        </w:rPr>
        <w:t>.</w:t>
      </w:r>
    </w:p>
    <w:p w14:paraId="3C70A576" w14:textId="77777777" w:rsidR="00A470E5" w:rsidRPr="00AF44B0" w:rsidRDefault="00A470E5" w:rsidP="00A470E5">
      <w:pPr>
        <w:pStyle w:val="ListParagraph"/>
        <w:ind w:left="360"/>
        <w:jc w:val="both"/>
        <w:rPr>
          <w:rFonts w:ascii="Verdana" w:hAnsi="Verdana"/>
          <w:b/>
          <w:highlight w:val="magenta"/>
          <w:u w:val="single"/>
        </w:rPr>
      </w:pPr>
    </w:p>
    <w:p w14:paraId="363EEB9A" w14:textId="376CCBF0" w:rsidR="007F611C" w:rsidRPr="0099761C" w:rsidRDefault="007F611C" w:rsidP="007F611C">
      <w:pPr>
        <w:pStyle w:val="ListParagraph"/>
        <w:ind w:left="0"/>
        <w:jc w:val="both"/>
        <w:rPr>
          <w:rFonts w:ascii="Verdana" w:hAnsi="Verdana"/>
          <w:b/>
        </w:rPr>
      </w:pPr>
      <w:r w:rsidRPr="0099761C">
        <w:rPr>
          <w:rFonts w:ascii="Verdana" w:hAnsi="Verdana"/>
          <w:b/>
        </w:rPr>
        <w:t xml:space="preserve">Table E – Balance Sheet as at </w:t>
      </w:r>
      <w:r w:rsidR="0099761C">
        <w:rPr>
          <w:rFonts w:ascii="Verdana" w:hAnsi="Verdana"/>
          <w:b/>
        </w:rPr>
        <w:t>28</w:t>
      </w:r>
      <w:r w:rsidR="0099761C" w:rsidRPr="0099761C">
        <w:rPr>
          <w:rFonts w:ascii="Verdana" w:hAnsi="Verdana"/>
          <w:b/>
          <w:vertAlign w:val="superscript"/>
        </w:rPr>
        <w:t>th</w:t>
      </w:r>
      <w:r w:rsidR="007467ED" w:rsidRPr="0099761C">
        <w:rPr>
          <w:rFonts w:ascii="Verdana" w:hAnsi="Verdana"/>
          <w:b/>
        </w:rPr>
        <w:t xml:space="preserve"> </w:t>
      </w:r>
      <w:r w:rsidR="0099761C">
        <w:rPr>
          <w:rFonts w:ascii="Verdana" w:hAnsi="Verdana"/>
          <w:b/>
        </w:rPr>
        <w:t>Febr</w:t>
      </w:r>
      <w:r w:rsidR="005C3EE6" w:rsidRPr="0099761C">
        <w:rPr>
          <w:rFonts w:ascii="Verdana" w:hAnsi="Verdana"/>
          <w:b/>
        </w:rPr>
        <w:t>uary 2021</w:t>
      </w:r>
    </w:p>
    <w:p w14:paraId="26E1315D" w14:textId="77777777" w:rsidR="007F611C" w:rsidRPr="00AF44B0" w:rsidRDefault="007F611C" w:rsidP="00A470E5">
      <w:pPr>
        <w:pStyle w:val="ListParagraph"/>
        <w:ind w:left="360"/>
        <w:jc w:val="both"/>
        <w:rPr>
          <w:rFonts w:ascii="Verdana" w:hAnsi="Verdana"/>
          <w:b/>
          <w:highlight w:val="magenta"/>
          <w:u w:val="single"/>
        </w:rPr>
      </w:pPr>
    </w:p>
    <w:tbl>
      <w:tblPr>
        <w:tblW w:w="4834" w:type="pct"/>
        <w:tblLook w:val="04A0" w:firstRow="1" w:lastRow="0" w:firstColumn="1" w:lastColumn="0" w:noHBand="0" w:noVBand="1"/>
      </w:tblPr>
      <w:tblGrid>
        <w:gridCol w:w="4870"/>
        <w:gridCol w:w="1283"/>
        <w:gridCol w:w="1283"/>
        <w:gridCol w:w="1281"/>
      </w:tblGrid>
      <w:tr w:rsidR="003D7111" w:rsidRPr="00AF44B0" w14:paraId="07BDFF55" w14:textId="77777777" w:rsidTr="00F929E2">
        <w:trPr>
          <w:trHeight w:val="741"/>
        </w:trPr>
        <w:tc>
          <w:tcPr>
            <w:tcW w:w="2793" w:type="pct"/>
            <w:tcBorders>
              <w:top w:val="dotted" w:sz="4" w:space="0" w:color="5B9BD5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5B9BD5"/>
            <w:noWrap/>
            <w:vAlign w:val="center"/>
            <w:hideMark/>
          </w:tcPr>
          <w:p w14:paraId="282F7C07" w14:textId="77777777" w:rsidR="003D7111" w:rsidRPr="0099761C" w:rsidRDefault="003D7111" w:rsidP="003D71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>`</w:t>
            </w:r>
          </w:p>
        </w:tc>
        <w:tc>
          <w:tcPr>
            <w:tcW w:w="736" w:type="pct"/>
            <w:tcBorders>
              <w:top w:val="dotted" w:sz="4" w:space="0" w:color="5B9BD5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5B9BD5"/>
            <w:vAlign w:val="center"/>
            <w:hideMark/>
          </w:tcPr>
          <w:p w14:paraId="40B5D7B5" w14:textId="77777777" w:rsidR="003D7111" w:rsidRPr="0099761C" w:rsidRDefault="003D7111" w:rsidP="003D711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>Opening Balance 1/4/2020 £000s</w:t>
            </w:r>
          </w:p>
        </w:tc>
        <w:tc>
          <w:tcPr>
            <w:tcW w:w="736" w:type="pct"/>
            <w:tcBorders>
              <w:top w:val="dotted" w:sz="4" w:space="0" w:color="5B9BD5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5B9BD5"/>
            <w:vAlign w:val="center"/>
            <w:hideMark/>
          </w:tcPr>
          <w:p w14:paraId="1B211951" w14:textId="77777777" w:rsidR="003D7111" w:rsidRPr="0099761C" w:rsidRDefault="003D7111" w:rsidP="003D711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>Movement £000s</w:t>
            </w:r>
          </w:p>
        </w:tc>
        <w:tc>
          <w:tcPr>
            <w:tcW w:w="735" w:type="pct"/>
            <w:tcBorders>
              <w:top w:val="dotted" w:sz="4" w:space="0" w:color="5B9BD5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5B9BD5"/>
            <w:vAlign w:val="center"/>
            <w:hideMark/>
          </w:tcPr>
          <w:p w14:paraId="5FD4F4BE" w14:textId="5865F0D8" w:rsidR="003D7111" w:rsidRPr="0099761C" w:rsidRDefault="003D7111" w:rsidP="005C3E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Closing Balance </w:t>
            </w:r>
            <w:r w:rsidR="0099761C"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>28</w:t>
            </w:r>
            <w:r w:rsidR="007467ED"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>/</w:t>
            </w:r>
            <w:r w:rsidR="0099761C"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>02</w:t>
            </w:r>
            <w:r w:rsidR="005C3EE6"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>/21</w:t>
            </w:r>
            <w:r w:rsidRPr="0099761C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  £000s</w:t>
            </w:r>
          </w:p>
        </w:tc>
      </w:tr>
      <w:tr w:rsidR="003D7111" w:rsidRPr="00AF44B0" w14:paraId="65DD5407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EF91F58" w14:textId="77777777" w:rsidR="003D7111" w:rsidRPr="0099761C" w:rsidRDefault="003D7111" w:rsidP="003D71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634470A" w14:textId="77777777" w:rsidR="003D7111" w:rsidRPr="0099761C" w:rsidRDefault="003D7111" w:rsidP="003D71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E961CD5" w14:textId="77777777" w:rsidR="003D7111" w:rsidRPr="0099761C" w:rsidRDefault="003D7111" w:rsidP="003D71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FDCD4D2" w14:textId="77777777" w:rsidR="003D7111" w:rsidRPr="0099761C" w:rsidRDefault="003D7111" w:rsidP="003D71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D7111" w:rsidRPr="00AF44B0" w14:paraId="250A0611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6ED8547" w14:textId="77777777" w:rsidR="003D7111" w:rsidRPr="0099761C" w:rsidRDefault="003D7111" w:rsidP="003D71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Non-Current Assets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11EF4D9" w14:textId="77777777" w:rsidR="003D7111" w:rsidRPr="0099761C" w:rsidRDefault="003D7111" w:rsidP="003D711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BA3ECA4" w14:textId="77777777" w:rsidR="003D7111" w:rsidRPr="0099761C" w:rsidRDefault="003D7111" w:rsidP="003D71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ABA382E" w14:textId="77777777" w:rsidR="003D7111" w:rsidRPr="0099761C" w:rsidRDefault="003D7111" w:rsidP="003D711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C3EE6" w:rsidRPr="00AF44B0" w14:paraId="7936E21F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C978D5A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Property, plant and equipment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D165AA3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11,941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D9FE7BF" w14:textId="1AC52AC1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000000"/>
                <w:sz w:val="18"/>
                <w:szCs w:val="18"/>
              </w:rPr>
              <w:t>8,444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A8A5DA3" w14:textId="0EB886C6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20,385</w:t>
            </w:r>
          </w:p>
        </w:tc>
      </w:tr>
      <w:tr w:rsidR="005C3EE6" w:rsidRPr="00AF44B0" w14:paraId="23123486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98DAA09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Intangible assets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AC0EEF7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1,334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369C4F73" w14:textId="2C0A464F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>(290</w:t>
            </w:r>
            <w:r w:rsidR="005C3EE6" w:rsidRPr="0099761C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5A0C0D3" w14:textId="6CFADC7D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1,044</w:t>
            </w:r>
          </w:p>
        </w:tc>
      </w:tr>
      <w:tr w:rsidR="005C3EE6" w:rsidRPr="00AF44B0" w14:paraId="1D2EEF9D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C75B24E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Trade and other receivables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A46019A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AB82B51" w14:textId="76F343EE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6628902" w14:textId="3010A24C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000000"/>
                <w:sz w:val="18"/>
                <w:szCs w:val="18"/>
              </w:rPr>
              <w:t>240</w:t>
            </w:r>
          </w:p>
        </w:tc>
      </w:tr>
      <w:tr w:rsidR="005C3EE6" w:rsidRPr="00AF44B0" w14:paraId="09EAA332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2CAB245E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Non-Current Assets sub total 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3C9EE4D1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13,275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36BD0862" w14:textId="3E623FB5" w:rsidR="005C3EE6" w:rsidRPr="0099761C" w:rsidRDefault="0099761C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</w:t>
            </w:r>
            <w:r w:rsidR="005C3EE6" w:rsidRPr="0099761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394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0CF76502" w14:textId="26ED1853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</w:t>
            </w:r>
            <w:r w:rsidR="0099761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1,669</w:t>
            </w:r>
          </w:p>
        </w:tc>
      </w:tr>
      <w:tr w:rsidR="007467ED" w:rsidRPr="00AF44B0" w14:paraId="286952A5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098361C0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049B927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750BBB2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F3D9425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67ED" w:rsidRPr="00AF44B0" w14:paraId="57A5FC2A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B943983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Current Assets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306F51EC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39A6A3FA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8ED6E1C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C3EE6" w:rsidRPr="00AF44B0" w14:paraId="7D67A314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5C7C8DA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Inventories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C7114C2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866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9362DD9" w14:textId="3FC3184C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9,064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E89895D" w14:textId="1141EF31" w:rsidR="005C3EE6" w:rsidRPr="0099761C" w:rsidRDefault="0099761C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5C3EE6" w:rsidRPr="0099761C">
              <w:rPr>
                <w:rFonts w:ascii="Verdana" w:hAnsi="Verdana" w:cs="Arial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sz w:val="18"/>
                <w:szCs w:val="18"/>
              </w:rPr>
              <w:t>930</w:t>
            </w:r>
          </w:p>
        </w:tc>
      </w:tr>
      <w:tr w:rsidR="005C3EE6" w:rsidRPr="00AF44B0" w14:paraId="4C1228CA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BE81E7F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Trade and other receivables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2E694B9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14,379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2E46BF4" w14:textId="61F13E8B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25,356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00E34F3" w14:textId="75403AD7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39,735</w:t>
            </w:r>
          </w:p>
        </w:tc>
      </w:tr>
      <w:tr w:rsidR="005C3EE6" w:rsidRPr="00AF44B0" w14:paraId="6A2A4EB7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FB3B767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Cash and cash equivalents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C8FEB71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8,819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848462A" w14:textId="4CA58663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>(2,876</w:t>
            </w:r>
            <w:r w:rsidR="005C3EE6" w:rsidRPr="0099761C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7B87341" w14:textId="7023BB3A" w:rsidR="005C3EE6" w:rsidRPr="0099761C" w:rsidRDefault="0099761C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="005C3EE6" w:rsidRPr="0099761C">
              <w:rPr>
                <w:rFonts w:ascii="Verdana" w:hAnsi="Verdana" w:cs="Arial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sz w:val="18"/>
                <w:szCs w:val="18"/>
              </w:rPr>
              <w:t>943</w:t>
            </w:r>
          </w:p>
        </w:tc>
      </w:tr>
      <w:tr w:rsidR="005C3EE6" w:rsidRPr="00AF44B0" w14:paraId="752E1DEE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741AB4F8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Current Assets sub total 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3F9D7CEA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24,064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17CDE95D" w14:textId="22604837" w:rsidR="005C3EE6" w:rsidRPr="0099761C" w:rsidRDefault="0099761C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31</w:t>
            </w:r>
            <w:r w:rsidR="005C3EE6" w:rsidRPr="0099761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517E4BC8" w14:textId="7405E452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55,608</w:t>
            </w:r>
          </w:p>
        </w:tc>
      </w:tr>
      <w:tr w:rsidR="007467ED" w:rsidRPr="00AF44B0" w14:paraId="437CCE0C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053F3158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454B670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0E7CCBE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7A657A2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C3EE6" w:rsidRPr="00AF44B0" w14:paraId="3EDA9BD1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25F9874A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TOTAL ASSETS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70C7EF0E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37,339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412AEFBC" w14:textId="76156C6C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39,938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273BDEAF" w14:textId="7E354A47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77,277</w:t>
            </w:r>
          </w:p>
        </w:tc>
      </w:tr>
      <w:tr w:rsidR="007467ED" w:rsidRPr="00AF44B0" w14:paraId="684917F6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3987C43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BE40049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4EBEA94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9930590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67ED" w:rsidRPr="00AF44B0" w14:paraId="1E23600B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729307A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Current Liabilities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23598AD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3D2F1551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251908D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C3EE6" w:rsidRPr="00AF44B0" w14:paraId="73E1609E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E285246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Trade and other payables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BE91DD2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  <w:t>(18,898)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3929EBB0" w14:textId="23C420C8" w:rsidR="005C3EE6" w:rsidRPr="0099761C" w:rsidRDefault="005C3EE6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(30,</w:t>
            </w:r>
            <w:r w:rsidR="0099761C">
              <w:rPr>
                <w:rFonts w:ascii="Verdana" w:hAnsi="Verdana" w:cs="Arial"/>
                <w:color w:val="FF0000"/>
                <w:sz w:val="18"/>
                <w:szCs w:val="18"/>
              </w:rPr>
              <w:t>891</w:t>
            </w: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8439615" w14:textId="75E88367" w:rsidR="005C3EE6" w:rsidRPr="0099761C" w:rsidRDefault="005C3EE6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(49,</w:t>
            </w:r>
            <w:r w:rsidR="0099761C">
              <w:rPr>
                <w:rFonts w:ascii="Verdana" w:hAnsi="Verdana" w:cs="Arial"/>
                <w:color w:val="FF0000"/>
                <w:sz w:val="18"/>
                <w:szCs w:val="18"/>
              </w:rPr>
              <w:t>789</w:t>
            </w: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</w:tr>
      <w:tr w:rsidR="005C3EE6" w:rsidRPr="00AF44B0" w14:paraId="1E52EE53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844880F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Provisions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8246843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  <w:t>(1,206)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7C0B0C0" w14:textId="5EFA0DCB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(479)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6498A7F" w14:textId="4B1CE31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(1,685)</w:t>
            </w:r>
          </w:p>
        </w:tc>
      </w:tr>
      <w:tr w:rsidR="005C3EE6" w:rsidRPr="00AF44B0" w14:paraId="599CB37D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6E8DA4DD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Current Liabilities sub total 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4AFAB3C3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  <w:t>(20,104)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0ECF14E3" w14:textId="0CCF723A" w:rsidR="005C3EE6" w:rsidRPr="0099761C" w:rsidRDefault="005C3EE6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(31,</w:t>
            </w:r>
            <w:r w:rsid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370</w:t>
            </w:r>
            <w:r w:rsidRP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39610229" w14:textId="3F7F56C0" w:rsidR="005C3EE6" w:rsidRPr="0099761C" w:rsidRDefault="005C3EE6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(51,</w:t>
            </w:r>
            <w:r w:rsid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474</w:t>
            </w:r>
            <w:r w:rsidRP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5C3EE6" w:rsidRPr="00AF44B0" w14:paraId="5935297D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6B9E9F05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NET ASSETS LESS CURRENT LIABILITIES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3F477023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17,235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32A5C928" w14:textId="43EEB755" w:rsidR="005C3EE6" w:rsidRPr="0099761C" w:rsidRDefault="0099761C" w:rsidP="0099761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</w:t>
            </w:r>
            <w:r w:rsidR="005C3EE6" w:rsidRPr="0099761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569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1D22C03A" w14:textId="61CFD965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25,804</w:t>
            </w:r>
          </w:p>
        </w:tc>
      </w:tr>
      <w:tr w:rsidR="007467ED" w:rsidRPr="00AF44B0" w14:paraId="07EADA71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78597FE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0B24E795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1D4FFB8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362FF5A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67ED" w:rsidRPr="00AF44B0" w14:paraId="477D1EAA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7CAE41C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Non-Current Liabilities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D9DF5D1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FEC1F21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3073046A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C3EE6" w:rsidRPr="00AF44B0" w14:paraId="32FB657B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60E3687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Trade and other payables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A4E998F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  <w:t>(1,381)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465C57D" w14:textId="0BB8798E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>(346</w:t>
            </w:r>
            <w:r w:rsidR="005C3EE6" w:rsidRPr="0099761C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F560B46" w14:textId="41552E78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>(1,727</w:t>
            </w:r>
            <w:r w:rsidR="005C3EE6" w:rsidRPr="0099761C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</w:tr>
      <w:tr w:rsidR="005C3EE6" w:rsidRPr="00AF44B0" w14:paraId="34628CE4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170EC7B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Provisions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42D31DB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  <w:t>(1,291)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4DE6C1D" w14:textId="51FDA254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(224)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3E647F1" w14:textId="3BDB3285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hAnsi="Verdana" w:cs="Arial"/>
                <w:color w:val="FF0000"/>
                <w:sz w:val="18"/>
                <w:szCs w:val="18"/>
              </w:rPr>
              <w:t>(1,515)</w:t>
            </w:r>
          </w:p>
        </w:tc>
      </w:tr>
      <w:tr w:rsidR="005C3EE6" w:rsidRPr="00AF44B0" w14:paraId="7A4CC061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43C3E457" w14:textId="77777777" w:rsidR="005C3EE6" w:rsidRPr="0099761C" w:rsidRDefault="005C3EE6" w:rsidP="005C3E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Non-Current Liabilities sub total 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4D1BAB75" w14:textId="77777777" w:rsidR="005C3EE6" w:rsidRPr="0099761C" w:rsidRDefault="005C3EE6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  <w:t>(2,672)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398D76C7" w14:textId="015B78C7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(569</w:t>
            </w:r>
            <w:r w:rsidR="005C3EE6" w:rsidRP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DBE5F1"/>
            <w:noWrap/>
            <w:vAlign w:val="center"/>
            <w:hideMark/>
          </w:tcPr>
          <w:p w14:paraId="031290E1" w14:textId="2B47E334" w:rsidR="005C3EE6" w:rsidRPr="0099761C" w:rsidRDefault="0099761C" w:rsidP="005C3E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(3,242</w:t>
            </w:r>
            <w:r w:rsidR="005C3EE6" w:rsidRPr="0099761C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7467ED" w:rsidRPr="00AF44B0" w14:paraId="0CA12B8E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D7D55BB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C4EC783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548F209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A7A3072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67ED" w:rsidRPr="00AF44B0" w14:paraId="2C429634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1E10AB86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TOTAL ASSETS EMPLOYED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0090EB5B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14,563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52A1B3F6" w14:textId="77DA6CDF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7,999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2081BD29" w14:textId="646E721C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22,562</w:t>
            </w:r>
          </w:p>
        </w:tc>
      </w:tr>
      <w:tr w:rsidR="007467ED" w:rsidRPr="00AF44B0" w14:paraId="5A8E25F1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189073C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0E74111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2B812D3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AB706D5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67ED" w:rsidRPr="00AF44B0" w14:paraId="6FE50F60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A528577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FINANCED BY: Taxpayers' Equity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AD6E3D2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0EED4F7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56CF44C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67ED" w:rsidRPr="00AF44B0" w14:paraId="5925A665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18BDB2C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PDC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2D640638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13,444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714F6703" w14:textId="6E82D82E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7,923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E2FC1AC" w14:textId="1B9BDF0A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21,367</w:t>
            </w:r>
          </w:p>
        </w:tc>
      </w:tr>
      <w:tr w:rsidR="007467ED" w:rsidRPr="00AF44B0" w14:paraId="53833579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46D5267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lastRenderedPageBreak/>
              <w:t>Retained earnings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0FEE780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609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E03E82E" w14:textId="6A326FA0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46EED58C" w14:textId="1C784206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629</w:t>
            </w:r>
          </w:p>
        </w:tc>
      </w:tr>
      <w:tr w:rsidR="007467ED" w:rsidRPr="00AF44B0" w14:paraId="7F482AC7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6BA74616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Revaluation reserve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0B389FC0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16552FA4" w14:textId="19F1390C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auto" w:fill="auto"/>
            <w:noWrap/>
            <w:vAlign w:val="center"/>
            <w:hideMark/>
          </w:tcPr>
          <w:p w14:paraId="5D116478" w14:textId="0E6C474A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567</w:t>
            </w:r>
          </w:p>
        </w:tc>
      </w:tr>
      <w:tr w:rsidR="007467ED" w:rsidRPr="00AF44B0" w14:paraId="213A8916" w14:textId="77777777" w:rsidTr="00F929E2">
        <w:trPr>
          <w:trHeight w:val="240"/>
        </w:trPr>
        <w:tc>
          <w:tcPr>
            <w:tcW w:w="2793" w:type="pct"/>
            <w:tcBorders>
              <w:top w:val="nil"/>
              <w:left w:val="dotted" w:sz="4" w:space="0" w:color="5B9BD5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0E9E16AC" w14:textId="77777777" w:rsidR="007467ED" w:rsidRPr="0099761C" w:rsidRDefault="007467ED" w:rsidP="007467E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TOTAL TAXPAYERS' EQUITY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61D87A0E" w14:textId="77777777" w:rsidR="007467ED" w:rsidRPr="0099761C" w:rsidRDefault="007467ED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761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14,563</w:t>
            </w:r>
          </w:p>
        </w:tc>
        <w:tc>
          <w:tcPr>
            <w:tcW w:w="736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48CF666B" w14:textId="4DACB9EF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7,999</w:t>
            </w:r>
          </w:p>
        </w:tc>
        <w:tc>
          <w:tcPr>
            <w:tcW w:w="735" w:type="pct"/>
            <w:tcBorders>
              <w:top w:val="nil"/>
              <w:left w:val="nil"/>
              <w:bottom w:val="dotted" w:sz="4" w:space="0" w:color="5B9BD5"/>
              <w:right w:val="dotted" w:sz="4" w:space="0" w:color="5B9BD5"/>
            </w:tcBorders>
            <w:shd w:val="clear" w:color="000000" w:fill="B8CCE4"/>
            <w:noWrap/>
            <w:vAlign w:val="center"/>
            <w:hideMark/>
          </w:tcPr>
          <w:p w14:paraId="5798EFF6" w14:textId="75219AEB" w:rsidR="007467ED" w:rsidRPr="0099761C" w:rsidRDefault="0099761C" w:rsidP="007467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22,562</w:t>
            </w:r>
          </w:p>
        </w:tc>
      </w:tr>
    </w:tbl>
    <w:p w14:paraId="5DA9C6DD" w14:textId="77777777" w:rsidR="00734CA8" w:rsidRPr="00AF44B0" w:rsidRDefault="00734CA8" w:rsidP="00734CA8">
      <w:pPr>
        <w:jc w:val="both"/>
        <w:rPr>
          <w:rFonts w:ascii="Verdana" w:hAnsi="Verdana"/>
          <w:sz w:val="24"/>
          <w:szCs w:val="24"/>
          <w:highlight w:val="magenta"/>
        </w:rPr>
      </w:pPr>
    </w:p>
    <w:p w14:paraId="553EFD20" w14:textId="77777777" w:rsidR="007467ED" w:rsidRPr="001512F4" w:rsidRDefault="007467ED" w:rsidP="007467ED">
      <w:pPr>
        <w:jc w:val="both"/>
        <w:rPr>
          <w:rFonts w:ascii="Verdana" w:hAnsi="Verdana"/>
          <w:b/>
          <w:bCs/>
          <w:sz w:val="24"/>
          <w:szCs w:val="24"/>
          <w:lang w:eastAsia="en-GB"/>
        </w:rPr>
      </w:pPr>
      <w:r w:rsidRPr="001512F4">
        <w:rPr>
          <w:rFonts w:ascii="Verdana" w:hAnsi="Verdana"/>
          <w:b/>
          <w:bCs/>
          <w:sz w:val="24"/>
          <w:szCs w:val="24"/>
          <w:lang w:eastAsia="en-GB"/>
        </w:rPr>
        <w:t>Non-Current Assets</w:t>
      </w:r>
    </w:p>
    <w:p w14:paraId="29F539DD" w14:textId="77777777" w:rsidR="001512F4" w:rsidRDefault="001512F4" w:rsidP="007467ED">
      <w:pPr>
        <w:jc w:val="both"/>
        <w:rPr>
          <w:rFonts w:ascii="Verdana" w:hAnsi="Verdana"/>
          <w:sz w:val="24"/>
          <w:szCs w:val="24"/>
          <w:lang w:eastAsia="en-GB"/>
        </w:rPr>
      </w:pPr>
      <w:r w:rsidRPr="001512F4">
        <w:rPr>
          <w:rFonts w:ascii="Verdana" w:hAnsi="Verdana"/>
          <w:sz w:val="24"/>
          <w:szCs w:val="24"/>
          <w:lang w:eastAsia="en-GB"/>
        </w:rPr>
        <w:t xml:space="preserve">Property, plant and equipment has increased overall by £8.394m, the majority of which relates to Covid-19 projects.  This reflects the net position of our capital purchases to month 11. </w:t>
      </w:r>
    </w:p>
    <w:p w14:paraId="446DD86F" w14:textId="085E6FD7" w:rsidR="007467ED" w:rsidRPr="001512F4" w:rsidRDefault="007467ED" w:rsidP="007467ED">
      <w:pPr>
        <w:jc w:val="both"/>
        <w:rPr>
          <w:rFonts w:ascii="Verdana" w:hAnsi="Verdana"/>
          <w:b/>
          <w:bCs/>
          <w:sz w:val="24"/>
          <w:szCs w:val="24"/>
          <w:lang w:eastAsia="en-GB"/>
        </w:rPr>
      </w:pPr>
      <w:r w:rsidRPr="001512F4">
        <w:rPr>
          <w:rFonts w:ascii="Verdana" w:hAnsi="Verdana"/>
          <w:b/>
          <w:bCs/>
          <w:sz w:val="24"/>
          <w:szCs w:val="24"/>
          <w:lang w:eastAsia="en-GB"/>
        </w:rPr>
        <w:t>Current Assets</w:t>
      </w:r>
    </w:p>
    <w:p w14:paraId="16BBD4F2" w14:textId="27E2737B" w:rsidR="001512F4" w:rsidRPr="001512F4" w:rsidRDefault="001512F4" w:rsidP="001512F4">
      <w:pPr>
        <w:jc w:val="both"/>
        <w:rPr>
          <w:rFonts w:ascii="Verdana" w:hAnsi="Verdana"/>
          <w:sz w:val="24"/>
          <w:szCs w:val="24"/>
          <w:lang w:eastAsia="en-GB"/>
        </w:rPr>
      </w:pPr>
      <w:r w:rsidRPr="001512F4">
        <w:rPr>
          <w:rFonts w:ascii="Verdana" w:hAnsi="Verdana"/>
          <w:sz w:val="24"/>
          <w:szCs w:val="24"/>
          <w:lang w:eastAsia="en-GB"/>
        </w:rPr>
        <w:t>Stock has increased by £9.064m due to purchases of Covid-19 testing consumables for laboratories.  We expect the stock balance to continue to decrease over the comin</w:t>
      </w:r>
      <w:r>
        <w:rPr>
          <w:rFonts w:ascii="Verdana" w:hAnsi="Verdana"/>
          <w:sz w:val="24"/>
          <w:szCs w:val="24"/>
          <w:lang w:eastAsia="en-GB"/>
        </w:rPr>
        <w:t>g months as testing progresses.</w:t>
      </w:r>
    </w:p>
    <w:p w14:paraId="27FD82E8" w14:textId="77777777" w:rsidR="001512F4" w:rsidRDefault="001512F4" w:rsidP="001512F4">
      <w:pPr>
        <w:jc w:val="both"/>
        <w:rPr>
          <w:rFonts w:ascii="Verdana" w:hAnsi="Verdana"/>
          <w:sz w:val="24"/>
          <w:szCs w:val="24"/>
          <w:lang w:eastAsia="en-GB"/>
        </w:rPr>
      </w:pPr>
      <w:r w:rsidRPr="001512F4">
        <w:rPr>
          <w:rFonts w:ascii="Verdana" w:hAnsi="Verdana"/>
          <w:sz w:val="24"/>
          <w:szCs w:val="24"/>
          <w:lang w:eastAsia="en-GB"/>
        </w:rPr>
        <w:t>Trade and other receivables has increased by £25.356m. This increase is predominantly on Whole of Government Accounts receivables comprised of Welsh Government Covid-19 funding of £5.517m and core income of £8.860m for March, which is raised a month in advance. NHS Wales Health Collaborative core income allocation of £1.323m and £6.412m for Implementation Group Delivery Plan income related to several NHSWHC programmes.</w:t>
      </w:r>
    </w:p>
    <w:p w14:paraId="4273F0CA" w14:textId="2FD8B752" w:rsidR="007467ED" w:rsidRPr="001512F4" w:rsidRDefault="007467ED" w:rsidP="001512F4">
      <w:pPr>
        <w:jc w:val="both"/>
        <w:rPr>
          <w:rFonts w:ascii="Verdana" w:hAnsi="Verdana"/>
          <w:b/>
          <w:bCs/>
          <w:sz w:val="24"/>
          <w:szCs w:val="24"/>
          <w:lang w:eastAsia="en-GB"/>
        </w:rPr>
      </w:pPr>
      <w:r w:rsidRPr="001512F4">
        <w:rPr>
          <w:rFonts w:ascii="Verdana" w:hAnsi="Verdana"/>
          <w:b/>
          <w:bCs/>
          <w:sz w:val="24"/>
          <w:szCs w:val="24"/>
          <w:lang w:eastAsia="en-GB"/>
        </w:rPr>
        <w:t>Current liabilities</w:t>
      </w:r>
    </w:p>
    <w:p w14:paraId="694199DE" w14:textId="1AE8206F" w:rsidR="001512F4" w:rsidRPr="001512F4" w:rsidRDefault="001512F4" w:rsidP="001512F4">
      <w:pPr>
        <w:jc w:val="both"/>
        <w:rPr>
          <w:rFonts w:ascii="Verdana" w:hAnsi="Verdana"/>
          <w:sz w:val="24"/>
          <w:szCs w:val="24"/>
          <w:lang w:eastAsia="en-GB"/>
        </w:rPr>
      </w:pPr>
      <w:r w:rsidRPr="001512F4">
        <w:rPr>
          <w:rFonts w:ascii="Verdana" w:hAnsi="Verdana"/>
          <w:sz w:val="24"/>
          <w:szCs w:val="24"/>
          <w:lang w:eastAsia="en-GB"/>
        </w:rPr>
        <w:t>Current trade and other payables has increased by £30.891m.  Welsh Government deferred income of £15.527m is included in this balance relating to baseline core income in advance of £14.392m and income of £1.135m for the increase in annual leave accrual raised in advance.  Other significant accruals include £3.753m for various pay and non-pay accruals and £3.795m deferred income both within the NHS Wales Health Collaborative. In addition there is £2.2m for Scre</w:t>
      </w:r>
      <w:r>
        <w:rPr>
          <w:rFonts w:ascii="Verdana" w:hAnsi="Verdana"/>
          <w:sz w:val="24"/>
          <w:szCs w:val="24"/>
          <w:lang w:eastAsia="en-GB"/>
        </w:rPr>
        <w:t xml:space="preserve">ening LTA accrued expenditure. </w:t>
      </w:r>
    </w:p>
    <w:p w14:paraId="1478AE77" w14:textId="77777777" w:rsidR="001512F4" w:rsidRDefault="001512F4" w:rsidP="001512F4">
      <w:pPr>
        <w:jc w:val="both"/>
        <w:rPr>
          <w:rFonts w:ascii="Verdana" w:hAnsi="Verdana"/>
          <w:sz w:val="24"/>
          <w:szCs w:val="24"/>
          <w:lang w:eastAsia="en-GB"/>
        </w:rPr>
      </w:pPr>
      <w:r w:rsidRPr="001512F4">
        <w:rPr>
          <w:rFonts w:ascii="Verdana" w:hAnsi="Verdana"/>
          <w:sz w:val="24"/>
          <w:szCs w:val="24"/>
          <w:lang w:eastAsia="en-GB"/>
        </w:rPr>
        <w:t>The increase in provisions of £0.703m is primarily due to 3 new clinical negligence cases in June 20/21.  The Trust is only liable for £75k of the increase in provision, the first £25k of payments on each case, with the remainder being reimbursed by the Welsh Risk Pool.</w:t>
      </w:r>
    </w:p>
    <w:p w14:paraId="426DE867" w14:textId="794CDAF4" w:rsidR="007467ED" w:rsidRPr="001512F4" w:rsidRDefault="007467ED" w:rsidP="001512F4">
      <w:pPr>
        <w:jc w:val="both"/>
        <w:rPr>
          <w:rFonts w:ascii="Verdana" w:hAnsi="Verdana"/>
          <w:b/>
          <w:bCs/>
          <w:sz w:val="24"/>
          <w:szCs w:val="24"/>
          <w:lang w:eastAsia="en-GB"/>
        </w:rPr>
      </w:pPr>
      <w:r w:rsidRPr="001512F4">
        <w:rPr>
          <w:rFonts w:ascii="Verdana" w:hAnsi="Verdana"/>
          <w:b/>
          <w:bCs/>
          <w:sz w:val="24"/>
          <w:szCs w:val="24"/>
          <w:lang w:eastAsia="en-GB"/>
        </w:rPr>
        <w:t>PDC</w:t>
      </w:r>
    </w:p>
    <w:p w14:paraId="2375D888" w14:textId="28960984" w:rsidR="001512F4" w:rsidRPr="001512F4" w:rsidRDefault="001512F4" w:rsidP="001512F4">
      <w:pPr>
        <w:jc w:val="both"/>
        <w:rPr>
          <w:rFonts w:ascii="Verdana" w:hAnsi="Verdana" w:cs="Times New Roman"/>
          <w:b/>
          <w:sz w:val="24"/>
          <w:szCs w:val="24"/>
          <w:highlight w:val="magenta"/>
          <w:u w:val="single"/>
        </w:rPr>
      </w:pPr>
      <w:r w:rsidRPr="001512F4">
        <w:rPr>
          <w:rFonts w:ascii="Verdana" w:hAnsi="Verdana"/>
          <w:bCs/>
          <w:sz w:val="24"/>
          <w:szCs w:val="24"/>
        </w:rPr>
        <w:t xml:space="preserve">The Public Dividend Capital (PDC) balance has increased by £7.923m since the beginning of the year. Welsh Government provided upfront PDC to fund </w:t>
      </w:r>
      <w:r w:rsidRPr="001512F4">
        <w:rPr>
          <w:rFonts w:ascii="Verdana" w:hAnsi="Verdana"/>
          <w:bCs/>
          <w:sz w:val="24"/>
          <w:szCs w:val="24"/>
        </w:rPr>
        <w:lastRenderedPageBreak/>
        <w:t>the build of the laboratory at Imperial Park, Newport as well as other Covid-related capital purchases.</w:t>
      </w:r>
    </w:p>
    <w:p w14:paraId="0AC68E29" w14:textId="4B7A0746" w:rsidR="00A470E5" w:rsidRPr="007E6B7D" w:rsidRDefault="004636D9" w:rsidP="001512F4">
      <w:pPr>
        <w:pStyle w:val="ListParagraph"/>
        <w:numPr>
          <w:ilvl w:val="0"/>
          <w:numId w:val="10"/>
        </w:numPr>
        <w:jc w:val="both"/>
        <w:rPr>
          <w:rFonts w:ascii="Verdana" w:hAnsi="Verdana"/>
          <w:b/>
          <w:u w:val="single"/>
        </w:rPr>
      </w:pPr>
      <w:r w:rsidRPr="007E6B7D">
        <w:rPr>
          <w:rFonts w:ascii="Verdana" w:hAnsi="Verdana"/>
          <w:b/>
          <w:u w:val="single"/>
        </w:rPr>
        <w:t>Procurement Activity and Supply Chain</w:t>
      </w:r>
    </w:p>
    <w:p w14:paraId="7E48836C" w14:textId="77777777" w:rsidR="00FF7411" w:rsidRPr="007E6B7D" w:rsidRDefault="00FF7411" w:rsidP="00346DCD">
      <w:pPr>
        <w:jc w:val="both"/>
        <w:rPr>
          <w:rFonts w:ascii="Verdana" w:hAnsi="Verdana"/>
          <w:sz w:val="24"/>
          <w:szCs w:val="24"/>
        </w:rPr>
      </w:pPr>
    </w:p>
    <w:p w14:paraId="3EE6BFD8" w14:textId="77777777" w:rsidR="00DB0561" w:rsidRPr="007E6B7D" w:rsidRDefault="00DB0561" w:rsidP="001C6453">
      <w:pPr>
        <w:jc w:val="both"/>
        <w:rPr>
          <w:rFonts w:ascii="Verdana" w:hAnsi="Verdana"/>
          <w:sz w:val="24"/>
          <w:szCs w:val="24"/>
        </w:rPr>
      </w:pPr>
      <w:r w:rsidRPr="007E6B7D">
        <w:rPr>
          <w:rFonts w:ascii="Verdana" w:hAnsi="Verdana" w:cs="Arial"/>
          <w:sz w:val="24"/>
          <w:szCs w:val="24"/>
        </w:rPr>
        <w:t>The Audit and Corporate Governance Committee are provided with a report on procurement activity in accordance with paragraph 1.2.1 and Schedule 1 of the SFIs.  This includes an explanation of the reasons and circumstances for Single Quotation Action and Single Tender Action along with the further action taken.</w:t>
      </w:r>
    </w:p>
    <w:p w14:paraId="355A93D1" w14:textId="77777777" w:rsidR="004636D9" w:rsidRPr="007E6B7D" w:rsidRDefault="00CD03E6" w:rsidP="001C6453">
      <w:pPr>
        <w:jc w:val="both"/>
        <w:rPr>
          <w:rFonts w:ascii="Verdana" w:hAnsi="Verdana"/>
          <w:sz w:val="24"/>
          <w:szCs w:val="24"/>
        </w:rPr>
      </w:pPr>
      <w:r w:rsidRPr="007E6B7D">
        <w:rPr>
          <w:rFonts w:ascii="Verdana" w:hAnsi="Verdana"/>
          <w:sz w:val="24"/>
          <w:szCs w:val="24"/>
        </w:rPr>
        <w:t xml:space="preserve">As part of the Sampling and Testing activity a Laboratory Rapid Implementation Programme Board </w:t>
      </w:r>
      <w:r w:rsidR="00976D14" w:rsidRPr="007E6B7D">
        <w:rPr>
          <w:rFonts w:ascii="Verdana" w:hAnsi="Verdana"/>
          <w:sz w:val="24"/>
          <w:szCs w:val="24"/>
        </w:rPr>
        <w:t>was</w:t>
      </w:r>
      <w:r w:rsidRPr="007E6B7D">
        <w:rPr>
          <w:rFonts w:ascii="Verdana" w:hAnsi="Verdana"/>
          <w:sz w:val="24"/>
          <w:szCs w:val="24"/>
        </w:rPr>
        <w:t xml:space="preserve"> established to track progress </w:t>
      </w:r>
      <w:r w:rsidR="00DC148B" w:rsidRPr="007E6B7D">
        <w:rPr>
          <w:rFonts w:ascii="Verdana" w:hAnsi="Verdana"/>
          <w:sz w:val="24"/>
          <w:szCs w:val="24"/>
        </w:rPr>
        <w:t xml:space="preserve">on the increased </w:t>
      </w:r>
      <w:r w:rsidRPr="007E6B7D">
        <w:rPr>
          <w:rFonts w:ascii="Verdana" w:hAnsi="Verdana"/>
          <w:sz w:val="24"/>
          <w:szCs w:val="24"/>
        </w:rPr>
        <w:t>capacity</w:t>
      </w:r>
      <w:r w:rsidR="00976D14" w:rsidRPr="007E6B7D">
        <w:rPr>
          <w:rFonts w:ascii="Verdana" w:hAnsi="Verdana"/>
          <w:sz w:val="24"/>
          <w:szCs w:val="24"/>
        </w:rPr>
        <w:t xml:space="preserve"> and monitor impact of</w:t>
      </w:r>
      <w:r w:rsidR="00DC148B" w:rsidRPr="007E6B7D">
        <w:rPr>
          <w:rFonts w:ascii="Verdana" w:hAnsi="Verdana"/>
          <w:sz w:val="24"/>
          <w:szCs w:val="24"/>
        </w:rPr>
        <w:t xml:space="preserve"> any supply chain issues</w:t>
      </w:r>
      <w:r w:rsidR="00976D14" w:rsidRPr="007E6B7D">
        <w:rPr>
          <w:rFonts w:ascii="Verdana" w:hAnsi="Verdana"/>
          <w:sz w:val="24"/>
          <w:szCs w:val="24"/>
        </w:rPr>
        <w:t>.</w:t>
      </w:r>
      <w:r w:rsidR="00DC148B" w:rsidRPr="007E6B7D">
        <w:rPr>
          <w:rFonts w:ascii="Verdana" w:hAnsi="Verdana"/>
          <w:sz w:val="24"/>
          <w:szCs w:val="24"/>
        </w:rPr>
        <w:t xml:space="preserve">  The Programme Board</w:t>
      </w:r>
      <w:r w:rsidR="00AB2BD9" w:rsidRPr="007E6B7D">
        <w:rPr>
          <w:rFonts w:ascii="Verdana" w:hAnsi="Verdana"/>
          <w:sz w:val="24"/>
          <w:szCs w:val="24"/>
        </w:rPr>
        <w:t xml:space="preserve"> </w:t>
      </w:r>
      <w:r w:rsidR="00DC148B" w:rsidRPr="007E6B7D">
        <w:rPr>
          <w:rFonts w:ascii="Verdana" w:hAnsi="Verdana"/>
          <w:sz w:val="24"/>
          <w:szCs w:val="24"/>
        </w:rPr>
        <w:t xml:space="preserve">provide </w:t>
      </w:r>
      <w:r w:rsidRPr="007E6B7D">
        <w:rPr>
          <w:rFonts w:ascii="Verdana" w:hAnsi="Verdana"/>
          <w:sz w:val="24"/>
          <w:szCs w:val="24"/>
        </w:rPr>
        <w:t>regular updates to Business Executive Team and appropriate escalation to Board as necessary.</w:t>
      </w:r>
    </w:p>
    <w:p w14:paraId="6EE5844D" w14:textId="77777777" w:rsidR="000C54A5" w:rsidRPr="00012F7D" w:rsidRDefault="00A470E5" w:rsidP="001C6453">
      <w:pPr>
        <w:jc w:val="both"/>
        <w:rPr>
          <w:rFonts w:ascii="Verdana" w:hAnsi="Verdana"/>
          <w:sz w:val="24"/>
          <w:szCs w:val="24"/>
        </w:rPr>
      </w:pPr>
      <w:r w:rsidRPr="00012F7D">
        <w:rPr>
          <w:rFonts w:ascii="Verdana" w:eastAsia="Times New Roman" w:hAnsi="Verdana"/>
          <w:b/>
          <w:sz w:val="24"/>
          <w:szCs w:val="24"/>
          <w:u w:val="single"/>
        </w:rPr>
        <w:t>Conclusion</w:t>
      </w:r>
    </w:p>
    <w:p w14:paraId="761173D5" w14:textId="55B11770" w:rsidR="00A470E5" w:rsidRPr="00012F7D" w:rsidRDefault="000C54A5" w:rsidP="000C54A5">
      <w:pPr>
        <w:jc w:val="both"/>
        <w:rPr>
          <w:rFonts w:ascii="Verdana" w:hAnsi="Verdana" w:cs="Arial"/>
          <w:sz w:val="24"/>
          <w:szCs w:val="24"/>
        </w:rPr>
      </w:pPr>
      <w:r w:rsidRPr="00012F7D">
        <w:rPr>
          <w:rFonts w:ascii="Verdana" w:hAnsi="Verdana" w:cs="Arial"/>
          <w:sz w:val="24"/>
          <w:szCs w:val="24"/>
        </w:rPr>
        <w:t xml:space="preserve">The Board </w:t>
      </w:r>
      <w:r w:rsidR="00A470E5" w:rsidRPr="00012F7D">
        <w:rPr>
          <w:rFonts w:ascii="Verdana" w:hAnsi="Verdana" w:cs="Arial"/>
          <w:sz w:val="24"/>
          <w:szCs w:val="24"/>
        </w:rPr>
        <w:t xml:space="preserve">is asked to </w:t>
      </w:r>
      <w:r w:rsidR="00790BDE">
        <w:rPr>
          <w:rFonts w:ascii="Verdana" w:hAnsi="Verdana" w:cs="Arial"/>
          <w:b/>
          <w:sz w:val="24"/>
          <w:szCs w:val="24"/>
        </w:rPr>
        <w:t>consider</w:t>
      </w:r>
      <w:bookmarkStart w:id="5" w:name="_GoBack"/>
      <w:bookmarkEnd w:id="5"/>
      <w:r w:rsidR="00A470E5" w:rsidRPr="00012F7D">
        <w:rPr>
          <w:rFonts w:ascii="Verdana" w:hAnsi="Verdana" w:cs="Arial"/>
          <w:sz w:val="24"/>
          <w:szCs w:val="24"/>
        </w:rPr>
        <w:t xml:space="preserve"> the following:</w:t>
      </w:r>
    </w:p>
    <w:p w14:paraId="0658A23E" w14:textId="4687E1DD" w:rsidR="002F2144" w:rsidRPr="00790BDE" w:rsidRDefault="00CF311D" w:rsidP="00790BDE">
      <w:pPr>
        <w:pStyle w:val="ListParagraph"/>
        <w:numPr>
          <w:ilvl w:val="0"/>
          <w:numId w:val="2"/>
        </w:numPr>
        <w:rPr>
          <w:rFonts w:ascii="Verdana" w:hAnsi="Verdana" w:cs="Arial"/>
        </w:rPr>
      </w:pPr>
      <w:r w:rsidRPr="00012F7D">
        <w:rPr>
          <w:rFonts w:ascii="Verdana" w:hAnsi="Verdana" w:cs="Arial"/>
        </w:rPr>
        <w:t xml:space="preserve">A surplus </w:t>
      </w:r>
      <w:r w:rsidR="00A470E5" w:rsidRPr="00012F7D">
        <w:rPr>
          <w:rFonts w:ascii="Verdana" w:hAnsi="Verdana" w:cs="Arial"/>
        </w:rPr>
        <w:t>financial position</w:t>
      </w:r>
      <w:r w:rsidR="00012F7D" w:rsidRPr="00012F7D">
        <w:rPr>
          <w:rFonts w:ascii="Verdana" w:hAnsi="Verdana" w:cs="Arial"/>
        </w:rPr>
        <w:t xml:space="preserve"> of £21</w:t>
      </w:r>
      <w:r w:rsidRPr="00012F7D">
        <w:rPr>
          <w:rFonts w:ascii="Verdana" w:hAnsi="Verdana" w:cs="Arial"/>
        </w:rPr>
        <w:t>k</w:t>
      </w:r>
      <w:r w:rsidR="002F2144" w:rsidRPr="00012F7D">
        <w:rPr>
          <w:rFonts w:ascii="Verdana" w:hAnsi="Verdana" w:cs="Arial"/>
        </w:rPr>
        <w:t>, along with the assumed allocations,</w:t>
      </w:r>
      <w:r w:rsidR="0057789B" w:rsidRPr="00012F7D">
        <w:rPr>
          <w:rFonts w:ascii="Verdana" w:hAnsi="Verdana" w:cs="Arial"/>
        </w:rPr>
        <w:t xml:space="preserve"> reported at month </w:t>
      </w:r>
      <w:r w:rsidR="00012F7D" w:rsidRPr="00012F7D">
        <w:rPr>
          <w:rFonts w:ascii="Verdana" w:hAnsi="Verdana" w:cs="Arial"/>
        </w:rPr>
        <w:t>11</w:t>
      </w:r>
      <w:r w:rsidR="002F2144" w:rsidRPr="00012F7D">
        <w:rPr>
          <w:rFonts w:ascii="Verdana" w:hAnsi="Verdana" w:cs="Arial"/>
        </w:rPr>
        <w:t>;</w:t>
      </w:r>
    </w:p>
    <w:p w14:paraId="015F0D9D" w14:textId="7703D581" w:rsidR="00A470E5" w:rsidRPr="00790BDE" w:rsidRDefault="0070756E" w:rsidP="00790BDE">
      <w:pPr>
        <w:pStyle w:val="ListParagraph"/>
        <w:numPr>
          <w:ilvl w:val="0"/>
          <w:numId w:val="2"/>
        </w:numPr>
        <w:rPr>
          <w:rFonts w:ascii="Verdana" w:hAnsi="Verdana" w:cs="Arial"/>
        </w:rPr>
      </w:pPr>
      <w:r w:rsidRPr="00012F7D">
        <w:rPr>
          <w:rFonts w:ascii="Verdana" w:hAnsi="Verdana" w:cs="Arial"/>
        </w:rPr>
        <w:t xml:space="preserve">A </w:t>
      </w:r>
      <w:r w:rsidR="002F2144" w:rsidRPr="00012F7D">
        <w:rPr>
          <w:rFonts w:ascii="Verdana" w:hAnsi="Verdana" w:cs="Arial"/>
        </w:rPr>
        <w:t xml:space="preserve">forecast </w:t>
      </w:r>
      <w:r w:rsidR="00CF311D" w:rsidRPr="00012F7D">
        <w:rPr>
          <w:rFonts w:ascii="Verdana" w:hAnsi="Verdana" w:cs="Arial"/>
        </w:rPr>
        <w:t xml:space="preserve">year-end break-even </w:t>
      </w:r>
      <w:r w:rsidR="002F2144" w:rsidRPr="00012F7D">
        <w:rPr>
          <w:rFonts w:ascii="Verdana" w:hAnsi="Verdana" w:cs="Arial"/>
        </w:rPr>
        <w:t>posi</w:t>
      </w:r>
      <w:r w:rsidR="005F532F" w:rsidRPr="00012F7D">
        <w:rPr>
          <w:rFonts w:ascii="Verdana" w:hAnsi="Verdana" w:cs="Arial"/>
        </w:rPr>
        <w:t xml:space="preserve">tion, which includes the month </w:t>
      </w:r>
      <w:r w:rsidR="002F2144" w:rsidRPr="00012F7D">
        <w:rPr>
          <w:rFonts w:ascii="Verdana" w:hAnsi="Verdana" w:cs="Arial"/>
        </w:rPr>
        <w:t>12 projections for Covid-19 testing capacity;</w:t>
      </w:r>
    </w:p>
    <w:p w14:paraId="38437DB6" w14:textId="77777777" w:rsidR="00790BDE" w:rsidRDefault="0070756E" w:rsidP="00790BDE">
      <w:pPr>
        <w:pStyle w:val="ListParagraph"/>
        <w:numPr>
          <w:ilvl w:val="0"/>
          <w:numId w:val="2"/>
        </w:numPr>
        <w:rPr>
          <w:rFonts w:ascii="Verdana" w:hAnsi="Verdana" w:cs="Arial"/>
        </w:rPr>
      </w:pPr>
      <w:r w:rsidRPr="00012F7D">
        <w:rPr>
          <w:rFonts w:ascii="Verdana" w:hAnsi="Verdana" w:cs="Arial"/>
        </w:rPr>
        <w:t>S</w:t>
      </w:r>
      <w:r w:rsidR="00A470E5" w:rsidRPr="00012F7D">
        <w:rPr>
          <w:rFonts w:ascii="Verdana" w:hAnsi="Verdana" w:cs="Arial"/>
        </w:rPr>
        <w:t>tatus of the Capital Programme</w:t>
      </w:r>
      <w:r w:rsidR="002F2144" w:rsidRPr="00012F7D">
        <w:rPr>
          <w:rFonts w:ascii="Verdana" w:hAnsi="Verdana" w:cs="Arial"/>
        </w:rPr>
        <w:t>, strategic and discretionary,</w:t>
      </w:r>
      <w:r w:rsidR="00A470E5" w:rsidRPr="00012F7D">
        <w:rPr>
          <w:rFonts w:ascii="Verdana" w:hAnsi="Verdana" w:cs="Arial"/>
        </w:rPr>
        <w:t xml:space="preserve"> for 2020/21</w:t>
      </w:r>
      <w:r w:rsidR="002F2144" w:rsidRPr="00012F7D">
        <w:rPr>
          <w:rFonts w:ascii="Verdana" w:hAnsi="Verdana" w:cs="Arial"/>
        </w:rPr>
        <w:t>, and</w:t>
      </w:r>
    </w:p>
    <w:p w14:paraId="07D7413D" w14:textId="268D89CD" w:rsidR="000C54A5" w:rsidRPr="00790BDE" w:rsidRDefault="002F2144" w:rsidP="00790BDE">
      <w:pPr>
        <w:pStyle w:val="ListParagraph"/>
        <w:numPr>
          <w:ilvl w:val="0"/>
          <w:numId w:val="2"/>
        </w:numPr>
        <w:rPr>
          <w:rFonts w:ascii="Verdana" w:hAnsi="Verdana" w:cs="Arial"/>
        </w:rPr>
      </w:pPr>
      <w:r w:rsidRPr="00790BDE">
        <w:rPr>
          <w:rFonts w:ascii="Verdana" w:hAnsi="Verdana"/>
        </w:rPr>
        <w:t>Balance Sheet, or Stateme</w:t>
      </w:r>
      <w:r w:rsidR="00CF311D" w:rsidRPr="00790BDE">
        <w:rPr>
          <w:rFonts w:ascii="Verdana" w:hAnsi="Verdana"/>
        </w:rPr>
        <w:t>nt of Financial Position, which</w:t>
      </w:r>
      <w:r w:rsidR="004F0DD4" w:rsidRPr="00790BDE">
        <w:rPr>
          <w:rFonts w:ascii="Verdana" w:hAnsi="Verdana"/>
        </w:rPr>
        <w:t xml:space="preserve"> includes the cash balance of </w:t>
      </w:r>
      <w:r w:rsidR="00012F7D" w:rsidRPr="00790BDE">
        <w:rPr>
          <w:rFonts w:ascii="Verdana" w:hAnsi="Verdana"/>
        </w:rPr>
        <w:t>£5.943</w:t>
      </w:r>
      <w:r w:rsidR="00CF311D" w:rsidRPr="00790BDE">
        <w:rPr>
          <w:rFonts w:ascii="Verdana" w:hAnsi="Verdana"/>
        </w:rPr>
        <w:t>m</w:t>
      </w:r>
      <w:r w:rsidR="008246C9" w:rsidRPr="00790BDE">
        <w:rPr>
          <w:rFonts w:ascii="Verdana" w:hAnsi="Verdana"/>
        </w:rPr>
        <w:t xml:space="preserve"> at month </w:t>
      </w:r>
      <w:r w:rsidR="00EF1DBA" w:rsidRPr="00790BDE">
        <w:rPr>
          <w:rFonts w:ascii="Verdana" w:hAnsi="Verdana"/>
        </w:rPr>
        <w:t>1</w:t>
      </w:r>
      <w:r w:rsidR="00012F7D" w:rsidRPr="00790BDE">
        <w:rPr>
          <w:rFonts w:ascii="Verdana" w:hAnsi="Verdana"/>
        </w:rPr>
        <w:t>1</w:t>
      </w:r>
      <w:r w:rsidR="00790BDE">
        <w:rPr>
          <w:rFonts w:ascii="Verdana" w:hAnsi="Verdana"/>
        </w:rPr>
        <w:t>.</w:t>
      </w:r>
    </w:p>
    <w:p w14:paraId="67EE6FEA" w14:textId="77777777" w:rsidR="00A22060" w:rsidRPr="006160DD" w:rsidRDefault="00A22060" w:rsidP="00A22060">
      <w:pPr>
        <w:pStyle w:val="ListParagraph"/>
        <w:ind w:left="1134"/>
        <w:jc w:val="both"/>
        <w:rPr>
          <w:rFonts w:ascii="Verdana" w:hAnsi="Verdana" w:cs="Arial"/>
        </w:rPr>
      </w:pPr>
    </w:p>
    <w:p w14:paraId="41484B09" w14:textId="77777777" w:rsidR="00402FE9" w:rsidRPr="00A55EE3" w:rsidRDefault="00402FE9" w:rsidP="001F5B52">
      <w:pPr>
        <w:jc w:val="both"/>
        <w:rPr>
          <w:sz w:val="24"/>
          <w:szCs w:val="24"/>
        </w:rPr>
      </w:pPr>
    </w:p>
    <w:sectPr w:rsidR="00402FE9" w:rsidRPr="00A55EE3" w:rsidSect="00402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2A8C9" w14:textId="77777777" w:rsidR="002979D2" w:rsidRDefault="002979D2" w:rsidP="00883874">
      <w:pPr>
        <w:spacing w:after="0" w:line="240" w:lineRule="auto"/>
      </w:pPr>
      <w:r>
        <w:separator/>
      </w:r>
    </w:p>
  </w:endnote>
  <w:endnote w:type="continuationSeparator" w:id="0">
    <w:p w14:paraId="52C01856" w14:textId="77777777" w:rsidR="002979D2" w:rsidRDefault="002979D2" w:rsidP="0088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0"/>
      <w:gridCol w:w="3014"/>
      <w:gridCol w:w="3002"/>
    </w:tblGrid>
    <w:tr w:rsidR="002979D2" w:rsidRPr="00511AFF" w14:paraId="59692BFE" w14:textId="77777777" w:rsidTr="005D3867">
      <w:tc>
        <w:tcPr>
          <w:tcW w:w="3100" w:type="dxa"/>
        </w:tcPr>
        <w:p w14:paraId="795B68C7" w14:textId="74E4DF5E" w:rsidR="002979D2" w:rsidRPr="00B70103" w:rsidRDefault="002979D2" w:rsidP="0057789B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B70103">
            <w:rPr>
              <w:rFonts w:ascii="Verdana" w:hAnsi="Verdana"/>
              <w:b/>
              <w:sz w:val="20"/>
            </w:rPr>
            <w:t xml:space="preserve">Date: </w:t>
          </w:r>
          <w:r w:rsidR="00BA310B">
            <w:rPr>
              <w:rFonts w:ascii="Verdana" w:hAnsi="Verdana"/>
              <w:sz w:val="20"/>
            </w:rPr>
            <w:t xml:space="preserve"> 15</w:t>
          </w:r>
          <w:r w:rsidR="00DA25D9">
            <w:rPr>
              <w:rFonts w:ascii="Verdana" w:hAnsi="Verdana"/>
              <w:sz w:val="20"/>
            </w:rPr>
            <w:t xml:space="preserve"> March</w:t>
          </w:r>
          <w:r>
            <w:rPr>
              <w:rFonts w:ascii="Verdana" w:hAnsi="Verdana"/>
              <w:sz w:val="20"/>
            </w:rPr>
            <w:t xml:space="preserve"> 2021</w:t>
          </w:r>
        </w:p>
      </w:tc>
      <w:tc>
        <w:tcPr>
          <w:tcW w:w="3100" w:type="dxa"/>
        </w:tcPr>
        <w:p w14:paraId="42CF9E3E" w14:textId="52C1B4E7" w:rsidR="002979D2" w:rsidRPr="00B70103" w:rsidRDefault="002979D2" w:rsidP="005D3867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B70103">
            <w:rPr>
              <w:rFonts w:ascii="Verdana" w:hAnsi="Verdana"/>
              <w:b/>
              <w:sz w:val="20"/>
            </w:rPr>
            <w:t>Version:</w:t>
          </w:r>
          <w:r>
            <w:rPr>
              <w:rFonts w:ascii="Verdana" w:hAnsi="Verdana"/>
              <w:sz w:val="20"/>
            </w:rPr>
            <w:t xml:space="preserve"> 1</w:t>
          </w:r>
        </w:p>
      </w:tc>
      <w:tc>
        <w:tcPr>
          <w:tcW w:w="3101" w:type="dxa"/>
        </w:tcPr>
        <w:p w14:paraId="31F6856B" w14:textId="61987B68" w:rsidR="002979D2" w:rsidRPr="00B70103" w:rsidRDefault="002979D2" w:rsidP="005D3867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B70103">
            <w:rPr>
              <w:rFonts w:ascii="Verdana" w:hAnsi="Verdana"/>
              <w:b/>
              <w:sz w:val="20"/>
            </w:rPr>
            <w:t xml:space="preserve">Page: 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begin"/>
          </w:r>
          <w:r w:rsidRPr="00B7010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B70103">
            <w:rPr>
              <w:rStyle w:val="PageNumber"/>
              <w:rFonts w:ascii="Verdana" w:hAnsi="Verdana"/>
              <w:sz w:val="20"/>
            </w:rPr>
            <w:fldChar w:fldCharType="separate"/>
          </w:r>
          <w:r w:rsidR="00790BDE">
            <w:rPr>
              <w:rStyle w:val="PageNumber"/>
              <w:rFonts w:ascii="Verdana" w:hAnsi="Verdana"/>
              <w:noProof/>
              <w:sz w:val="20"/>
            </w:rPr>
            <w:t>10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end"/>
          </w:r>
          <w:r w:rsidRPr="00B70103">
            <w:rPr>
              <w:rStyle w:val="PageNumber"/>
              <w:rFonts w:ascii="Verdana" w:hAnsi="Verdana"/>
              <w:sz w:val="20"/>
            </w:rPr>
            <w:t xml:space="preserve"> of 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begin"/>
          </w:r>
          <w:r w:rsidRPr="00B7010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B70103">
            <w:rPr>
              <w:rStyle w:val="PageNumber"/>
              <w:rFonts w:ascii="Verdana" w:hAnsi="Verdana"/>
              <w:sz w:val="20"/>
            </w:rPr>
            <w:fldChar w:fldCharType="separate"/>
          </w:r>
          <w:r w:rsidR="00790BDE">
            <w:rPr>
              <w:rStyle w:val="PageNumber"/>
              <w:rFonts w:ascii="Verdana" w:hAnsi="Verdana"/>
              <w:noProof/>
              <w:sz w:val="20"/>
            </w:rPr>
            <w:t>10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32C98C1C" w14:textId="77777777" w:rsidR="002979D2" w:rsidRPr="00FA7943" w:rsidRDefault="002979D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629F9" w14:textId="77777777" w:rsidR="002979D2" w:rsidRDefault="002979D2" w:rsidP="00883874">
      <w:pPr>
        <w:spacing w:after="0" w:line="240" w:lineRule="auto"/>
      </w:pPr>
      <w:r>
        <w:separator/>
      </w:r>
    </w:p>
  </w:footnote>
  <w:footnote w:type="continuationSeparator" w:id="0">
    <w:p w14:paraId="0671A511" w14:textId="77777777" w:rsidR="002979D2" w:rsidRDefault="002979D2" w:rsidP="00883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20C"/>
    <w:multiLevelType w:val="hybridMultilevel"/>
    <w:tmpl w:val="5C640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D38C9"/>
    <w:multiLevelType w:val="hybridMultilevel"/>
    <w:tmpl w:val="BF663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0C2"/>
    <w:multiLevelType w:val="hybridMultilevel"/>
    <w:tmpl w:val="D44AC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E71"/>
    <w:multiLevelType w:val="hybridMultilevel"/>
    <w:tmpl w:val="928EEA5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AE6E2A"/>
    <w:multiLevelType w:val="hybridMultilevel"/>
    <w:tmpl w:val="010EC7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006B7"/>
    <w:multiLevelType w:val="hybridMultilevel"/>
    <w:tmpl w:val="041C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7EAC"/>
    <w:multiLevelType w:val="hybridMultilevel"/>
    <w:tmpl w:val="D1AA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11FC7"/>
    <w:multiLevelType w:val="hybridMultilevel"/>
    <w:tmpl w:val="9300081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E2192F"/>
    <w:multiLevelType w:val="hybridMultilevel"/>
    <w:tmpl w:val="B170C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E5BC9"/>
    <w:multiLevelType w:val="hybridMultilevel"/>
    <w:tmpl w:val="CD746292"/>
    <w:lvl w:ilvl="0" w:tplc="F6524CC4">
      <w:start w:val="1"/>
      <w:numFmt w:val="bullet"/>
      <w:lvlText w:val="•"/>
      <w:lvlJc w:val="left"/>
      <w:pPr>
        <w:tabs>
          <w:tab w:val="num" w:pos="1456"/>
        </w:tabs>
        <w:ind w:left="1456" w:hanging="360"/>
      </w:pPr>
      <w:rPr>
        <w:rFonts w:ascii="Arial" w:hAnsi="Arial" w:hint="default"/>
      </w:rPr>
    </w:lvl>
    <w:lvl w:ilvl="1" w:tplc="823E17FA" w:tentative="1">
      <w:start w:val="1"/>
      <w:numFmt w:val="bullet"/>
      <w:lvlText w:val="•"/>
      <w:lvlJc w:val="left"/>
      <w:pPr>
        <w:tabs>
          <w:tab w:val="num" w:pos="2176"/>
        </w:tabs>
        <w:ind w:left="2176" w:hanging="360"/>
      </w:pPr>
      <w:rPr>
        <w:rFonts w:ascii="Arial" w:hAnsi="Arial" w:hint="default"/>
      </w:rPr>
    </w:lvl>
    <w:lvl w:ilvl="2" w:tplc="2A8CAFA0" w:tentative="1">
      <w:start w:val="1"/>
      <w:numFmt w:val="bullet"/>
      <w:lvlText w:val="•"/>
      <w:lvlJc w:val="left"/>
      <w:pPr>
        <w:tabs>
          <w:tab w:val="num" w:pos="2896"/>
        </w:tabs>
        <w:ind w:left="2896" w:hanging="360"/>
      </w:pPr>
      <w:rPr>
        <w:rFonts w:ascii="Arial" w:hAnsi="Arial" w:hint="default"/>
      </w:rPr>
    </w:lvl>
    <w:lvl w:ilvl="3" w:tplc="40CC597C" w:tentative="1">
      <w:start w:val="1"/>
      <w:numFmt w:val="bullet"/>
      <w:lvlText w:val="•"/>
      <w:lvlJc w:val="left"/>
      <w:pPr>
        <w:tabs>
          <w:tab w:val="num" w:pos="3616"/>
        </w:tabs>
        <w:ind w:left="3616" w:hanging="360"/>
      </w:pPr>
      <w:rPr>
        <w:rFonts w:ascii="Arial" w:hAnsi="Arial" w:hint="default"/>
      </w:rPr>
    </w:lvl>
    <w:lvl w:ilvl="4" w:tplc="4F1653FC" w:tentative="1">
      <w:start w:val="1"/>
      <w:numFmt w:val="bullet"/>
      <w:lvlText w:val="•"/>
      <w:lvlJc w:val="left"/>
      <w:pPr>
        <w:tabs>
          <w:tab w:val="num" w:pos="4336"/>
        </w:tabs>
        <w:ind w:left="4336" w:hanging="360"/>
      </w:pPr>
      <w:rPr>
        <w:rFonts w:ascii="Arial" w:hAnsi="Arial" w:hint="default"/>
      </w:rPr>
    </w:lvl>
    <w:lvl w:ilvl="5" w:tplc="5198BAF6" w:tentative="1">
      <w:start w:val="1"/>
      <w:numFmt w:val="bullet"/>
      <w:lvlText w:val="•"/>
      <w:lvlJc w:val="left"/>
      <w:pPr>
        <w:tabs>
          <w:tab w:val="num" w:pos="5056"/>
        </w:tabs>
        <w:ind w:left="5056" w:hanging="360"/>
      </w:pPr>
      <w:rPr>
        <w:rFonts w:ascii="Arial" w:hAnsi="Arial" w:hint="default"/>
      </w:rPr>
    </w:lvl>
    <w:lvl w:ilvl="6" w:tplc="26F86F7A" w:tentative="1">
      <w:start w:val="1"/>
      <w:numFmt w:val="bullet"/>
      <w:lvlText w:val="•"/>
      <w:lvlJc w:val="left"/>
      <w:pPr>
        <w:tabs>
          <w:tab w:val="num" w:pos="5776"/>
        </w:tabs>
        <w:ind w:left="5776" w:hanging="360"/>
      </w:pPr>
      <w:rPr>
        <w:rFonts w:ascii="Arial" w:hAnsi="Arial" w:hint="default"/>
      </w:rPr>
    </w:lvl>
    <w:lvl w:ilvl="7" w:tplc="21A8AE12" w:tentative="1">
      <w:start w:val="1"/>
      <w:numFmt w:val="bullet"/>
      <w:lvlText w:val="•"/>
      <w:lvlJc w:val="left"/>
      <w:pPr>
        <w:tabs>
          <w:tab w:val="num" w:pos="6496"/>
        </w:tabs>
        <w:ind w:left="6496" w:hanging="360"/>
      </w:pPr>
      <w:rPr>
        <w:rFonts w:ascii="Arial" w:hAnsi="Arial" w:hint="default"/>
      </w:rPr>
    </w:lvl>
    <w:lvl w:ilvl="8" w:tplc="9C46900A" w:tentative="1">
      <w:start w:val="1"/>
      <w:numFmt w:val="bullet"/>
      <w:lvlText w:val="•"/>
      <w:lvlJc w:val="left"/>
      <w:pPr>
        <w:tabs>
          <w:tab w:val="num" w:pos="7216"/>
        </w:tabs>
        <w:ind w:left="7216" w:hanging="360"/>
      </w:pPr>
      <w:rPr>
        <w:rFonts w:ascii="Arial" w:hAnsi="Arial" w:hint="default"/>
      </w:rPr>
    </w:lvl>
  </w:abstractNum>
  <w:abstractNum w:abstractNumId="10" w15:restartNumberingAfterBreak="0">
    <w:nsid w:val="2137783C"/>
    <w:multiLevelType w:val="multilevel"/>
    <w:tmpl w:val="150CD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1393865"/>
    <w:multiLevelType w:val="hybridMultilevel"/>
    <w:tmpl w:val="6BA03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B74B96"/>
    <w:multiLevelType w:val="hybridMultilevel"/>
    <w:tmpl w:val="A8929A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-24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694" w:hanging="432"/>
      </w:pPr>
    </w:lvl>
    <w:lvl w:ilvl="2">
      <w:start w:val="1"/>
      <w:numFmt w:val="decimal"/>
      <w:lvlText w:val="%1.%2.%3."/>
      <w:lvlJc w:val="left"/>
      <w:pPr>
        <w:ind w:left="-1612" w:hanging="504"/>
      </w:pPr>
    </w:lvl>
    <w:lvl w:ilvl="3">
      <w:start w:val="1"/>
      <w:numFmt w:val="decimal"/>
      <w:lvlText w:val="%1.%2.%3.%4."/>
      <w:lvlJc w:val="left"/>
      <w:pPr>
        <w:ind w:left="-1108" w:hanging="648"/>
      </w:pPr>
    </w:lvl>
    <w:lvl w:ilvl="4">
      <w:start w:val="1"/>
      <w:numFmt w:val="decimal"/>
      <w:lvlText w:val="%1.%2.%3.%4.%5."/>
      <w:lvlJc w:val="left"/>
      <w:pPr>
        <w:ind w:left="-604" w:hanging="792"/>
      </w:pPr>
    </w:lvl>
    <w:lvl w:ilvl="5">
      <w:start w:val="1"/>
      <w:numFmt w:val="decimal"/>
      <w:lvlText w:val="%1.%2.%3.%4.%5.%6."/>
      <w:lvlJc w:val="left"/>
      <w:pPr>
        <w:ind w:left="-100" w:hanging="936"/>
      </w:pPr>
    </w:lvl>
    <w:lvl w:ilvl="6">
      <w:start w:val="1"/>
      <w:numFmt w:val="decimal"/>
      <w:lvlText w:val="%1.%2.%3.%4.%5.%6.%7."/>
      <w:lvlJc w:val="left"/>
      <w:pPr>
        <w:ind w:left="404" w:hanging="1080"/>
      </w:pPr>
    </w:lvl>
    <w:lvl w:ilvl="7">
      <w:start w:val="1"/>
      <w:numFmt w:val="decimal"/>
      <w:lvlText w:val="%1.%2.%3.%4.%5.%6.%7.%8."/>
      <w:lvlJc w:val="left"/>
      <w:pPr>
        <w:ind w:left="908" w:hanging="1224"/>
      </w:pPr>
    </w:lvl>
    <w:lvl w:ilvl="8">
      <w:start w:val="1"/>
      <w:numFmt w:val="decimal"/>
      <w:lvlText w:val="%1.%2.%3.%4.%5.%6.%7.%8.%9."/>
      <w:lvlJc w:val="left"/>
      <w:pPr>
        <w:ind w:left="1484" w:hanging="1440"/>
      </w:pPr>
    </w:lvl>
  </w:abstractNum>
  <w:abstractNum w:abstractNumId="14" w15:restartNumberingAfterBreak="0">
    <w:nsid w:val="260F50FC"/>
    <w:multiLevelType w:val="hybridMultilevel"/>
    <w:tmpl w:val="578647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CE1CD0"/>
    <w:multiLevelType w:val="hybridMultilevel"/>
    <w:tmpl w:val="1AF2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3F32"/>
    <w:multiLevelType w:val="multilevel"/>
    <w:tmpl w:val="D3F62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EE454F"/>
    <w:multiLevelType w:val="hybridMultilevel"/>
    <w:tmpl w:val="68D6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94A1A"/>
    <w:multiLevelType w:val="hybridMultilevel"/>
    <w:tmpl w:val="666A8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22786"/>
    <w:multiLevelType w:val="hybridMultilevel"/>
    <w:tmpl w:val="F578A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2B58"/>
    <w:multiLevelType w:val="hybridMultilevel"/>
    <w:tmpl w:val="F188A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4F8A"/>
    <w:multiLevelType w:val="hybridMultilevel"/>
    <w:tmpl w:val="BFBE6E5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76EBB"/>
    <w:multiLevelType w:val="multilevel"/>
    <w:tmpl w:val="244E0C9C"/>
    <w:lvl w:ilvl="0">
      <w:start w:val="1"/>
      <w:numFmt w:val="decimal"/>
      <w:lvlText w:val="%1."/>
      <w:lvlJc w:val="left"/>
      <w:pPr>
        <w:ind w:left="644" w:hanging="644"/>
      </w:pPr>
      <w:rPr>
        <w:rFonts w:ascii="Verdana" w:hAnsi="Verdana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748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10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8" w:hanging="2880"/>
      </w:pPr>
      <w:rPr>
        <w:rFonts w:hint="default"/>
      </w:rPr>
    </w:lvl>
  </w:abstractNum>
  <w:abstractNum w:abstractNumId="23" w15:restartNumberingAfterBreak="0">
    <w:nsid w:val="3FB969CB"/>
    <w:multiLevelType w:val="hybridMultilevel"/>
    <w:tmpl w:val="A8569BB4"/>
    <w:lvl w:ilvl="0" w:tplc="CC6858E2"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color w:val="auto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23BC6"/>
    <w:multiLevelType w:val="hybridMultilevel"/>
    <w:tmpl w:val="CA467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670F3"/>
    <w:multiLevelType w:val="hybridMultilevel"/>
    <w:tmpl w:val="9584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2145B"/>
    <w:multiLevelType w:val="hybridMultilevel"/>
    <w:tmpl w:val="B502B2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3E7C07"/>
    <w:multiLevelType w:val="hybridMultilevel"/>
    <w:tmpl w:val="AE30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B71B7"/>
    <w:multiLevelType w:val="hybridMultilevel"/>
    <w:tmpl w:val="AB2AD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E6918"/>
    <w:multiLevelType w:val="hybridMultilevel"/>
    <w:tmpl w:val="0E149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2C3DBF"/>
    <w:multiLevelType w:val="hybridMultilevel"/>
    <w:tmpl w:val="F914FAC0"/>
    <w:lvl w:ilvl="0" w:tplc="28A815AE">
      <w:start w:val="1"/>
      <w:numFmt w:val="bullet"/>
      <w:lvlText w:val="•"/>
      <w:lvlJc w:val="left"/>
      <w:pPr>
        <w:tabs>
          <w:tab w:val="num" w:pos="462"/>
        </w:tabs>
        <w:ind w:left="462" w:hanging="360"/>
      </w:pPr>
      <w:rPr>
        <w:rFonts w:ascii="Arial" w:hAnsi="Arial" w:hint="default"/>
      </w:rPr>
    </w:lvl>
    <w:lvl w:ilvl="1" w:tplc="1D22F9E6" w:tentative="1">
      <w:start w:val="1"/>
      <w:numFmt w:val="bullet"/>
      <w:lvlText w:val="•"/>
      <w:lvlJc w:val="left"/>
      <w:pPr>
        <w:tabs>
          <w:tab w:val="num" w:pos="1182"/>
        </w:tabs>
        <w:ind w:left="1182" w:hanging="360"/>
      </w:pPr>
      <w:rPr>
        <w:rFonts w:ascii="Arial" w:hAnsi="Arial" w:hint="default"/>
      </w:rPr>
    </w:lvl>
    <w:lvl w:ilvl="2" w:tplc="9E6C37E8" w:tentative="1">
      <w:start w:val="1"/>
      <w:numFmt w:val="bullet"/>
      <w:lvlText w:val="•"/>
      <w:lvlJc w:val="left"/>
      <w:pPr>
        <w:tabs>
          <w:tab w:val="num" w:pos="1902"/>
        </w:tabs>
        <w:ind w:left="1902" w:hanging="360"/>
      </w:pPr>
      <w:rPr>
        <w:rFonts w:ascii="Arial" w:hAnsi="Arial" w:hint="default"/>
      </w:rPr>
    </w:lvl>
    <w:lvl w:ilvl="3" w:tplc="481A7132" w:tentative="1">
      <w:start w:val="1"/>
      <w:numFmt w:val="bullet"/>
      <w:lvlText w:val="•"/>
      <w:lvlJc w:val="left"/>
      <w:pPr>
        <w:tabs>
          <w:tab w:val="num" w:pos="2622"/>
        </w:tabs>
        <w:ind w:left="2622" w:hanging="360"/>
      </w:pPr>
      <w:rPr>
        <w:rFonts w:ascii="Arial" w:hAnsi="Arial" w:hint="default"/>
      </w:rPr>
    </w:lvl>
    <w:lvl w:ilvl="4" w:tplc="2A8E0CAE" w:tentative="1">
      <w:start w:val="1"/>
      <w:numFmt w:val="bullet"/>
      <w:lvlText w:val="•"/>
      <w:lvlJc w:val="left"/>
      <w:pPr>
        <w:tabs>
          <w:tab w:val="num" w:pos="3342"/>
        </w:tabs>
        <w:ind w:left="3342" w:hanging="360"/>
      </w:pPr>
      <w:rPr>
        <w:rFonts w:ascii="Arial" w:hAnsi="Arial" w:hint="default"/>
      </w:rPr>
    </w:lvl>
    <w:lvl w:ilvl="5" w:tplc="F3524752" w:tentative="1">
      <w:start w:val="1"/>
      <w:numFmt w:val="bullet"/>
      <w:lvlText w:val="•"/>
      <w:lvlJc w:val="left"/>
      <w:pPr>
        <w:tabs>
          <w:tab w:val="num" w:pos="4062"/>
        </w:tabs>
        <w:ind w:left="4062" w:hanging="360"/>
      </w:pPr>
      <w:rPr>
        <w:rFonts w:ascii="Arial" w:hAnsi="Arial" w:hint="default"/>
      </w:rPr>
    </w:lvl>
    <w:lvl w:ilvl="6" w:tplc="872635B2" w:tentative="1">
      <w:start w:val="1"/>
      <w:numFmt w:val="bullet"/>
      <w:lvlText w:val="•"/>
      <w:lvlJc w:val="left"/>
      <w:pPr>
        <w:tabs>
          <w:tab w:val="num" w:pos="4782"/>
        </w:tabs>
        <w:ind w:left="4782" w:hanging="360"/>
      </w:pPr>
      <w:rPr>
        <w:rFonts w:ascii="Arial" w:hAnsi="Arial" w:hint="default"/>
      </w:rPr>
    </w:lvl>
    <w:lvl w:ilvl="7" w:tplc="379845A2" w:tentative="1">
      <w:start w:val="1"/>
      <w:numFmt w:val="bullet"/>
      <w:lvlText w:val="•"/>
      <w:lvlJc w:val="left"/>
      <w:pPr>
        <w:tabs>
          <w:tab w:val="num" w:pos="5502"/>
        </w:tabs>
        <w:ind w:left="5502" w:hanging="360"/>
      </w:pPr>
      <w:rPr>
        <w:rFonts w:ascii="Arial" w:hAnsi="Arial" w:hint="default"/>
      </w:rPr>
    </w:lvl>
    <w:lvl w:ilvl="8" w:tplc="CB225368" w:tentative="1">
      <w:start w:val="1"/>
      <w:numFmt w:val="bullet"/>
      <w:lvlText w:val="•"/>
      <w:lvlJc w:val="left"/>
      <w:pPr>
        <w:tabs>
          <w:tab w:val="num" w:pos="6222"/>
        </w:tabs>
        <w:ind w:left="6222" w:hanging="360"/>
      </w:pPr>
      <w:rPr>
        <w:rFonts w:ascii="Arial" w:hAnsi="Arial" w:hint="default"/>
      </w:rPr>
    </w:lvl>
  </w:abstractNum>
  <w:abstractNum w:abstractNumId="31" w15:restartNumberingAfterBreak="0">
    <w:nsid w:val="5B230D56"/>
    <w:multiLevelType w:val="hybridMultilevel"/>
    <w:tmpl w:val="7C32E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A132D"/>
    <w:multiLevelType w:val="hybridMultilevel"/>
    <w:tmpl w:val="44525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206D6E"/>
    <w:multiLevelType w:val="hybridMultilevel"/>
    <w:tmpl w:val="0FA483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CF3855"/>
    <w:multiLevelType w:val="hybridMultilevel"/>
    <w:tmpl w:val="AB8E12A6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5" w15:restartNumberingAfterBreak="0">
    <w:nsid w:val="650406A3"/>
    <w:multiLevelType w:val="hybridMultilevel"/>
    <w:tmpl w:val="7BBE84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F777AA1"/>
    <w:multiLevelType w:val="multilevel"/>
    <w:tmpl w:val="64B263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7" w15:restartNumberingAfterBreak="0">
    <w:nsid w:val="79F15C03"/>
    <w:multiLevelType w:val="hybridMultilevel"/>
    <w:tmpl w:val="3738C9C8"/>
    <w:lvl w:ilvl="0" w:tplc="08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7C3E3567"/>
    <w:multiLevelType w:val="hybridMultilevel"/>
    <w:tmpl w:val="CB30A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400D88"/>
    <w:multiLevelType w:val="hybridMultilevel"/>
    <w:tmpl w:val="BD226596"/>
    <w:lvl w:ilvl="0" w:tplc="CC6858E2"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color w:val="auto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36"/>
  </w:num>
  <w:num w:numId="4">
    <w:abstractNumId w:val="23"/>
  </w:num>
  <w:num w:numId="5">
    <w:abstractNumId w:val="39"/>
  </w:num>
  <w:num w:numId="6">
    <w:abstractNumId w:val="24"/>
  </w:num>
  <w:num w:numId="7">
    <w:abstractNumId w:val="25"/>
  </w:num>
  <w:num w:numId="8">
    <w:abstractNumId w:val="14"/>
  </w:num>
  <w:num w:numId="9">
    <w:abstractNumId w:val="38"/>
  </w:num>
  <w:num w:numId="10">
    <w:abstractNumId w:val="10"/>
  </w:num>
  <w:num w:numId="11">
    <w:abstractNumId w:val="1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5"/>
  </w:num>
  <w:num w:numId="15">
    <w:abstractNumId w:val="5"/>
  </w:num>
  <w:num w:numId="16">
    <w:abstractNumId w:val="27"/>
  </w:num>
  <w:num w:numId="17">
    <w:abstractNumId w:val="12"/>
  </w:num>
  <w:num w:numId="18">
    <w:abstractNumId w:val="7"/>
  </w:num>
  <w:num w:numId="19">
    <w:abstractNumId w:val="11"/>
  </w:num>
  <w:num w:numId="20">
    <w:abstractNumId w:val="33"/>
  </w:num>
  <w:num w:numId="21">
    <w:abstractNumId w:val="28"/>
  </w:num>
  <w:num w:numId="22">
    <w:abstractNumId w:val="20"/>
  </w:num>
  <w:num w:numId="23">
    <w:abstractNumId w:val="34"/>
  </w:num>
  <w:num w:numId="24">
    <w:abstractNumId w:val="21"/>
  </w:num>
  <w:num w:numId="25">
    <w:abstractNumId w:val="1"/>
  </w:num>
  <w:num w:numId="26">
    <w:abstractNumId w:val="31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</w:num>
  <w:num w:numId="31">
    <w:abstractNumId w:val="26"/>
  </w:num>
  <w:num w:numId="32">
    <w:abstractNumId w:val="4"/>
  </w:num>
  <w:num w:numId="33">
    <w:abstractNumId w:val="29"/>
  </w:num>
  <w:num w:numId="34">
    <w:abstractNumId w:val="8"/>
  </w:num>
  <w:num w:numId="35">
    <w:abstractNumId w:val="30"/>
  </w:num>
  <w:num w:numId="36">
    <w:abstractNumId w:val="22"/>
  </w:num>
  <w:num w:numId="37">
    <w:abstractNumId w:val="9"/>
  </w:num>
  <w:num w:numId="38">
    <w:abstractNumId w:val="3"/>
  </w:num>
  <w:num w:numId="39">
    <w:abstractNumId w:val="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DC"/>
    <w:rsid w:val="00002EC7"/>
    <w:rsid w:val="00010340"/>
    <w:rsid w:val="00012F7D"/>
    <w:rsid w:val="0001437C"/>
    <w:rsid w:val="00015D94"/>
    <w:rsid w:val="00024EEF"/>
    <w:rsid w:val="00030B87"/>
    <w:rsid w:val="00034A5E"/>
    <w:rsid w:val="00043F5F"/>
    <w:rsid w:val="0006136C"/>
    <w:rsid w:val="00061482"/>
    <w:rsid w:val="0006229F"/>
    <w:rsid w:val="00062C6C"/>
    <w:rsid w:val="00067A1B"/>
    <w:rsid w:val="00074FCD"/>
    <w:rsid w:val="00090062"/>
    <w:rsid w:val="00092926"/>
    <w:rsid w:val="000A2ADC"/>
    <w:rsid w:val="000A3A02"/>
    <w:rsid w:val="000A481C"/>
    <w:rsid w:val="000A7F62"/>
    <w:rsid w:val="000B5FBA"/>
    <w:rsid w:val="000C01E1"/>
    <w:rsid w:val="000C54A5"/>
    <w:rsid w:val="000D4080"/>
    <w:rsid w:val="000D5FC9"/>
    <w:rsid w:val="000E133C"/>
    <w:rsid w:val="000E6FBA"/>
    <w:rsid w:val="000F1B97"/>
    <w:rsid w:val="000F437D"/>
    <w:rsid w:val="001022E6"/>
    <w:rsid w:val="00112660"/>
    <w:rsid w:val="001169B1"/>
    <w:rsid w:val="001215CD"/>
    <w:rsid w:val="00131B5B"/>
    <w:rsid w:val="00133ECB"/>
    <w:rsid w:val="00140A18"/>
    <w:rsid w:val="001412CC"/>
    <w:rsid w:val="0014555C"/>
    <w:rsid w:val="001512F4"/>
    <w:rsid w:val="001514DA"/>
    <w:rsid w:val="00163E3F"/>
    <w:rsid w:val="001713E7"/>
    <w:rsid w:val="0018210B"/>
    <w:rsid w:val="00182FDB"/>
    <w:rsid w:val="00192BDB"/>
    <w:rsid w:val="00193D10"/>
    <w:rsid w:val="001940CF"/>
    <w:rsid w:val="00195414"/>
    <w:rsid w:val="001A3709"/>
    <w:rsid w:val="001B2E64"/>
    <w:rsid w:val="001C6453"/>
    <w:rsid w:val="001C653D"/>
    <w:rsid w:val="001D0C20"/>
    <w:rsid w:val="001D21C1"/>
    <w:rsid w:val="001D42F7"/>
    <w:rsid w:val="001E3617"/>
    <w:rsid w:val="001F20B4"/>
    <w:rsid w:val="001F2BC9"/>
    <w:rsid w:val="001F5B52"/>
    <w:rsid w:val="00202024"/>
    <w:rsid w:val="00204E18"/>
    <w:rsid w:val="00205621"/>
    <w:rsid w:val="00207D56"/>
    <w:rsid w:val="00210AF6"/>
    <w:rsid w:val="0022554B"/>
    <w:rsid w:val="00230668"/>
    <w:rsid w:val="00237D70"/>
    <w:rsid w:val="002404B7"/>
    <w:rsid w:val="0025245F"/>
    <w:rsid w:val="00255512"/>
    <w:rsid w:val="00256C55"/>
    <w:rsid w:val="00257D7D"/>
    <w:rsid w:val="0027692B"/>
    <w:rsid w:val="00285851"/>
    <w:rsid w:val="0028588C"/>
    <w:rsid w:val="00290FCB"/>
    <w:rsid w:val="00291A04"/>
    <w:rsid w:val="00294380"/>
    <w:rsid w:val="002979D2"/>
    <w:rsid w:val="002A16EC"/>
    <w:rsid w:val="002A7826"/>
    <w:rsid w:val="002B2758"/>
    <w:rsid w:val="002D34FE"/>
    <w:rsid w:val="002E04D2"/>
    <w:rsid w:val="002F2144"/>
    <w:rsid w:val="002F73A7"/>
    <w:rsid w:val="003050AA"/>
    <w:rsid w:val="0031165E"/>
    <w:rsid w:val="0031273C"/>
    <w:rsid w:val="003151EF"/>
    <w:rsid w:val="00320664"/>
    <w:rsid w:val="00324467"/>
    <w:rsid w:val="00333C86"/>
    <w:rsid w:val="00335ECD"/>
    <w:rsid w:val="00337323"/>
    <w:rsid w:val="00346DCD"/>
    <w:rsid w:val="00353A24"/>
    <w:rsid w:val="003605E0"/>
    <w:rsid w:val="00361C53"/>
    <w:rsid w:val="00364FC4"/>
    <w:rsid w:val="00365579"/>
    <w:rsid w:val="00375E68"/>
    <w:rsid w:val="003836F4"/>
    <w:rsid w:val="003900F1"/>
    <w:rsid w:val="0039133A"/>
    <w:rsid w:val="003916BB"/>
    <w:rsid w:val="00397A03"/>
    <w:rsid w:val="003B108D"/>
    <w:rsid w:val="003B6E77"/>
    <w:rsid w:val="003D446B"/>
    <w:rsid w:val="003D6FBB"/>
    <w:rsid w:val="003D7111"/>
    <w:rsid w:val="003F6142"/>
    <w:rsid w:val="00402FE9"/>
    <w:rsid w:val="00410723"/>
    <w:rsid w:val="00416226"/>
    <w:rsid w:val="00417A0C"/>
    <w:rsid w:val="00417C5D"/>
    <w:rsid w:val="00430F51"/>
    <w:rsid w:val="004321BE"/>
    <w:rsid w:val="004338CF"/>
    <w:rsid w:val="004558DE"/>
    <w:rsid w:val="00457072"/>
    <w:rsid w:val="00461DD4"/>
    <w:rsid w:val="004636D9"/>
    <w:rsid w:val="00483D54"/>
    <w:rsid w:val="00485D40"/>
    <w:rsid w:val="00486BA3"/>
    <w:rsid w:val="004930D1"/>
    <w:rsid w:val="004A0298"/>
    <w:rsid w:val="004A6031"/>
    <w:rsid w:val="004C092E"/>
    <w:rsid w:val="004C287E"/>
    <w:rsid w:val="004C2ED6"/>
    <w:rsid w:val="004D0171"/>
    <w:rsid w:val="004D755A"/>
    <w:rsid w:val="004E711E"/>
    <w:rsid w:val="004F01A3"/>
    <w:rsid w:val="004F0DD4"/>
    <w:rsid w:val="004F16B9"/>
    <w:rsid w:val="004F3B9C"/>
    <w:rsid w:val="004F5C87"/>
    <w:rsid w:val="00502636"/>
    <w:rsid w:val="00507A5F"/>
    <w:rsid w:val="00511DA0"/>
    <w:rsid w:val="00511DFF"/>
    <w:rsid w:val="00514C62"/>
    <w:rsid w:val="0051605F"/>
    <w:rsid w:val="00520036"/>
    <w:rsid w:val="005335E0"/>
    <w:rsid w:val="005354D1"/>
    <w:rsid w:val="00535AC9"/>
    <w:rsid w:val="0053658C"/>
    <w:rsid w:val="00537F12"/>
    <w:rsid w:val="00547503"/>
    <w:rsid w:val="00547F0E"/>
    <w:rsid w:val="00553733"/>
    <w:rsid w:val="005626B6"/>
    <w:rsid w:val="005756FE"/>
    <w:rsid w:val="0057789B"/>
    <w:rsid w:val="0058012C"/>
    <w:rsid w:val="005817E7"/>
    <w:rsid w:val="00581D5F"/>
    <w:rsid w:val="00587F86"/>
    <w:rsid w:val="00590C4F"/>
    <w:rsid w:val="0059283F"/>
    <w:rsid w:val="005B39FA"/>
    <w:rsid w:val="005B72D4"/>
    <w:rsid w:val="005C3EE6"/>
    <w:rsid w:val="005D3332"/>
    <w:rsid w:val="005D33F8"/>
    <w:rsid w:val="005D3761"/>
    <w:rsid w:val="005D3867"/>
    <w:rsid w:val="005E3042"/>
    <w:rsid w:val="005E7A73"/>
    <w:rsid w:val="005E7AA3"/>
    <w:rsid w:val="005F3065"/>
    <w:rsid w:val="005F310A"/>
    <w:rsid w:val="005F532F"/>
    <w:rsid w:val="005F60CE"/>
    <w:rsid w:val="00604806"/>
    <w:rsid w:val="00611362"/>
    <w:rsid w:val="006160DD"/>
    <w:rsid w:val="00617233"/>
    <w:rsid w:val="006200A3"/>
    <w:rsid w:val="00622A69"/>
    <w:rsid w:val="006238B6"/>
    <w:rsid w:val="0062390B"/>
    <w:rsid w:val="00626673"/>
    <w:rsid w:val="00630179"/>
    <w:rsid w:val="00634AD3"/>
    <w:rsid w:val="00667684"/>
    <w:rsid w:val="00667BA4"/>
    <w:rsid w:val="00681512"/>
    <w:rsid w:val="00685E8F"/>
    <w:rsid w:val="006906A3"/>
    <w:rsid w:val="00691FAA"/>
    <w:rsid w:val="006A0F06"/>
    <w:rsid w:val="006B11B7"/>
    <w:rsid w:val="006B680F"/>
    <w:rsid w:val="006C263E"/>
    <w:rsid w:val="006D15F6"/>
    <w:rsid w:val="006D2607"/>
    <w:rsid w:val="006D3080"/>
    <w:rsid w:val="006D5913"/>
    <w:rsid w:val="006D6B8B"/>
    <w:rsid w:val="006E27A5"/>
    <w:rsid w:val="006E4369"/>
    <w:rsid w:val="0070223B"/>
    <w:rsid w:val="007043FC"/>
    <w:rsid w:val="0070756E"/>
    <w:rsid w:val="00712B2D"/>
    <w:rsid w:val="0071696B"/>
    <w:rsid w:val="00717924"/>
    <w:rsid w:val="0072442A"/>
    <w:rsid w:val="00727DF9"/>
    <w:rsid w:val="007349D4"/>
    <w:rsid w:val="00734CA8"/>
    <w:rsid w:val="007467ED"/>
    <w:rsid w:val="00750995"/>
    <w:rsid w:val="00750D3B"/>
    <w:rsid w:val="00750FAB"/>
    <w:rsid w:val="0075301D"/>
    <w:rsid w:val="00771D91"/>
    <w:rsid w:val="00773B66"/>
    <w:rsid w:val="00790677"/>
    <w:rsid w:val="00790BDE"/>
    <w:rsid w:val="00794AC9"/>
    <w:rsid w:val="00796A68"/>
    <w:rsid w:val="007A1E11"/>
    <w:rsid w:val="007B0843"/>
    <w:rsid w:val="007B6787"/>
    <w:rsid w:val="007E37E4"/>
    <w:rsid w:val="007E6B7D"/>
    <w:rsid w:val="007F611C"/>
    <w:rsid w:val="00801F6B"/>
    <w:rsid w:val="00802B45"/>
    <w:rsid w:val="00815685"/>
    <w:rsid w:val="00822A13"/>
    <w:rsid w:val="008246C9"/>
    <w:rsid w:val="00834652"/>
    <w:rsid w:val="00853B38"/>
    <w:rsid w:val="00854D09"/>
    <w:rsid w:val="00865434"/>
    <w:rsid w:val="0087289E"/>
    <w:rsid w:val="00881990"/>
    <w:rsid w:val="00883874"/>
    <w:rsid w:val="00890ADD"/>
    <w:rsid w:val="008A03C4"/>
    <w:rsid w:val="008A5834"/>
    <w:rsid w:val="008B6E28"/>
    <w:rsid w:val="008C169E"/>
    <w:rsid w:val="008F4B50"/>
    <w:rsid w:val="0090266B"/>
    <w:rsid w:val="009049BE"/>
    <w:rsid w:val="00906C37"/>
    <w:rsid w:val="00922795"/>
    <w:rsid w:val="00927479"/>
    <w:rsid w:val="009333C0"/>
    <w:rsid w:val="0093450E"/>
    <w:rsid w:val="00934F69"/>
    <w:rsid w:val="00936001"/>
    <w:rsid w:val="0094079D"/>
    <w:rsid w:val="00963FCB"/>
    <w:rsid w:val="00976AA0"/>
    <w:rsid w:val="00976D14"/>
    <w:rsid w:val="009860B0"/>
    <w:rsid w:val="00993A19"/>
    <w:rsid w:val="0099761C"/>
    <w:rsid w:val="00997FF2"/>
    <w:rsid w:val="009A0D9C"/>
    <w:rsid w:val="009A17DE"/>
    <w:rsid w:val="009A35BA"/>
    <w:rsid w:val="009B76A0"/>
    <w:rsid w:val="009C39A4"/>
    <w:rsid w:val="009C3E85"/>
    <w:rsid w:val="009C43A1"/>
    <w:rsid w:val="009D1EBC"/>
    <w:rsid w:val="009F1168"/>
    <w:rsid w:val="00A040EA"/>
    <w:rsid w:val="00A143DA"/>
    <w:rsid w:val="00A16987"/>
    <w:rsid w:val="00A22060"/>
    <w:rsid w:val="00A230E0"/>
    <w:rsid w:val="00A30C6F"/>
    <w:rsid w:val="00A34923"/>
    <w:rsid w:val="00A36478"/>
    <w:rsid w:val="00A45D40"/>
    <w:rsid w:val="00A470E5"/>
    <w:rsid w:val="00A476DA"/>
    <w:rsid w:val="00A52374"/>
    <w:rsid w:val="00A54749"/>
    <w:rsid w:val="00A55EE3"/>
    <w:rsid w:val="00A566A9"/>
    <w:rsid w:val="00A6394D"/>
    <w:rsid w:val="00A64BA7"/>
    <w:rsid w:val="00A65C16"/>
    <w:rsid w:val="00A71841"/>
    <w:rsid w:val="00AA223C"/>
    <w:rsid w:val="00AB2BD9"/>
    <w:rsid w:val="00AC02C5"/>
    <w:rsid w:val="00AC4269"/>
    <w:rsid w:val="00AE40A7"/>
    <w:rsid w:val="00AF44B0"/>
    <w:rsid w:val="00AF5626"/>
    <w:rsid w:val="00AF7919"/>
    <w:rsid w:val="00B04DD6"/>
    <w:rsid w:val="00B052A7"/>
    <w:rsid w:val="00B3301C"/>
    <w:rsid w:val="00B34F65"/>
    <w:rsid w:val="00B427A3"/>
    <w:rsid w:val="00B429C9"/>
    <w:rsid w:val="00B464DE"/>
    <w:rsid w:val="00B577F0"/>
    <w:rsid w:val="00B62943"/>
    <w:rsid w:val="00B6467E"/>
    <w:rsid w:val="00B70103"/>
    <w:rsid w:val="00B70849"/>
    <w:rsid w:val="00B7225F"/>
    <w:rsid w:val="00B72CFD"/>
    <w:rsid w:val="00B73677"/>
    <w:rsid w:val="00B76C04"/>
    <w:rsid w:val="00B92B15"/>
    <w:rsid w:val="00B931D2"/>
    <w:rsid w:val="00B95067"/>
    <w:rsid w:val="00BA1C8A"/>
    <w:rsid w:val="00BA310B"/>
    <w:rsid w:val="00BA784F"/>
    <w:rsid w:val="00BB799B"/>
    <w:rsid w:val="00BC3E9E"/>
    <w:rsid w:val="00BE2FB3"/>
    <w:rsid w:val="00BE5F9E"/>
    <w:rsid w:val="00BE6A0D"/>
    <w:rsid w:val="00BE70B5"/>
    <w:rsid w:val="00C14AA2"/>
    <w:rsid w:val="00C20909"/>
    <w:rsid w:val="00C220C7"/>
    <w:rsid w:val="00C32013"/>
    <w:rsid w:val="00C330C4"/>
    <w:rsid w:val="00C33C0F"/>
    <w:rsid w:val="00C34119"/>
    <w:rsid w:val="00C42B0F"/>
    <w:rsid w:val="00C53158"/>
    <w:rsid w:val="00C54F63"/>
    <w:rsid w:val="00C75D84"/>
    <w:rsid w:val="00C75FBA"/>
    <w:rsid w:val="00C777BC"/>
    <w:rsid w:val="00C81325"/>
    <w:rsid w:val="00C818B9"/>
    <w:rsid w:val="00C944BA"/>
    <w:rsid w:val="00C955ED"/>
    <w:rsid w:val="00C967CA"/>
    <w:rsid w:val="00CA7F12"/>
    <w:rsid w:val="00CB3487"/>
    <w:rsid w:val="00CC1B94"/>
    <w:rsid w:val="00CC518B"/>
    <w:rsid w:val="00CD03E6"/>
    <w:rsid w:val="00CD317C"/>
    <w:rsid w:val="00CE741E"/>
    <w:rsid w:val="00CE74BD"/>
    <w:rsid w:val="00CF311D"/>
    <w:rsid w:val="00D033CD"/>
    <w:rsid w:val="00D13160"/>
    <w:rsid w:val="00D22FCA"/>
    <w:rsid w:val="00D24212"/>
    <w:rsid w:val="00D274F8"/>
    <w:rsid w:val="00D308EB"/>
    <w:rsid w:val="00D31A61"/>
    <w:rsid w:val="00D407ED"/>
    <w:rsid w:val="00D41F6F"/>
    <w:rsid w:val="00D50584"/>
    <w:rsid w:val="00D53884"/>
    <w:rsid w:val="00D564E5"/>
    <w:rsid w:val="00D6261F"/>
    <w:rsid w:val="00D7492D"/>
    <w:rsid w:val="00D823E5"/>
    <w:rsid w:val="00D85ACA"/>
    <w:rsid w:val="00D93551"/>
    <w:rsid w:val="00D93D22"/>
    <w:rsid w:val="00DA20DB"/>
    <w:rsid w:val="00DA25D9"/>
    <w:rsid w:val="00DA512C"/>
    <w:rsid w:val="00DA575D"/>
    <w:rsid w:val="00DA58EC"/>
    <w:rsid w:val="00DB0561"/>
    <w:rsid w:val="00DB0691"/>
    <w:rsid w:val="00DB087C"/>
    <w:rsid w:val="00DB128B"/>
    <w:rsid w:val="00DB33E9"/>
    <w:rsid w:val="00DB3FD7"/>
    <w:rsid w:val="00DC148B"/>
    <w:rsid w:val="00DC30EB"/>
    <w:rsid w:val="00DC3661"/>
    <w:rsid w:val="00DD3A3A"/>
    <w:rsid w:val="00DE2CCA"/>
    <w:rsid w:val="00DF10E8"/>
    <w:rsid w:val="00DF4B7F"/>
    <w:rsid w:val="00E02403"/>
    <w:rsid w:val="00E04656"/>
    <w:rsid w:val="00E263B1"/>
    <w:rsid w:val="00E400BF"/>
    <w:rsid w:val="00E40CB2"/>
    <w:rsid w:val="00E474E5"/>
    <w:rsid w:val="00E51505"/>
    <w:rsid w:val="00E55BFA"/>
    <w:rsid w:val="00E625FA"/>
    <w:rsid w:val="00E74B5D"/>
    <w:rsid w:val="00E75F82"/>
    <w:rsid w:val="00E810ED"/>
    <w:rsid w:val="00E815F3"/>
    <w:rsid w:val="00E82713"/>
    <w:rsid w:val="00E83B63"/>
    <w:rsid w:val="00E8639B"/>
    <w:rsid w:val="00E90C21"/>
    <w:rsid w:val="00E91292"/>
    <w:rsid w:val="00EA4E4C"/>
    <w:rsid w:val="00EB4230"/>
    <w:rsid w:val="00EB6254"/>
    <w:rsid w:val="00EB6910"/>
    <w:rsid w:val="00EC1619"/>
    <w:rsid w:val="00EC5764"/>
    <w:rsid w:val="00EC58CE"/>
    <w:rsid w:val="00EC7C84"/>
    <w:rsid w:val="00ED08AE"/>
    <w:rsid w:val="00ED2B2D"/>
    <w:rsid w:val="00EE4297"/>
    <w:rsid w:val="00EF1DBA"/>
    <w:rsid w:val="00EF22C7"/>
    <w:rsid w:val="00EF277F"/>
    <w:rsid w:val="00F00B6F"/>
    <w:rsid w:val="00F00B7B"/>
    <w:rsid w:val="00F20AA2"/>
    <w:rsid w:val="00F231D8"/>
    <w:rsid w:val="00F239DF"/>
    <w:rsid w:val="00F26DDE"/>
    <w:rsid w:val="00F46284"/>
    <w:rsid w:val="00F520F6"/>
    <w:rsid w:val="00F53092"/>
    <w:rsid w:val="00F53BD1"/>
    <w:rsid w:val="00F77723"/>
    <w:rsid w:val="00F77A78"/>
    <w:rsid w:val="00F9166C"/>
    <w:rsid w:val="00F91914"/>
    <w:rsid w:val="00F928A1"/>
    <w:rsid w:val="00F929E2"/>
    <w:rsid w:val="00F95312"/>
    <w:rsid w:val="00FA09FB"/>
    <w:rsid w:val="00FB0F79"/>
    <w:rsid w:val="00FB51D5"/>
    <w:rsid w:val="00FD11C0"/>
    <w:rsid w:val="00FD2443"/>
    <w:rsid w:val="00FE66B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0E51"/>
  <w15:chartTrackingRefBased/>
  <w15:docId w15:val="{34A044EC-3B55-4E1A-A1FE-5EE74969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0B"/>
  </w:style>
  <w:style w:type="paragraph" w:styleId="Heading1">
    <w:name w:val="heading 1"/>
    <w:basedOn w:val="Normal"/>
    <w:next w:val="Normal"/>
    <w:link w:val="Heading1Char"/>
    <w:qFormat/>
    <w:rsid w:val="00210AF6"/>
    <w:pPr>
      <w:keepNext/>
      <w:widowControl w:val="0"/>
      <w:tabs>
        <w:tab w:val="left" w:pos="-374"/>
      </w:tabs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2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DC"/>
  </w:style>
  <w:style w:type="character" w:styleId="PageNumber">
    <w:name w:val="page number"/>
    <w:basedOn w:val="DefaultParagraphFont"/>
    <w:rsid w:val="000A2ADC"/>
  </w:style>
  <w:style w:type="table" w:customStyle="1" w:styleId="TableGrid4">
    <w:name w:val="Table Grid4"/>
    <w:basedOn w:val="TableNormal"/>
    <w:next w:val="TableGrid"/>
    <w:uiPriority w:val="59"/>
    <w:rsid w:val="000A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A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74"/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列出段落"/>
    <w:basedOn w:val="Normal"/>
    <w:link w:val="ListParagraphChar"/>
    <w:uiPriority w:val="34"/>
    <w:qFormat/>
    <w:rsid w:val="00210A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210AF6"/>
    <w:rPr>
      <w:rFonts w:ascii="Verdana" w:eastAsia="Times New Roman" w:hAnsi="Verdana" w:cs="Times New Roman"/>
      <w:b/>
      <w:bCs/>
      <w:sz w:val="24"/>
      <w:szCs w:val="24"/>
    </w:rPr>
  </w:style>
  <w:style w:type="paragraph" w:customStyle="1" w:styleId="null">
    <w:name w:val="null"/>
    <w:basedOn w:val="Normal"/>
    <w:rsid w:val="00210A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ull1">
    <w:name w:val="null1"/>
    <w:basedOn w:val="DefaultParagraphFont"/>
    <w:rsid w:val="00210AF6"/>
  </w:style>
  <w:style w:type="character" w:styleId="Hyperlink">
    <w:name w:val="Hyperlink"/>
    <w:basedOn w:val="DefaultParagraphFont"/>
    <w:uiPriority w:val="99"/>
    <w:unhideWhenUsed/>
    <w:rsid w:val="00210AF6"/>
    <w:rPr>
      <w:color w:val="0000FF" w:themeColor="hyperlink"/>
      <w:u w:val="single"/>
    </w:rPr>
  </w:style>
  <w:style w:type="paragraph" w:customStyle="1" w:styleId="Default">
    <w:name w:val="Default"/>
    <w:rsid w:val="00F5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4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3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680F"/>
    <w:pPr>
      <w:spacing w:after="0" w:line="240" w:lineRule="auto"/>
    </w:p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"/>
    <w:basedOn w:val="DefaultParagraphFont"/>
    <w:link w:val="ListParagraph"/>
    <w:uiPriority w:val="34"/>
    <w:qFormat/>
    <w:locked/>
    <w:rsid w:val="00865434"/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9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3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8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17E5D2C7864C97BA82E637C6FB9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5C35-8486-4E89-966B-6274447BB73F}"/>
      </w:docPartPr>
      <w:docPartBody>
        <w:p w:rsidR="007E6B5B" w:rsidRDefault="0063685B" w:rsidP="0063685B">
          <w:pPr>
            <w:pStyle w:val="0017E5D2C7864C97BA82E637C6FB9B24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5B"/>
    <w:rsid w:val="00002D7C"/>
    <w:rsid w:val="00002F83"/>
    <w:rsid w:val="000D60A8"/>
    <w:rsid w:val="00106685"/>
    <w:rsid w:val="00124C6C"/>
    <w:rsid w:val="00151E5B"/>
    <w:rsid w:val="001A0E3D"/>
    <w:rsid w:val="00264BAC"/>
    <w:rsid w:val="002E4BEF"/>
    <w:rsid w:val="002F595B"/>
    <w:rsid w:val="00346DF5"/>
    <w:rsid w:val="003D4E3F"/>
    <w:rsid w:val="00451F3B"/>
    <w:rsid w:val="00467600"/>
    <w:rsid w:val="005302BB"/>
    <w:rsid w:val="00551E01"/>
    <w:rsid w:val="00556F21"/>
    <w:rsid w:val="00581EE8"/>
    <w:rsid w:val="00603346"/>
    <w:rsid w:val="0062439D"/>
    <w:rsid w:val="0063685B"/>
    <w:rsid w:val="00644756"/>
    <w:rsid w:val="006457A6"/>
    <w:rsid w:val="006B122F"/>
    <w:rsid w:val="00700519"/>
    <w:rsid w:val="007D5800"/>
    <w:rsid w:val="007E6B5B"/>
    <w:rsid w:val="008120FB"/>
    <w:rsid w:val="00844E9F"/>
    <w:rsid w:val="008841D2"/>
    <w:rsid w:val="008A5D4D"/>
    <w:rsid w:val="008C1415"/>
    <w:rsid w:val="008E053C"/>
    <w:rsid w:val="008F743D"/>
    <w:rsid w:val="009535C1"/>
    <w:rsid w:val="0096219B"/>
    <w:rsid w:val="009904CA"/>
    <w:rsid w:val="00993E1D"/>
    <w:rsid w:val="00A07161"/>
    <w:rsid w:val="00A5105B"/>
    <w:rsid w:val="00A61E6B"/>
    <w:rsid w:val="00B07367"/>
    <w:rsid w:val="00B5508D"/>
    <w:rsid w:val="00C30797"/>
    <w:rsid w:val="00C561EE"/>
    <w:rsid w:val="00C6157D"/>
    <w:rsid w:val="00D45707"/>
    <w:rsid w:val="00DA38D4"/>
    <w:rsid w:val="00E16C15"/>
    <w:rsid w:val="00E65900"/>
    <w:rsid w:val="00E82EDE"/>
    <w:rsid w:val="00EB7738"/>
    <w:rsid w:val="00EC1654"/>
    <w:rsid w:val="00ED6836"/>
    <w:rsid w:val="00F11ED9"/>
    <w:rsid w:val="00F23426"/>
    <w:rsid w:val="00F96931"/>
    <w:rsid w:val="00FC24AB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85B"/>
    <w:rPr>
      <w:color w:val="808080"/>
    </w:rPr>
  </w:style>
  <w:style w:type="paragraph" w:customStyle="1" w:styleId="0017E5D2C7864C97BA82E637C6FB9B24">
    <w:name w:val="0017E5D2C7864C97BA82E637C6FB9B24"/>
    <w:rsid w:val="0063685B"/>
  </w:style>
  <w:style w:type="paragraph" w:customStyle="1" w:styleId="D178AE7801394721A436DF684BE50CBB">
    <w:name w:val="D178AE7801394721A436DF684BE50CBB"/>
    <w:rsid w:val="0063685B"/>
  </w:style>
  <w:style w:type="paragraph" w:customStyle="1" w:styleId="FE97394D53524DD7833A54A90B84E4E7">
    <w:name w:val="FE97394D53524DD7833A54A90B84E4E7"/>
    <w:rsid w:val="00636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62E6E60497C4680C5AB25B02F4E10" ma:contentTypeVersion="4" ma:contentTypeDescription="Create a new document." ma:contentTypeScope="" ma:versionID="4014e19c38200eeeeb3717f38defa6ae">
  <xsd:schema xmlns:xsd="http://www.w3.org/2001/XMLSchema" xmlns:xs="http://www.w3.org/2001/XMLSchema" xmlns:p="http://schemas.microsoft.com/office/2006/metadata/properties" xmlns:ns3="c9a6731c-53d6-464c-b253-c810b90fd6a8" targetNamespace="http://schemas.microsoft.com/office/2006/metadata/properties" ma:root="true" ma:fieldsID="7d4280e0d54e8983bf6a74d3d7b5a152" ns3:_="">
    <xsd:import namespace="c9a6731c-53d6-464c-b253-c810b90fd6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6731c-53d6-464c-b253-c810b90fd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0A2A-FB17-4B84-813C-0D66B843F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6731c-53d6-464c-b253-c810b90f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F448-8F2B-4BBA-8A65-A566D8C2B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AD85A-CE4B-4163-9608-0A3A0216288E}">
  <ds:schemaRefs>
    <ds:schemaRef ds:uri="http://schemas.microsoft.com/office/2006/metadata/properties"/>
    <ds:schemaRef ds:uri="http://purl.org/dc/elements/1.1/"/>
    <ds:schemaRef ds:uri="c9a6731c-53d6-464c-b253-c810b90fd6a8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E3A80A-5C57-49B7-9AC6-96739CD0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10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Francis</dc:creator>
  <cp:keywords/>
  <dc:description/>
  <cp:lastModifiedBy>Helen Bushell (Public Health Wales - No. 2 Capital Quarter)</cp:lastModifiedBy>
  <cp:revision>15</cp:revision>
  <cp:lastPrinted>2020-03-24T14:09:00Z</cp:lastPrinted>
  <dcterms:created xsi:type="dcterms:W3CDTF">2021-03-09T08:05:00Z</dcterms:created>
  <dcterms:modified xsi:type="dcterms:W3CDTF">2021-03-19T16:33:00Z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0x010100FE862E6E60497C4680C5AB25B02F4E10</vt:lpwstr>
  </property>
</Properties>
</file>