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4"/>
        <w:tblW w:w="9026" w:type="dxa"/>
        <w:tblInd w:w="-5" w:type="dxa"/>
        <w:tblLook w:val="04A0" w:firstRow="1" w:lastRow="0" w:firstColumn="1" w:lastColumn="0" w:noHBand="0" w:noVBand="1"/>
      </w:tblPr>
      <w:tblGrid>
        <w:gridCol w:w="2707"/>
        <w:gridCol w:w="80"/>
        <w:gridCol w:w="1231"/>
        <w:gridCol w:w="430"/>
        <w:gridCol w:w="1506"/>
        <w:gridCol w:w="306"/>
        <w:gridCol w:w="1051"/>
        <w:gridCol w:w="1715"/>
      </w:tblGrid>
      <w:tr w:rsidR="000A2ADC" w:rsidRPr="00AC7380" w:rsidTr="009B0876">
        <w:tc>
          <w:tcPr>
            <w:tcW w:w="5848" w:type="dxa"/>
            <w:gridSpan w:val="5"/>
            <w:vMerge w:val="restart"/>
          </w:tcPr>
          <w:p w:rsidR="000A2ADC" w:rsidRPr="00AC7380" w:rsidRDefault="000A2ADC" w:rsidP="007344C2">
            <w:pPr>
              <w:rPr>
                <w:rFonts w:ascii="Verdana" w:hAnsi="Verdana"/>
                <w:sz w:val="24"/>
              </w:rPr>
            </w:pPr>
            <w:r w:rsidRPr="00AC7380">
              <w:rPr>
                <w:rFonts w:ascii="Verdana" w:hAnsi="Verdana"/>
                <w:b/>
                <w:noProof/>
                <w:sz w:val="24"/>
                <w:lang w:eastAsia="en-GB"/>
              </w:rPr>
              <w:drawing>
                <wp:inline distT="0" distB="0" distL="0" distR="0" wp14:anchorId="0E91AC36" wp14:editId="05883B42">
                  <wp:extent cx="3122083" cy="734018"/>
                  <wp:effectExtent l="19050" t="0" r="2117" b="0"/>
                  <wp:docPr id="168" name="Picture 1" descr="Compressed Public Health Wa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ressed Public Health Wales logo"/>
                          <pic:cNvPicPr>
                            <a:picLocks noChangeAspect="1" noChangeArrowheads="1"/>
                          </pic:cNvPicPr>
                        </pic:nvPicPr>
                        <pic:blipFill>
                          <a:blip r:embed="rId8" cstate="print"/>
                          <a:srcRect/>
                          <a:stretch>
                            <a:fillRect/>
                          </a:stretch>
                        </pic:blipFill>
                        <pic:spPr bwMode="auto">
                          <a:xfrm>
                            <a:off x="0" y="0"/>
                            <a:ext cx="3125503" cy="734822"/>
                          </a:xfrm>
                          <a:prstGeom prst="rect">
                            <a:avLst/>
                          </a:prstGeom>
                          <a:noFill/>
                          <a:ln w="9525">
                            <a:noFill/>
                            <a:miter lim="800000"/>
                            <a:headEnd/>
                            <a:tailEnd/>
                          </a:ln>
                        </pic:spPr>
                      </pic:pic>
                    </a:graphicData>
                  </a:graphic>
                </wp:inline>
              </w:drawing>
            </w:r>
          </w:p>
        </w:tc>
        <w:tc>
          <w:tcPr>
            <w:tcW w:w="3178" w:type="dxa"/>
            <w:gridSpan w:val="3"/>
            <w:tcBorders>
              <w:bottom w:val="nil"/>
            </w:tcBorders>
          </w:tcPr>
          <w:p w:rsidR="000A2ADC" w:rsidRPr="00AC7380" w:rsidRDefault="000A2ADC" w:rsidP="007344C2">
            <w:pPr>
              <w:jc w:val="right"/>
              <w:rPr>
                <w:rFonts w:ascii="Verdana" w:hAnsi="Verdana"/>
                <w:b/>
                <w:sz w:val="24"/>
                <w:szCs w:val="24"/>
              </w:rPr>
            </w:pPr>
            <w:r w:rsidRPr="00AC7380">
              <w:rPr>
                <w:rFonts w:ascii="Verdana" w:hAnsi="Verdana"/>
                <w:b/>
                <w:sz w:val="24"/>
                <w:szCs w:val="24"/>
              </w:rPr>
              <w:t>Name of Meeting</w:t>
            </w:r>
          </w:p>
          <w:sdt>
            <w:sdtPr>
              <w:rPr>
                <w:rFonts w:ascii="Verdana" w:hAnsi="Verdana"/>
                <w:b/>
                <w:szCs w:val="24"/>
              </w:rPr>
              <w:alias w:val="Name of meeting"/>
              <w:tag w:val="Name of meeting"/>
              <w:id w:val="1886526"/>
              <w:placeholder>
                <w:docPart w:val="0017E5D2C7864C97BA82E637C6FB9B24"/>
              </w:placeholder>
              <w:dropDownList>
                <w:listItem w:value="Choose an item."/>
                <w:listItem w:displayText="Board" w:value="Board"/>
                <w:listItem w:displayText="Audit and Corporate Governance Committee" w:value="Audit and Corporate Governance Committee"/>
                <w:listItem w:displayText="People and Organisational Development Committee" w:value="People and Organisational Development Committee"/>
                <w:listItem w:displayText="Quality, Safety and Improvement Committee" w:value="Quality, Safety and Improvement Committee"/>
                <w:listItem w:displayText="Remuneration and Terms of Service Committee" w:value="Remuneration and Terms of Service Committee"/>
                <w:listItem w:displayText="Business Executive Team Meeting" w:value="Business Executive Team Meeting"/>
                <w:listItem w:displayText="Strategic Planning Executive Team" w:value="Strategic Planning Executive Team"/>
                <w:listItem w:displayText="Policy and Strategy Executive Team Meeting" w:value="Policy and Strategy Executive Team Meeting"/>
                <w:listItem w:displayText="Senior Leadership Team" w:value="Senior Leadership Team"/>
                <w:listItem w:displayText="Other (stated below)" w:value="Other (stated below)"/>
              </w:dropDownList>
            </w:sdtPr>
            <w:sdtEndPr/>
            <w:sdtContent>
              <w:p w:rsidR="000A2ADC" w:rsidRPr="00AC7380" w:rsidRDefault="000A2ADC" w:rsidP="007344C2">
                <w:pPr>
                  <w:jc w:val="right"/>
                  <w:rPr>
                    <w:rFonts w:ascii="Verdana" w:hAnsi="Verdana"/>
                    <w:b/>
                    <w:sz w:val="24"/>
                    <w:szCs w:val="24"/>
                  </w:rPr>
                </w:pPr>
                <w:r w:rsidRPr="00AC7380">
                  <w:rPr>
                    <w:rFonts w:ascii="Verdana" w:hAnsi="Verdana"/>
                    <w:b/>
                    <w:szCs w:val="24"/>
                  </w:rPr>
                  <w:t>Board</w:t>
                </w:r>
              </w:p>
            </w:sdtContent>
          </w:sdt>
        </w:tc>
      </w:tr>
      <w:tr w:rsidR="000A2ADC" w:rsidRPr="00AC7380" w:rsidTr="009B0876">
        <w:tc>
          <w:tcPr>
            <w:tcW w:w="5848" w:type="dxa"/>
            <w:gridSpan w:val="5"/>
            <w:vMerge/>
          </w:tcPr>
          <w:p w:rsidR="000A2ADC" w:rsidRPr="00AC7380" w:rsidRDefault="000A2ADC" w:rsidP="007344C2">
            <w:pPr>
              <w:rPr>
                <w:rFonts w:ascii="Verdana" w:hAnsi="Verdana"/>
                <w:b/>
                <w:noProof/>
                <w:sz w:val="24"/>
                <w:lang w:eastAsia="en-GB"/>
              </w:rPr>
            </w:pPr>
          </w:p>
        </w:tc>
        <w:tc>
          <w:tcPr>
            <w:tcW w:w="3178" w:type="dxa"/>
            <w:gridSpan w:val="3"/>
            <w:tcBorders>
              <w:top w:val="nil"/>
              <w:bottom w:val="nil"/>
            </w:tcBorders>
          </w:tcPr>
          <w:p w:rsidR="000A2ADC" w:rsidRPr="00AC7380" w:rsidRDefault="000A2ADC" w:rsidP="007344C2">
            <w:pPr>
              <w:jc w:val="right"/>
              <w:rPr>
                <w:rFonts w:ascii="Verdana" w:hAnsi="Verdana"/>
                <w:b/>
                <w:sz w:val="24"/>
              </w:rPr>
            </w:pPr>
            <w:r w:rsidRPr="00AC7380">
              <w:rPr>
                <w:rFonts w:ascii="Verdana" w:hAnsi="Verdana"/>
                <w:b/>
                <w:sz w:val="24"/>
              </w:rPr>
              <w:t>Date of Meeting</w:t>
            </w:r>
          </w:p>
          <w:p w:rsidR="000A2ADC" w:rsidRPr="00AC7380" w:rsidRDefault="00FB60D9" w:rsidP="00FB60D9">
            <w:pPr>
              <w:jc w:val="right"/>
              <w:rPr>
                <w:rFonts w:ascii="Verdana" w:hAnsi="Verdana"/>
                <w:color w:val="FF0000"/>
                <w:sz w:val="24"/>
              </w:rPr>
            </w:pPr>
            <w:r>
              <w:rPr>
                <w:rFonts w:ascii="Verdana" w:hAnsi="Verdana"/>
                <w:sz w:val="24"/>
              </w:rPr>
              <w:t>30</w:t>
            </w:r>
            <w:r w:rsidR="003B1702">
              <w:rPr>
                <w:rFonts w:ascii="Verdana" w:hAnsi="Verdana"/>
                <w:sz w:val="24"/>
              </w:rPr>
              <w:t xml:space="preserve"> </w:t>
            </w:r>
            <w:r>
              <w:rPr>
                <w:rFonts w:ascii="Verdana" w:hAnsi="Verdana"/>
                <w:sz w:val="24"/>
              </w:rPr>
              <w:t>March</w:t>
            </w:r>
            <w:r w:rsidR="003B1702">
              <w:rPr>
                <w:rFonts w:ascii="Verdana" w:hAnsi="Verdana"/>
                <w:sz w:val="24"/>
              </w:rPr>
              <w:t xml:space="preserve"> </w:t>
            </w:r>
            <w:r w:rsidR="00365579">
              <w:rPr>
                <w:rFonts w:ascii="Verdana" w:hAnsi="Verdana"/>
                <w:sz w:val="24"/>
              </w:rPr>
              <w:t>20</w:t>
            </w:r>
            <w:r w:rsidR="00DE4457">
              <w:rPr>
                <w:rFonts w:ascii="Verdana" w:hAnsi="Verdana"/>
                <w:sz w:val="24"/>
              </w:rPr>
              <w:t>23</w:t>
            </w:r>
          </w:p>
        </w:tc>
      </w:tr>
      <w:tr w:rsidR="00942578" w:rsidRPr="00942578" w:rsidTr="009B0876">
        <w:tc>
          <w:tcPr>
            <w:tcW w:w="5848" w:type="dxa"/>
            <w:gridSpan w:val="5"/>
            <w:vMerge/>
            <w:tcBorders>
              <w:bottom w:val="single" w:sz="4" w:space="0" w:color="auto"/>
            </w:tcBorders>
          </w:tcPr>
          <w:p w:rsidR="000A2ADC" w:rsidRPr="00AC7380" w:rsidRDefault="000A2ADC" w:rsidP="007344C2">
            <w:pPr>
              <w:rPr>
                <w:rFonts w:ascii="Verdana" w:hAnsi="Verdana"/>
                <w:b/>
                <w:noProof/>
                <w:sz w:val="24"/>
                <w:lang w:eastAsia="en-GB"/>
              </w:rPr>
            </w:pPr>
            <w:bookmarkStart w:id="0" w:name="_GoBack" w:colFirst="1" w:colLast="2"/>
          </w:p>
        </w:tc>
        <w:tc>
          <w:tcPr>
            <w:tcW w:w="3178" w:type="dxa"/>
            <w:gridSpan w:val="3"/>
            <w:tcBorders>
              <w:top w:val="nil"/>
              <w:bottom w:val="single" w:sz="4" w:space="0" w:color="auto"/>
            </w:tcBorders>
          </w:tcPr>
          <w:p w:rsidR="000A2ADC" w:rsidRPr="00942578" w:rsidRDefault="000A2ADC" w:rsidP="007344C2">
            <w:pPr>
              <w:jc w:val="right"/>
              <w:rPr>
                <w:rFonts w:ascii="Verdana" w:hAnsi="Verdana"/>
                <w:b/>
                <w:sz w:val="24"/>
              </w:rPr>
            </w:pPr>
            <w:r w:rsidRPr="00942578">
              <w:rPr>
                <w:rFonts w:ascii="Verdana" w:hAnsi="Verdana"/>
                <w:b/>
                <w:sz w:val="24"/>
              </w:rPr>
              <w:t>Agenda item:</w:t>
            </w:r>
          </w:p>
          <w:p w:rsidR="000A2ADC" w:rsidRPr="00942578" w:rsidRDefault="00942578" w:rsidP="00DA575D">
            <w:pPr>
              <w:jc w:val="right"/>
              <w:rPr>
                <w:rFonts w:ascii="Verdana" w:hAnsi="Verdana"/>
                <w:sz w:val="24"/>
              </w:rPr>
            </w:pPr>
            <w:r w:rsidRPr="00942578">
              <w:rPr>
                <w:rFonts w:ascii="Verdana" w:hAnsi="Verdana"/>
                <w:sz w:val="24"/>
              </w:rPr>
              <w:t>3.3</w:t>
            </w:r>
          </w:p>
        </w:tc>
      </w:tr>
      <w:bookmarkEnd w:id="0"/>
      <w:tr w:rsidR="000A2ADC" w:rsidRPr="00AC7380" w:rsidTr="009B0876">
        <w:tc>
          <w:tcPr>
            <w:tcW w:w="9026" w:type="dxa"/>
            <w:gridSpan w:val="8"/>
            <w:tcBorders>
              <w:left w:val="nil"/>
              <w:right w:val="nil"/>
            </w:tcBorders>
            <w:vAlign w:val="center"/>
          </w:tcPr>
          <w:p w:rsidR="000A2ADC" w:rsidRPr="00AC7380" w:rsidRDefault="000A2ADC" w:rsidP="007344C2">
            <w:pPr>
              <w:rPr>
                <w:rFonts w:ascii="Verdana" w:hAnsi="Verdana"/>
                <w:b/>
                <w:sz w:val="28"/>
              </w:rPr>
            </w:pPr>
          </w:p>
        </w:tc>
      </w:tr>
      <w:tr w:rsidR="000A2ADC" w:rsidRPr="00AC7380" w:rsidTr="009B0876">
        <w:tc>
          <w:tcPr>
            <w:tcW w:w="9026" w:type="dxa"/>
            <w:gridSpan w:val="8"/>
            <w:vAlign w:val="center"/>
          </w:tcPr>
          <w:p w:rsidR="00365579" w:rsidRPr="005B6249" w:rsidRDefault="00365579" w:rsidP="00365579">
            <w:pPr>
              <w:jc w:val="center"/>
              <w:rPr>
                <w:rFonts w:ascii="Verdana" w:hAnsi="Verdana"/>
                <w:b/>
                <w:sz w:val="24"/>
                <w:szCs w:val="36"/>
              </w:rPr>
            </w:pPr>
          </w:p>
          <w:p w:rsidR="000A2ADC" w:rsidRDefault="00423E4B" w:rsidP="00365579">
            <w:pPr>
              <w:jc w:val="center"/>
              <w:rPr>
                <w:rFonts w:ascii="Verdana" w:hAnsi="Verdana"/>
                <w:b/>
                <w:sz w:val="40"/>
                <w:szCs w:val="36"/>
              </w:rPr>
            </w:pPr>
            <w:r>
              <w:rPr>
                <w:rFonts w:ascii="Verdana" w:hAnsi="Verdana"/>
                <w:b/>
                <w:sz w:val="40"/>
                <w:szCs w:val="36"/>
              </w:rPr>
              <w:t xml:space="preserve">Performance and </w:t>
            </w:r>
            <w:r w:rsidR="0083723B">
              <w:rPr>
                <w:rFonts w:ascii="Verdana" w:hAnsi="Verdana"/>
                <w:b/>
                <w:sz w:val="40"/>
                <w:szCs w:val="36"/>
              </w:rPr>
              <w:t>Insight</w:t>
            </w:r>
            <w:r w:rsidR="00365579">
              <w:rPr>
                <w:rFonts w:ascii="Verdana" w:hAnsi="Verdana"/>
                <w:b/>
                <w:sz w:val="40"/>
                <w:szCs w:val="36"/>
              </w:rPr>
              <w:t xml:space="preserve"> Report</w:t>
            </w:r>
          </w:p>
          <w:p w:rsidR="00365579" w:rsidRPr="005B6249" w:rsidRDefault="00365579" w:rsidP="00365579">
            <w:pPr>
              <w:jc w:val="center"/>
              <w:rPr>
                <w:rFonts w:ascii="Verdana" w:hAnsi="Verdana"/>
                <w:b/>
                <w:sz w:val="24"/>
                <w:szCs w:val="36"/>
              </w:rPr>
            </w:pPr>
          </w:p>
        </w:tc>
      </w:tr>
      <w:tr w:rsidR="000A2ADC" w:rsidRPr="00AC7380" w:rsidTr="009B0876">
        <w:tc>
          <w:tcPr>
            <w:tcW w:w="2268" w:type="dxa"/>
          </w:tcPr>
          <w:p w:rsidR="000A2ADC" w:rsidRPr="00AC7380" w:rsidRDefault="000A2ADC" w:rsidP="007344C2">
            <w:pPr>
              <w:rPr>
                <w:rFonts w:ascii="Verdana" w:hAnsi="Verdana"/>
                <w:b/>
                <w:sz w:val="24"/>
                <w:szCs w:val="24"/>
              </w:rPr>
            </w:pPr>
            <w:r w:rsidRPr="00AC7380">
              <w:rPr>
                <w:rFonts w:ascii="Verdana" w:hAnsi="Verdana"/>
                <w:b/>
                <w:sz w:val="24"/>
                <w:szCs w:val="24"/>
              </w:rPr>
              <w:t>Executive lead:</w:t>
            </w:r>
          </w:p>
        </w:tc>
        <w:tc>
          <w:tcPr>
            <w:tcW w:w="6758" w:type="dxa"/>
            <w:gridSpan w:val="7"/>
          </w:tcPr>
          <w:p w:rsidR="000A2ADC" w:rsidRPr="00AC7380" w:rsidRDefault="000A2ADC" w:rsidP="007344C2">
            <w:pPr>
              <w:rPr>
                <w:rFonts w:ascii="Verdana" w:eastAsia="Verdana" w:hAnsi="Verdana"/>
                <w:sz w:val="24"/>
                <w:szCs w:val="24"/>
              </w:rPr>
            </w:pPr>
            <w:r w:rsidRPr="00AC7380">
              <w:rPr>
                <w:rFonts w:ascii="Verdana" w:eastAsia="Verdana" w:hAnsi="Verdana"/>
                <w:sz w:val="24"/>
                <w:szCs w:val="24"/>
              </w:rPr>
              <w:t>Huw George, Deputy Chief Executive/ Executive Director Operations and Finance</w:t>
            </w:r>
          </w:p>
        </w:tc>
      </w:tr>
      <w:tr w:rsidR="000A2ADC" w:rsidRPr="00AC7380" w:rsidTr="009B0876">
        <w:tc>
          <w:tcPr>
            <w:tcW w:w="2268" w:type="dxa"/>
          </w:tcPr>
          <w:p w:rsidR="000A2ADC" w:rsidRPr="00AC7380" w:rsidRDefault="009B0876" w:rsidP="009B0876">
            <w:pPr>
              <w:rPr>
                <w:rFonts w:ascii="Verdana" w:hAnsi="Verdana"/>
                <w:b/>
                <w:sz w:val="24"/>
                <w:szCs w:val="24"/>
              </w:rPr>
            </w:pPr>
            <w:r>
              <w:rPr>
                <w:rFonts w:ascii="Verdana" w:hAnsi="Verdana"/>
                <w:b/>
                <w:sz w:val="24"/>
                <w:szCs w:val="24"/>
              </w:rPr>
              <w:t>Contributor</w:t>
            </w:r>
            <w:r w:rsidR="003B1702">
              <w:rPr>
                <w:rFonts w:ascii="Verdana" w:hAnsi="Verdana"/>
                <w:b/>
                <w:sz w:val="24"/>
                <w:szCs w:val="24"/>
              </w:rPr>
              <w:t>s</w:t>
            </w:r>
            <w:r w:rsidR="000A2ADC" w:rsidRPr="00AC7380">
              <w:rPr>
                <w:rFonts w:ascii="Verdana" w:hAnsi="Verdana"/>
                <w:b/>
                <w:sz w:val="24"/>
                <w:szCs w:val="24"/>
              </w:rPr>
              <w:t>:</w:t>
            </w:r>
          </w:p>
        </w:tc>
        <w:tc>
          <w:tcPr>
            <w:tcW w:w="6758" w:type="dxa"/>
            <w:gridSpan w:val="7"/>
          </w:tcPr>
          <w:p w:rsidR="000A2ADC" w:rsidRPr="00AC7380" w:rsidRDefault="000A2ADC" w:rsidP="00C52823">
            <w:pPr>
              <w:rPr>
                <w:rFonts w:ascii="Verdana" w:eastAsia="Verdana" w:hAnsi="Verdana"/>
                <w:sz w:val="24"/>
                <w:szCs w:val="24"/>
              </w:rPr>
            </w:pPr>
            <w:r w:rsidRPr="00AC7380">
              <w:rPr>
                <w:rFonts w:ascii="Verdana" w:eastAsia="Verdana" w:hAnsi="Verdana"/>
                <w:sz w:val="24"/>
                <w:szCs w:val="24"/>
              </w:rPr>
              <w:t xml:space="preserve">Huw George, Deputy Chief Executive and </w:t>
            </w:r>
            <w:r w:rsidR="00423278">
              <w:rPr>
                <w:rFonts w:ascii="Verdana" w:eastAsia="Verdana" w:hAnsi="Verdana"/>
                <w:sz w:val="24"/>
                <w:szCs w:val="24"/>
              </w:rPr>
              <w:t xml:space="preserve">Executive </w:t>
            </w:r>
            <w:r w:rsidRPr="00AC7380">
              <w:rPr>
                <w:rFonts w:ascii="Verdana" w:eastAsia="Verdana" w:hAnsi="Verdana"/>
                <w:sz w:val="24"/>
                <w:szCs w:val="24"/>
              </w:rPr>
              <w:t>Dire</w:t>
            </w:r>
            <w:r w:rsidR="00731CD9">
              <w:rPr>
                <w:rFonts w:ascii="Verdana" w:eastAsia="Verdana" w:hAnsi="Verdana"/>
                <w:sz w:val="24"/>
                <w:szCs w:val="24"/>
              </w:rPr>
              <w:t xml:space="preserve">ctor of Operations and Finance; </w:t>
            </w:r>
            <w:r w:rsidR="00C52823">
              <w:rPr>
                <w:rFonts w:ascii="Verdana" w:eastAsia="Verdana" w:hAnsi="Verdana"/>
                <w:sz w:val="24"/>
                <w:szCs w:val="24"/>
              </w:rPr>
              <w:t>Meng Khaw</w:t>
            </w:r>
            <w:r w:rsidR="00D93196">
              <w:rPr>
                <w:rFonts w:ascii="Verdana" w:eastAsia="Verdana" w:hAnsi="Verdana"/>
                <w:sz w:val="24"/>
                <w:szCs w:val="24"/>
              </w:rPr>
              <w:t xml:space="preserve">, </w:t>
            </w:r>
            <w:r w:rsidR="00C52823">
              <w:rPr>
                <w:rFonts w:ascii="Verdana" w:eastAsia="Verdana" w:hAnsi="Verdana"/>
                <w:sz w:val="24"/>
                <w:szCs w:val="24"/>
              </w:rPr>
              <w:t xml:space="preserve">National </w:t>
            </w:r>
            <w:r w:rsidR="009B0876" w:rsidRPr="009B0876">
              <w:rPr>
                <w:rFonts w:ascii="Verdana" w:hAnsi="Verdana" w:cs="Arial"/>
                <w:bCs/>
                <w:sz w:val="24"/>
                <w:szCs w:val="20"/>
                <w:lang w:eastAsia="en-GB"/>
              </w:rPr>
              <w:t xml:space="preserve">Director of </w:t>
            </w:r>
            <w:r w:rsidR="00C52823">
              <w:rPr>
                <w:rFonts w:ascii="Verdana" w:hAnsi="Verdana" w:cs="Arial"/>
                <w:bCs/>
                <w:sz w:val="24"/>
                <w:szCs w:val="20"/>
                <w:lang w:eastAsia="en-GB"/>
              </w:rPr>
              <w:t>Screening &amp; Health Protection</w:t>
            </w:r>
            <w:r w:rsidR="009B0876">
              <w:rPr>
                <w:rFonts w:ascii="Verdana" w:hAnsi="Verdana" w:cs="Arial"/>
                <w:bCs/>
                <w:sz w:val="24"/>
                <w:szCs w:val="20"/>
                <w:lang w:eastAsia="en-GB"/>
              </w:rPr>
              <w:t>;</w:t>
            </w:r>
            <w:r w:rsidR="009B0876" w:rsidRPr="009B0876">
              <w:rPr>
                <w:rFonts w:ascii="Arial" w:hAnsi="Arial" w:cs="Arial"/>
                <w:b/>
                <w:bCs/>
                <w:sz w:val="24"/>
                <w:szCs w:val="20"/>
                <w:lang w:eastAsia="en-GB"/>
              </w:rPr>
              <w:t xml:space="preserve"> </w:t>
            </w:r>
            <w:r w:rsidR="00423E4B">
              <w:rPr>
                <w:rFonts w:ascii="Verdana" w:eastAsia="Verdana" w:hAnsi="Verdana"/>
                <w:sz w:val="24"/>
                <w:szCs w:val="24"/>
              </w:rPr>
              <w:t>Neil Lewis</w:t>
            </w:r>
            <w:r w:rsidRPr="00AC7380">
              <w:rPr>
                <w:rFonts w:ascii="Verdana" w:eastAsia="Verdana" w:hAnsi="Verdana"/>
                <w:sz w:val="24"/>
                <w:szCs w:val="24"/>
              </w:rPr>
              <w:t xml:space="preserve">, Director of People and Organisational Development; </w:t>
            </w:r>
            <w:r w:rsidR="00A91FD8">
              <w:rPr>
                <w:rFonts w:ascii="Verdana" w:eastAsia="Verdana" w:hAnsi="Verdana"/>
                <w:sz w:val="24"/>
                <w:szCs w:val="24"/>
              </w:rPr>
              <w:t xml:space="preserve">Rhiannon Beaumont-Wood, </w:t>
            </w:r>
            <w:r w:rsidR="00423278">
              <w:rPr>
                <w:rFonts w:ascii="Verdana" w:eastAsia="Verdana" w:hAnsi="Verdana"/>
                <w:sz w:val="24"/>
                <w:szCs w:val="24"/>
              </w:rPr>
              <w:t xml:space="preserve">Executive </w:t>
            </w:r>
            <w:r w:rsidRPr="00AC7380">
              <w:rPr>
                <w:rFonts w:ascii="Verdana" w:eastAsia="Verdana" w:hAnsi="Verdana"/>
                <w:sz w:val="24"/>
                <w:szCs w:val="24"/>
              </w:rPr>
              <w:t>Director of Quality Nursing and Other Allied Health Professionals; Angela Fisher, Deputy Director of Finance; Ioan Francis, Head of Performance</w:t>
            </w:r>
            <w:r w:rsidR="009B0876">
              <w:rPr>
                <w:rFonts w:ascii="Verdana" w:eastAsia="Verdana" w:hAnsi="Verdana"/>
                <w:sz w:val="24"/>
                <w:szCs w:val="24"/>
              </w:rPr>
              <w:t xml:space="preserve"> </w:t>
            </w:r>
          </w:p>
        </w:tc>
      </w:tr>
      <w:tr w:rsidR="000A2ADC" w:rsidRPr="00AC7380" w:rsidTr="009B0876">
        <w:trPr>
          <w:trHeight w:val="149"/>
        </w:trPr>
        <w:tc>
          <w:tcPr>
            <w:tcW w:w="2268" w:type="dxa"/>
            <w:tcBorders>
              <w:left w:val="nil"/>
              <w:right w:val="nil"/>
            </w:tcBorders>
          </w:tcPr>
          <w:p w:rsidR="000A2ADC" w:rsidRPr="00AC7380" w:rsidRDefault="000A2ADC" w:rsidP="007344C2">
            <w:pPr>
              <w:rPr>
                <w:rFonts w:ascii="Verdana" w:hAnsi="Verdana"/>
                <w:b/>
                <w:sz w:val="12"/>
                <w:szCs w:val="12"/>
              </w:rPr>
            </w:pPr>
          </w:p>
        </w:tc>
        <w:tc>
          <w:tcPr>
            <w:tcW w:w="6758" w:type="dxa"/>
            <w:gridSpan w:val="7"/>
            <w:tcBorders>
              <w:left w:val="nil"/>
              <w:right w:val="nil"/>
            </w:tcBorders>
          </w:tcPr>
          <w:p w:rsidR="000A2ADC" w:rsidRPr="00AC7380" w:rsidRDefault="000A2ADC" w:rsidP="007344C2">
            <w:pPr>
              <w:rPr>
                <w:rFonts w:ascii="Verdana" w:hAnsi="Verdana"/>
                <w:sz w:val="12"/>
                <w:szCs w:val="12"/>
              </w:rPr>
            </w:pPr>
          </w:p>
        </w:tc>
      </w:tr>
      <w:tr w:rsidR="000A2ADC" w:rsidRPr="00AC7380" w:rsidTr="009B0876">
        <w:tc>
          <w:tcPr>
            <w:tcW w:w="2268" w:type="dxa"/>
          </w:tcPr>
          <w:p w:rsidR="000A2ADC" w:rsidRPr="00AC7380" w:rsidRDefault="000A2ADC" w:rsidP="007344C2">
            <w:pPr>
              <w:rPr>
                <w:rFonts w:ascii="Verdana" w:hAnsi="Verdana"/>
                <w:b/>
                <w:sz w:val="24"/>
                <w:szCs w:val="24"/>
              </w:rPr>
            </w:pPr>
            <w:r w:rsidRPr="00AC7380">
              <w:rPr>
                <w:rFonts w:ascii="Verdana" w:hAnsi="Verdana"/>
                <w:b/>
                <w:sz w:val="24"/>
                <w:szCs w:val="24"/>
              </w:rPr>
              <w:t>Approval/Scrutiny route:</w:t>
            </w:r>
          </w:p>
        </w:tc>
        <w:tc>
          <w:tcPr>
            <w:tcW w:w="6758" w:type="dxa"/>
            <w:gridSpan w:val="7"/>
          </w:tcPr>
          <w:p w:rsidR="000A2ADC" w:rsidRPr="009B0876" w:rsidRDefault="00BD57A6" w:rsidP="00FB60D9">
            <w:pPr>
              <w:rPr>
                <w:rFonts w:ascii="Verdana" w:eastAsia="Verdana" w:hAnsi="Verdana"/>
                <w:color w:val="FFFFFF" w:themeColor="background1"/>
                <w:sz w:val="24"/>
                <w:szCs w:val="24"/>
                <w:highlight w:val="yellow"/>
              </w:rPr>
            </w:pPr>
            <w:r>
              <w:rPr>
                <w:rFonts w:ascii="Verdana" w:eastAsia="Verdana" w:hAnsi="Verdana"/>
                <w:sz w:val="24"/>
                <w:szCs w:val="24"/>
              </w:rPr>
              <w:t xml:space="preserve">Business Executive Team </w:t>
            </w:r>
            <w:r w:rsidR="00FB60D9">
              <w:rPr>
                <w:rFonts w:ascii="Verdana" w:eastAsia="Verdana" w:hAnsi="Verdana"/>
                <w:sz w:val="24"/>
                <w:szCs w:val="24"/>
              </w:rPr>
              <w:t>(20</w:t>
            </w:r>
            <w:r>
              <w:rPr>
                <w:rFonts w:ascii="Verdana" w:eastAsia="Verdana" w:hAnsi="Verdana"/>
                <w:sz w:val="24"/>
                <w:szCs w:val="24"/>
              </w:rPr>
              <w:t xml:space="preserve"> </w:t>
            </w:r>
            <w:r w:rsidR="00FB60D9">
              <w:rPr>
                <w:rFonts w:ascii="Verdana" w:eastAsia="Verdana" w:hAnsi="Verdana"/>
                <w:sz w:val="24"/>
                <w:szCs w:val="24"/>
              </w:rPr>
              <w:t>March</w:t>
            </w:r>
            <w:r w:rsidR="0083723B">
              <w:rPr>
                <w:rFonts w:ascii="Verdana" w:eastAsia="Verdana" w:hAnsi="Verdana"/>
                <w:sz w:val="24"/>
                <w:szCs w:val="24"/>
              </w:rPr>
              <w:t xml:space="preserve"> </w:t>
            </w:r>
            <w:r w:rsidR="00DC01C5">
              <w:rPr>
                <w:rFonts w:ascii="Verdana" w:eastAsia="Verdana" w:hAnsi="Verdana"/>
                <w:sz w:val="24"/>
                <w:szCs w:val="24"/>
              </w:rPr>
              <w:t>2023</w:t>
            </w:r>
            <w:r>
              <w:rPr>
                <w:rFonts w:ascii="Verdana" w:eastAsia="Verdana" w:hAnsi="Verdana"/>
                <w:sz w:val="24"/>
                <w:szCs w:val="24"/>
              </w:rPr>
              <w:t>)</w:t>
            </w:r>
          </w:p>
        </w:tc>
      </w:tr>
      <w:tr w:rsidR="000A2ADC" w:rsidRPr="00AC7380" w:rsidTr="009B0876">
        <w:tc>
          <w:tcPr>
            <w:tcW w:w="9026" w:type="dxa"/>
            <w:gridSpan w:val="8"/>
            <w:tcBorders>
              <w:left w:val="nil"/>
              <w:bottom w:val="single" w:sz="4" w:space="0" w:color="auto"/>
              <w:right w:val="nil"/>
            </w:tcBorders>
          </w:tcPr>
          <w:p w:rsidR="000A2ADC" w:rsidRPr="00AC7380" w:rsidRDefault="000A2ADC" w:rsidP="007344C2">
            <w:pPr>
              <w:rPr>
                <w:rFonts w:ascii="Verdana" w:hAnsi="Verdana"/>
                <w:b/>
                <w:sz w:val="12"/>
                <w:szCs w:val="12"/>
              </w:rPr>
            </w:pPr>
          </w:p>
        </w:tc>
      </w:tr>
      <w:tr w:rsidR="000A2ADC" w:rsidRPr="00AC7380" w:rsidTr="009B0876">
        <w:tc>
          <w:tcPr>
            <w:tcW w:w="9026" w:type="dxa"/>
            <w:gridSpan w:val="8"/>
            <w:tcBorders>
              <w:left w:val="single" w:sz="4" w:space="0" w:color="auto"/>
              <w:right w:val="single" w:sz="4" w:space="0" w:color="auto"/>
            </w:tcBorders>
          </w:tcPr>
          <w:p w:rsidR="000A2ADC" w:rsidRPr="00AC7380" w:rsidRDefault="000A2ADC" w:rsidP="007344C2">
            <w:pPr>
              <w:rPr>
                <w:rFonts w:ascii="Verdana" w:hAnsi="Verdana"/>
                <w:b/>
                <w:sz w:val="24"/>
                <w:szCs w:val="24"/>
              </w:rPr>
            </w:pPr>
            <w:r w:rsidRPr="00AC7380">
              <w:rPr>
                <w:rFonts w:ascii="Verdana" w:hAnsi="Verdana"/>
                <w:b/>
                <w:sz w:val="24"/>
                <w:szCs w:val="24"/>
              </w:rPr>
              <w:t>Purpose</w:t>
            </w:r>
          </w:p>
        </w:tc>
      </w:tr>
      <w:tr w:rsidR="000A2ADC" w:rsidRPr="00AC7380" w:rsidTr="009B0876">
        <w:tc>
          <w:tcPr>
            <w:tcW w:w="9026" w:type="dxa"/>
            <w:gridSpan w:val="8"/>
            <w:tcBorders>
              <w:left w:val="single" w:sz="4" w:space="0" w:color="auto"/>
              <w:right w:val="single" w:sz="4" w:space="0" w:color="auto"/>
            </w:tcBorders>
          </w:tcPr>
          <w:p w:rsidR="0083723B" w:rsidRPr="0083723B" w:rsidRDefault="0083723B" w:rsidP="00B83427">
            <w:pPr>
              <w:spacing w:before="60"/>
              <w:rPr>
                <w:rFonts w:ascii="Verdana" w:eastAsia="Verdana" w:hAnsi="Verdana"/>
                <w:sz w:val="24"/>
                <w:szCs w:val="24"/>
              </w:rPr>
            </w:pPr>
            <w:r w:rsidRPr="0083723B">
              <w:rPr>
                <w:rFonts w:ascii="Verdana" w:eastAsia="Verdana" w:hAnsi="Verdana"/>
                <w:sz w:val="24"/>
                <w:szCs w:val="24"/>
              </w:rPr>
              <w:t xml:space="preserve">Our Performance </w:t>
            </w:r>
            <w:r>
              <w:rPr>
                <w:rFonts w:ascii="Verdana" w:eastAsia="Verdana" w:hAnsi="Verdana"/>
                <w:sz w:val="24"/>
                <w:szCs w:val="24"/>
              </w:rPr>
              <w:t xml:space="preserve">and Insight </w:t>
            </w:r>
            <w:r w:rsidRPr="0083723B">
              <w:rPr>
                <w:rFonts w:ascii="Verdana" w:eastAsia="Verdana" w:hAnsi="Verdana"/>
                <w:sz w:val="24"/>
                <w:szCs w:val="24"/>
              </w:rPr>
              <w:t>Report</w:t>
            </w:r>
            <w:r w:rsidR="002124E2">
              <w:rPr>
                <w:rFonts w:ascii="Verdana" w:eastAsia="Verdana" w:hAnsi="Verdana"/>
                <w:sz w:val="24"/>
                <w:szCs w:val="24"/>
              </w:rPr>
              <w:t xml:space="preserve"> focuses</w:t>
            </w:r>
            <w:r w:rsidRPr="0083723B">
              <w:rPr>
                <w:rFonts w:ascii="Verdana" w:eastAsia="Verdana" w:hAnsi="Verdana"/>
                <w:sz w:val="24"/>
                <w:szCs w:val="24"/>
              </w:rPr>
              <w:t xml:space="preserve"> on delivering actionable insights </w:t>
            </w:r>
            <w:r w:rsidR="002124E2">
              <w:rPr>
                <w:rFonts w:ascii="Verdana" w:eastAsia="Verdana" w:hAnsi="Verdana"/>
                <w:sz w:val="24"/>
                <w:szCs w:val="24"/>
              </w:rPr>
              <w:t>whilst</w:t>
            </w:r>
            <w:r w:rsidRPr="0083723B">
              <w:rPr>
                <w:rFonts w:ascii="Verdana" w:eastAsia="Verdana" w:hAnsi="Verdana"/>
                <w:sz w:val="24"/>
                <w:szCs w:val="24"/>
              </w:rPr>
              <w:t xml:space="preserve"> identifying areas </w:t>
            </w:r>
            <w:r>
              <w:rPr>
                <w:rFonts w:ascii="Verdana" w:eastAsia="Verdana" w:hAnsi="Verdana"/>
                <w:sz w:val="24"/>
                <w:szCs w:val="24"/>
              </w:rPr>
              <w:t xml:space="preserve">for further </w:t>
            </w:r>
            <w:r w:rsidR="002124E2">
              <w:rPr>
                <w:rFonts w:ascii="Verdana" w:eastAsia="Verdana" w:hAnsi="Verdana"/>
                <w:sz w:val="24"/>
                <w:szCs w:val="24"/>
              </w:rPr>
              <w:t xml:space="preserve">improvement </w:t>
            </w:r>
            <w:r w:rsidRPr="0083723B">
              <w:rPr>
                <w:rFonts w:ascii="Verdana" w:eastAsia="Verdana" w:hAnsi="Verdana"/>
                <w:sz w:val="24"/>
                <w:szCs w:val="24"/>
              </w:rPr>
              <w:t>across the following key performance themes;</w:t>
            </w:r>
          </w:p>
          <w:p w:rsidR="0083723B" w:rsidRPr="0083723B" w:rsidRDefault="0083723B" w:rsidP="0083723B">
            <w:pPr>
              <w:rPr>
                <w:rFonts w:ascii="Verdana" w:eastAsia="Verdana" w:hAnsi="Verdana"/>
                <w:sz w:val="10"/>
                <w:szCs w:val="24"/>
              </w:rPr>
            </w:pPr>
          </w:p>
          <w:p w:rsidR="0083723B" w:rsidRPr="0083723B" w:rsidRDefault="0083723B" w:rsidP="00B83427">
            <w:pPr>
              <w:pStyle w:val="ListParagraph"/>
              <w:numPr>
                <w:ilvl w:val="0"/>
                <w:numId w:val="11"/>
              </w:numPr>
              <w:spacing w:before="60"/>
              <w:ind w:left="714" w:hanging="357"/>
              <w:rPr>
                <w:rFonts w:ascii="Verdana" w:eastAsia="Verdana" w:hAnsi="Verdana"/>
                <w:sz w:val="24"/>
                <w:szCs w:val="24"/>
              </w:rPr>
            </w:pPr>
            <w:r w:rsidRPr="0083723B">
              <w:rPr>
                <w:rFonts w:ascii="Verdana" w:eastAsia="Verdana" w:hAnsi="Verdana"/>
                <w:sz w:val="24"/>
                <w:szCs w:val="24"/>
              </w:rPr>
              <w:t>Maintaining a healthy and sustainable workforce</w:t>
            </w:r>
          </w:p>
          <w:p w:rsidR="00096513" w:rsidRPr="0083723B" w:rsidRDefault="005B6249" w:rsidP="00B83427">
            <w:pPr>
              <w:pStyle w:val="ListParagraph"/>
              <w:numPr>
                <w:ilvl w:val="0"/>
                <w:numId w:val="11"/>
              </w:numPr>
              <w:spacing w:before="60"/>
              <w:ind w:left="714" w:hanging="357"/>
              <w:rPr>
                <w:rFonts w:ascii="Verdana" w:eastAsia="Verdana" w:hAnsi="Verdana"/>
                <w:sz w:val="24"/>
                <w:szCs w:val="24"/>
              </w:rPr>
            </w:pPr>
            <w:r>
              <w:rPr>
                <w:rFonts w:ascii="Verdana" w:eastAsia="Verdana" w:hAnsi="Verdana"/>
                <w:sz w:val="24"/>
                <w:szCs w:val="24"/>
              </w:rPr>
              <w:t>Achieving</w:t>
            </w:r>
            <w:r w:rsidR="00096513" w:rsidRPr="0083723B">
              <w:rPr>
                <w:rFonts w:ascii="Verdana" w:eastAsia="Verdana" w:hAnsi="Verdana"/>
                <w:sz w:val="24"/>
                <w:szCs w:val="24"/>
              </w:rPr>
              <w:t xml:space="preserve"> value and impact</w:t>
            </w:r>
            <w:r>
              <w:rPr>
                <w:rFonts w:ascii="Verdana" w:eastAsia="Verdana" w:hAnsi="Verdana"/>
                <w:sz w:val="24"/>
                <w:szCs w:val="24"/>
              </w:rPr>
              <w:t xml:space="preserve"> through innovation</w:t>
            </w:r>
          </w:p>
          <w:p w:rsidR="0083723B" w:rsidRPr="0083723B" w:rsidRDefault="005B6249" w:rsidP="00B83427">
            <w:pPr>
              <w:pStyle w:val="ListParagraph"/>
              <w:numPr>
                <w:ilvl w:val="0"/>
                <w:numId w:val="11"/>
              </w:numPr>
              <w:spacing w:before="60"/>
              <w:ind w:left="714" w:hanging="357"/>
              <w:rPr>
                <w:rFonts w:ascii="Verdana" w:eastAsia="Verdana" w:hAnsi="Verdana"/>
                <w:sz w:val="24"/>
                <w:szCs w:val="24"/>
              </w:rPr>
            </w:pPr>
            <w:r>
              <w:rPr>
                <w:rFonts w:ascii="Verdana" w:eastAsia="Verdana" w:hAnsi="Verdana"/>
                <w:sz w:val="24"/>
                <w:szCs w:val="24"/>
              </w:rPr>
              <w:t>Delivering o</w:t>
            </w:r>
            <w:r w:rsidR="0083723B" w:rsidRPr="0083723B">
              <w:rPr>
                <w:rFonts w:ascii="Verdana" w:eastAsia="Verdana" w:hAnsi="Verdana"/>
                <w:sz w:val="24"/>
                <w:szCs w:val="24"/>
              </w:rPr>
              <w:t xml:space="preserve">rganisational </w:t>
            </w:r>
            <w:r>
              <w:rPr>
                <w:rFonts w:ascii="Verdana" w:eastAsia="Verdana" w:hAnsi="Verdana"/>
                <w:sz w:val="24"/>
                <w:szCs w:val="24"/>
              </w:rPr>
              <w:t xml:space="preserve">wide </w:t>
            </w:r>
            <w:r w:rsidR="0083723B" w:rsidRPr="0083723B">
              <w:rPr>
                <w:rFonts w:ascii="Verdana" w:eastAsia="Verdana" w:hAnsi="Verdana"/>
                <w:sz w:val="24"/>
                <w:szCs w:val="24"/>
              </w:rPr>
              <w:t>quality and access to high quality services</w:t>
            </w:r>
          </w:p>
          <w:p w:rsidR="0083723B" w:rsidRDefault="0083723B" w:rsidP="00B83427">
            <w:pPr>
              <w:pStyle w:val="ListParagraph"/>
              <w:numPr>
                <w:ilvl w:val="0"/>
                <w:numId w:val="11"/>
              </w:numPr>
              <w:spacing w:before="60"/>
              <w:ind w:left="714" w:hanging="357"/>
              <w:rPr>
                <w:rFonts w:ascii="Verdana" w:eastAsia="Verdana" w:hAnsi="Verdana"/>
                <w:sz w:val="24"/>
                <w:szCs w:val="24"/>
              </w:rPr>
            </w:pPr>
            <w:r w:rsidRPr="0083723B">
              <w:rPr>
                <w:rFonts w:ascii="Verdana" w:eastAsia="Verdana" w:hAnsi="Verdana"/>
                <w:sz w:val="24"/>
                <w:szCs w:val="24"/>
              </w:rPr>
              <w:t>Improved population health and well</w:t>
            </w:r>
            <w:r w:rsidR="00096513">
              <w:rPr>
                <w:rFonts w:ascii="Verdana" w:eastAsia="Verdana" w:hAnsi="Verdana"/>
                <w:sz w:val="24"/>
                <w:szCs w:val="24"/>
              </w:rPr>
              <w:t>-</w:t>
            </w:r>
            <w:r w:rsidRPr="0083723B">
              <w:rPr>
                <w:rFonts w:ascii="Verdana" w:eastAsia="Verdana" w:hAnsi="Verdana"/>
                <w:sz w:val="24"/>
                <w:szCs w:val="24"/>
              </w:rPr>
              <w:t>being</w:t>
            </w:r>
          </w:p>
          <w:p w:rsidR="0083723B" w:rsidRPr="00CA0B1C" w:rsidRDefault="0083723B" w:rsidP="0083723B">
            <w:pPr>
              <w:rPr>
                <w:rFonts w:ascii="Verdana" w:eastAsia="Verdana" w:hAnsi="Verdana"/>
                <w:sz w:val="12"/>
                <w:szCs w:val="24"/>
              </w:rPr>
            </w:pPr>
          </w:p>
          <w:p w:rsidR="00887587" w:rsidRPr="00FB60D9" w:rsidRDefault="00E970F4" w:rsidP="00FB60D9">
            <w:pPr>
              <w:spacing w:before="60"/>
              <w:rPr>
                <w:rFonts w:ascii="Verdana" w:eastAsia="Verdana" w:hAnsi="Verdana"/>
                <w:sz w:val="24"/>
                <w:szCs w:val="24"/>
              </w:rPr>
            </w:pPr>
            <w:r>
              <w:rPr>
                <w:rFonts w:ascii="Verdana" w:eastAsia="Verdana" w:hAnsi="Verdana"/>
                <w:sz w:val="24"/>
                <w:szCs w:val="24"/>
              </w:rPr>
              <w:t>The report is designed to be read in conjunction with the Performance and Assurance Dashboard</w:t>
            </w:r>
            <w:r w:rsidR="00FB60D9">
              <w:rPr>
                <w:rFonts w:ascii="Verdana" w:eastAsia="Verdana" w:hAnsi="Verdana"/>
                <w:sz w:val="24"/>
                <w:szCs w:val="24"/>
              </w:rPr>
              <w:t>.</w:t>
            </w:r>
            <w:r>
              <w:rPr>
                <w:rFonts w:ascii="Verdana" w:eastAsia="Verdana" w:hAnsi="Verdana"/>
                <w:sz w:val="24"/>
                <w:szCs w:val="24"/>
              </w:rPr>
              <w:t xml:space="preserve"> </w:t>
            </w:r>
          </w:p>
        </w:tc>
      </w:tr>
      <w:tr w:rsidR="000A2ADC" w:rsidRPr="00AC7380" w:rsidTr="009B0876">
        <w:tc>
          <w:tcPr>
            <w:tcW w:w="9026" w:type="dxa"/>
            <w:gridSpan w:val="8"/>
            <w:tcBorders>
              <w:left w:val="nil"/>
              <w:right w:val="nil"/>
            </w:tcBorders>
          </w:tcPr>
          <w:p w:rsidR="000A2ADC" w:rsidRPr="00AC7380" w:rsidRDefault="000A2ADC" w:rsidP="007344C2">
            <w:pPr>
              <w:rPr>
                <w:rFonts w:ascii="Verdana" w:hAnsi="Verdana"/>
                <w:b/>
                <w:sz w:val="12"/>
                <w:szCs w:val="12"/>
              </w:rPr>
            </w:pPr>
          </w:p>
        </w:tc>
      </w:tr>
      <w:tr w:rsidR="000A2ADC" w:rsidRPr="00AC7380" w:rsidTr="009B0876">
        <w:tc>
          <w:tcPr>
            <w:tcW w:w="9026" w:type="dxa"/>
            <w:gridSpan w:val="8"/>
          </w:tcPr>
          <w:p w:rsidR="000A2ADC" w:rsidRPr="00AC7380" w:rsidRDefault="000A2ADC" w:rsidP="007344C2">
            <w:pPr>
              <w:rPr>
                <w:rFonts w:ascii="Verdana" w:hAnsi="Verdana"/>
                <w:b/>
                <w:sz w:val="24"/>
                <w:szCs w:val="24"/>
              </w:rPr>
            </w:pPr>
            <w:r w:rsidRPr="00AC7380">
              <w:rPr>
                <w:rFonts w:ascii="Verdana" w:hAnsi="Verdana"/>
                <w:b/>
                <w:sz w:val="24"/>
                <w:szCs w:val="24"/>
              </w:rPr>
              <w:t>Recommendation:</w:t>
            </w:r>
          </w:p>
        </w:tc>
      </w:tr>
      <w:tr w:rsidR="000A2ADC" w:rsidRPr="00AC7380" w:rsidTr="009B0876">
        <w:tc>
          <w:tcPr>
            <w:tcW w:w="2348" w:type="dxa"/>
            <w:gridSpan w:val="2"/>
            <w:tcBorders>
              <w:bottom w:val="single" w:sz="4" w:space="0" w:color="auto"/>
            </w:tcBorders>
          </w:tcPr>
          <w:p w:rsidR="000A2ADC" w:rsidRPr="00AC7380" w:rsidRDefault="000A2ADC" w:rsidP="007344C2">
            <w:pPr>
              <w:jc w:val="center"/>
              <w:rPr>
                <w:rFonts w:ascii="Verdana" w:hAnsi="Verdana"/>
                <w:sz w:val="24"/>
                <w:szCs w:val="24"/>
              </w:rPr>
            </w:pPr>
            <w:r w:rsidRPr="00AC7380">
              <w:rPr>
                <w:rFonts w:ascii="Verdana" w:hAnsi="Verdana"/>
                <w:sz w:val="24"/>
                <w:szCs w:val="24"/>
              </w:rPr>
              <w:t>APPROVE</w:t>
            </w:r>
          </w:p>
          <w:p w:rsidR="000A2ADC" w:rsidRPr="00AC7380" w:rsidRDefault="0065340E" w:rsidP="007344C2">
            <w:pPr>
              <w:jc w:val="center"/>
              <w:rPr>
                <w:rFonts w:ascii="Wingdings" w:hAnsi="Wingdings"/>
                <w:sz w:val="24"/>
                <w:szCs w:val="24"/>
              </w:rPr>
            </w:pPr>
            <w:r>
              <w:rPr>
                <w:rFonts w:ascii="Wingdings" w:hAnsi="Wingdings"/>
                <w:sz w:val="24"/>
                <w:szCs w:val="24"/>
              </w:rPr>
              <w:fldChar w:fldCharType="begin">
                <w:ffData>
                  <w:name w:val="Check1"/>
                  <w:enabled/>
                  <w:calcOnExit w:val="0"/>
                  <w:checkBox>
                    <w:sizeAuto/>
                    <w:default w:val="0"/>
                  </w:checkBox>
                </w:ffData>
              </w:fldChar>
            </w:r>
            <w:bookmarkStart w:id="1" w:name="Check1"/>
            <w:r>
              <w:rPr>
                <w:rFonts w:ascii="Wingdings" w:hAnsi="Wingdings"/>
                <w:sz w:val="24"/>
                <w:szCs w:val="24"/>
              </w:rPr>
              <w:instrText xml:space="preserve"> FORMCHECKBOX </w:instrText>
            </w:r>
            <w:r w:rsidR="00942578">
              <w:rPr>
                <w:rFonts w:ascii="Wingdings" w:hAnsi="Wingdings"/>
                <w:sz w:val="24"/>
                <w:szCs w:val="24"/>
              </w:rPr>
            </w:r>
            <w:r w:rsidR="00942578">
              <w:rPr>
                <w:rFonts w:ascii="Wingdings" w:hAnsi="Wingdings"/>
                <w:sz w:val="24"/>
                <w:szCs w:val="24"/>
              </w:rPr>
              <w:fldChar w:fldCharType="separate"/>
            </w:r>
            <w:r>
              <w:rPr>
                <w:rFonts w:ascii="Wingdings" w:hAnsi="Wingdings"/>
                <w:sz w:val="24"/>
                <w:szCs w:val="24"/>
              </w:rPr>
              <w:fldChar w:fldCharType="end"/>
            </w:r>
            <w:bookmarkEnd w:id="1"/>
          </w:p>
        </w:tc>
        <w:tc>
          <w:tcPr>
            <w:tcW w:w="1994" w:type="dxa"/>
            <w:gridSpan w:val="2"/>
            <w:tcBorders>
              <w:bottom w:val="single" w:sz="4" w:space="0" w:color="auto"/>
            </w:tcBorders>
          </w:tcPr>
          <w:p w:rsidR="000A2ADC" w:rsidRPr="00AC7380" w:rsidRDefault="000A2ADC" w:rsidP="007344C2">
            <w:pPr>
              <w:jc w:val="center"/>
              <w:rPr>
                <w:rFonts w:ascii="Verdana" w:hAnsi="Verdana"/>
                <w:sz w:val="24"/>
                <w:szCs w:val="24"/>
              </w:rPr>
            </w:pPr>
            <w:r w:rsidRPr="00AC7380">
              <w:rPr>
                <w:rFonts w:ascii="Verdana" w:hAnsi="Verdana"/>
                <w:sz w:val="24"/>
                <w:szCs w:val="24"/>
              </w:rPr>
              <w:t>CONSIDER</w:t>
            </w:r>
          </w:p>
          <w:p w:rsidR="000A2ADC" w:rsidRPr="00AC7380" w:rsidRDefault="005B72D4" w:rsidP="007344C2">
            <w:pPr>
              <w:jc w:val="center"/>
              <w:rPr>
                <w:rFonts w:ascii="Verdana" w:hAnsi="Verdana"/>
                <w:sz w:val="24"/>
                <w:szCs w:val="24"/>
              </w:rPr>
            </w:pPr>
            <w:r>
              <w:rPr>
                <w:rFonts w:ascii="Verdana" w:hAnsi="Verdana"/>
                <w:sz w:val="24"/>
                <w:szCs w:val="24"/>
              </w:rPr>
              <w:fldChar w:fldCharType="begin">
                <w:ffData>
                  <w:name w:val="Check2"/>
                  <w:enabled/>
                  <w:calcOnExit w:val="0"/>
                  <w:checkBox>
                    <w:sizeAuto/>
                    <w:default w:val="1"/>
                  </w:checkBox>
                </w:ffData>
              </w:fldChar>
            </w:r>
            <w:bookmarkStart w:id="2" w:name="Check2"/>
            <w:r>
              <w:rPr>
                <w:rFonts w:ascii="Verdana" w:hAnsi="Verdana"/>
                <w:sz w:val="24"/>
                <w:szCs w:val="24"/>
              </w:rPr>
              <w:instrText xml:space="preserve"> FORMCHECKBOX </w:instrText>
            </w:r>
            <w:r w:rsidR="00942578">
              <w:rPr>
                <w:rFonts w:ascii="Verdana" w:hAnsi="Verdana"/>
                <w:sz w:val="24"/>
                <w:szCs w:val="24"/>
              </w:rPr>
            </w:r>
            <w:r w:rsidR="00942578">
              <w:rPr>
                <w:rFonts w:ascii="Verdana" w:hAnsi="Verdana"/>
                <w:sz w:val="24"/>
                <w:szCs w:val="24"/>
              </w:rPr>
              <w:fldChar w:fldCharType="separate"/>
            </w:r>
            <w:r>
              <w:rPr>
                <w:rFonts w:ascii="Verdana" w:hAnsi="Verdana"/>
                <w:sz w:val="24"/>
                <w:szCs w:val="24"/>
              </w:rPr>
              <w:fldChar w:fldCharType="end"/>
            </w:r>
            <w:bookmarkEnd w:id="2"/>
          </w:p>
        </w:tc>
        <w:tc>
          <w:tcPr>
            <w:tcW w:w="1816" w:type="dxa"/>
            <w:gridSpan w:val="2"/>
            <w:tcBorders>
              <w:bottom w:val="single" w:sz="4" w:space="0" w:color="auto"/>
            </w:tcBorders>
          </w:tcPr>
          <w:p w:rsidR="000A2ADC" w:rsidRPr="00AC7380" w:rsidRDefault="000A2ADC" w:rsidP="007344C2">
            <w:pPr>
              <w:jc w:val="center"/>
              <w:rPr>
                <w:rFonts w:ascii="Verdana" w:hAnsi="Verdana"/>
                <w:sz w:val="24"/>
                <w:szCs w:val="24"/>
              </w:rPr>
            </w:pPr>
            <w:r w:rsidRPr="00AC7380">
              <w:rPr>
                <w:rFonts w:ascii="Verdana" w:hAnsi="Verdana"/>
                <w:sz w:val="24"/>
                <w:szCs w:val="24"/>
              </w:rPr>
              <w:t>RECOMMEND</w:t>
            </w:r>
          </w:p>
          <w:p w:rsidR="000A2ADC" w:rsidRPr="00AC7380" w:rsidRDefault="000A2ADC" w:rsidP="007344C2">
            <w:pPr>
              <w:jc w:val="center"/>
              <w:rPr>
                <w:rFonts w:ascii="Verdana" w:hAnsi="Verdana"/>
                <w:sz w:val="24"/>
                <w:szCs w:val="24"/>
              </w:rPr>
            </w:pPr>
            <w:r w:rsidRPr="00AC7380">
              <w:rPr>
                <w:rFonts w:ascii="Verdana" w:hAnsi="Verdana"/>
                <w:sz w:val="24"/>
                <w:szCs w:val="24"/>
              </w:rPr>
              <w:fldChar w:fldCharType="begin">
                <w:ffData>
                  <w:name w:val="Check3"/>
                  <w:enabled/>
                  <w:calcOnExit w:val="0"/>
                  <w:checkBox>
                    <w:sizeAuto/>
                    <w:default w:val="0"/>
                  </w:checkBox>
                </w:ffData>
              </w:fldChar>
            </w:r>
            <w:bookmarkStart w:id="3" w:name="Check3"/>
            <w:r w:rsidRPr="00AC7380">
              <w:rPr>
                <w:rFonts w:ascii="Verdana" w:hAnsi="Verdana"/>
                <w:sz w:val="24"/>
                <w:szCs w:val="24"/>
              </w:rPr>
              <w:instrText xml:space="preserve"> FORMCHECKBOX </w:instrText>
            </w:r>
            <w:r w:rsidR="00942578">
              <w:rPr>
                <w:rFonts w:ascii="Verdana" w:hAnsi="Verdana"/>
                <w:sz w:val="24"/>
                <w:szCs w:val="24"/>
              </w:rPr>
            </w:r>
            <w:r w:rsidR="00942578">
              <w:rPr>
                <w:rFonts w:ascii="Verdana" w:hAnsi="Verdana"/>
                <w:sz w:val="24"/>
                <w:szCs w:val="24"/>
              </w:rPr>
              <w:fldChar w:fldCharType="separate"/>
            </w:r>
            <w:r w:rsidRPr="00AC7380">
              <w:rPr>
                <w:rFonts w:ascii="Verdana" w:hAnsi="Verdana"/>
                <w:sz w:val="24"/>
                <w:szCs w:val="24"/>
              </w:rPr>
              <w:fldChar w:fldCharType="end"/>
            </w:r>
            <w:bookmarkEnd w:id="3"/>
          </w:p>
        </w:tc>
        <w:tc>
          <w:tcPr>
            <w:tcW w:w="1137" w:type="dxa"/>
            <w:tcBorders>
              <w:bottom w:val="single" w:sz="4" w:space="0" w:color="auto"/>
            </w:tcBorders>
          </w:tcPr>
          <w:p w:rsidR="000A2ADC" w:rsidRPr="00AC7380" w:rsidRDefault="000A2ADC" w:rsidP="007344C2">
            <w:pPr>
              <w:jc w:val="center"/>
              <w:rPr>
                <w:rFonts w:ascii="Verdana" w:hAnsi="Verdana"/>
                <w:sz w:val="24"/>
                <w:szCs w:val="24"/>
              </w:rPr>
            </w:pPr>
            <w:r w:rsidRPr="00AC7380">
              <w:rPr>
                <w:rFonts w:ascii="Verdana" w:hAnsi="Verdana"/>
                <w:sz w:val="24"/>
                <w:szCs w:val="24"/>
              </w:rPr>
              <w:t>ADOPT</w:t>
            </w:r>
          </w:p>
          <w:p w:rsidR="000A2ADC" w:rsidRPr="00AC7380" w:rsidRDefault="000A2ADC" w:rsidP="007344C2">
            <w:pPr>
              <w:jc w:val="center"/>
              <w:rPr>
                <w:rFonts w:ascii="Verdana" w:hAnsi="Verdana"/>
                <w:sz w:val="24"/>
                <w:szCs w:val="24"/>
              </w:rPr>
            </w:pPr>
            <w:r w:rsidRPr="00AC7380">
              <w:rPr>
                <w:rFonts w:ascii="Verdana" w:hAnsi="Verdana"/>
                <w:sz w:val="24"/>
                <w:szCs w:val="24"/>
              </w:rPr>
              <w:fldChar w:fldCharType="begin">
                <w:ffData>
                  <w:name w:val="Check4"/>
                  <w:enabled/>
                  <w:calcOnExit w:val="0"/>
                  <w:checkBox>
                    <w:sizeAuto/>
                    <w:default w:val="0"/>
                  </w:checkBox>
                </w:ffData>
              </w:fldChar>
            </w:r>
            <w:bookmarkStart w:id="4" w:name="Check4"/>
            <w:r w:rsidRPr="00AC7380">
              <w:rPr>
                <w:rFonts w:ascii="Verdana" w:hAnsi="Verdana"/>
                <w:sz w:val="24"/>
                <w:szCs w:val="24"/>
              </w:rPr>
              <w:instrText xml:space="preserve"> FORMCHECKBOX </w:instrText>
            </w:r>
            <w:r w:rsidR="00942578">
              <w:rPr>
                <w:rFonts w:ascii="Verdana" w:hAnsi="Verdana"/>
                <w:sz w:val="24"/>
                <w:szCs w:val="24"/>
              </w:rPr>
            </w:r>
            <w:r w:rsidR="00942578">
              <w:rPr>
                <w:rFonts w:ascii="Verdana" w:hAnsi="Verdana"/>
                <w:sz w:val="24"/>
                <w:szCs w:val="24"/>
              </w:rPr>
              <w:fldChar w:fldCharType="separate"/>
            </w:r>
            <w:r w:rsidRPr="00AC7380">
              <w:rPr>
                <w:rFonts w:ascii="Verdana" w:hAnsi="Verdana"/>
                <w:sz w:val="24"/>
                <w:szCs w:val="24"/>
              </w:rPr>
              <w:fldChar w:fldCharType="end"/>
            </w:r>
            <w:bookmarkEnd w:id="4"/>
          </w:p>
        </w:tc>
        <w:tc>
          <w:tcPr>
            <w:tcW w:w="1731" w:type="dxa"/>
            <w:tcBorders>
              <w:bottom w:val="single" w:sz="4" w:space="0" w:color="auto"/>
            </w:tcBorders>
          </w:tcPr>
          <w:p w:rsidR="000A2ADC" w:rsidRPr="00AC7380" w:rsidRDefault="000A2ADC" w:rsidP="007344C2">
            <w:pPr>
              <w:jc w:val="center"/>
              <w:rPr>
                <w:rFonts w:ascii="Verdana" w:hAnsi="Verdana"/>
                <w:sz w:val="24"/>
                <w:szCs w:val="24"/>
              </w:rPr>
            </w:pPr>
            <w:r w:rsidRPr="00AC7380">
              <w:rPr>
                <w:rFonts w:ascii="Verdana" w:hAnsi="Verdana"/>
                <w:sz w:val="24"/>
                <w:szCs w:val="24"/>
              </w:rPr>
              <w:t>ASSURANCE</w:t>
            </w:r>
          </w:p>
          <w:p w:rsidR="000A2ADC" w:rsidRPr="00AC7380" w:rsidRDefault="000A2ADC" w:rsidP="007344C2">
            <w:pPr>
              <w:jc w:val="center"/>
              <w:rPr>
                <w:rFonts w:ascii="Verdana" w:hAnsi="Verdana"/>
                <w:sz w:val="24"/>
                <w:szCs w:val="24"/>
              </w:rPr>
            </w:pPr>
            <w:r>
              <w:rPr>
                <w:rFonts w:ascii="Verdana" w:hAnsi="Verdana"/>
                <w:sz w:val="24"/>
                <w:szCs w:val="24"/>
              </w:rPr>
              <w:fldChar w:fldCharType="begin">
                <w:ffData>
                  <w:name w:val="Check5"/>
                  <w:enabled/>
                  <w:calcOnExit w:val="0"/>
                  <w:checkBox>
                    <w:sizeAuto/>
                    <w:default w:val="1"/>
                  </w:checkBox>
                </w:ffData>
              </w:fldChar>
            </w:r>
            <w:bookmarkStart w:id="5" w:name="Check5"/>
            <w:r>
              <w:rPr>
                <w:rFonts w:ascii="Verdana" w:hAnsi="Verdana"/>
                <w:sz w:val="24"/>
                <w:szCs w:val="24"/>
              </w:rPr>
              <w:instrText xml:space="preserve"> FORMCHECKBOX </w:instrText>
            </w:r>
            <w:r w:rsidR="00942578">
              <w:rPr>
                <w:rFonts w:ascii="Verdana" w:hAnsi="Verdana"/>
                <w:sz w:val="24"/>
                <w:szCs w:val="24"/>
              </w:rPr>
            </w:r>
            <w:r w:rsidR="00942578">
              <w:rPr>
                <w:rFonts w:ascii="Verdana" w:hAnsi="Verdana"/>
                <w:sz w:val="24"/>
                <w:szCs w:val="24"/>
              </w:rPr>
              <w:fldChar w:fldCharType="separate"/>
            </w:r>
            <w:r>
              <w:rPr>
                <w:rFonts w:ascii="Verdana" w:hAnsi="Verdana"/>
                <w:sz w:val="24"/>
                <w:szCs w:val="24"/>
              </w:rPr>
              <w:fldChar w:fldCharType="end"/>
            </w:r>
            <w:bookmarkEnd w:id="5"/>
          </w:p>
        </w:tc>
      </w:tr>
      <w:tr w:rsidR="000A2ADC" w:rsidRPr="00AC7380" w:rsidTr="009B0876">
        <w:tc>
          <w:tcPr>
            <w:tcW w:w="9026" w:type="dxa"/>
            <w:gridSpan w:val="8"/>
            <w:tcBorders>
              <w:bottom w:val="single" w:sz="4" w:space="0" w:color="auto"/>
            </w:tcBorders>
          </w:tcPr>
          <w:p w:rsidR="000A2ADC" w:rsidRDefault="000A2ADC" w:rsidP="007344C2">
            <w:pPr>
              <w:rPr>
                <w:rFonts w:ascii="Verdana" w:hAnsi="Verdana"/>
                <w:sz w:val="24"/>
                <w:szCs w:val="24"/>
              </w:rPr>
            </w:pPr>
            <w:r w:rsidRPr="00AC7380">
              <w:rPr>
                <w:rFonts w:ascii="Verdana" w:hAnsi="Verdana"/>
                <w:sz w:val="24"/>
                <w:szCs w:val="24"/>
              </w:rPr>
              <w:t xml:space="preserve">The Board is asked to: </w:t>
            </w:r>
          </w:p>
          <w:p w:rsidR="004C092E" w:rsidRPr="00423278" w:rsidRDefault="004C092E" w:rsidP="007344C2">
            <w:pPr>
              <w:rPr>
                <w:rFonts w:ascii="Verdana" w:hAnsi="Verdana"/>
                <w:sz w:val="8"/>
                <w:szCs w:val="24"/>
              </w:rPr>
            </w:pPr>
          </w:p>
          <w:p w:rsidR="00995393" w:rsidRDefault="000A2ADC" w:rsidP="00FB60D9">
            <w:pPr>
              <w:numPr>
                <w:ilvl w:val="0"/>
                <w:numId w:val="2"/>
              </w:numPr>
              <w:ind w:left="851" w:hanging="567"/>
              <w:contextualSpacing/>
              <w:rPr>
                <w:rFonts w:ascii="Verdana" w:hAnsi="Verdana"/>
                <w:sz w:val="24"/>
                <w:szCs w:val="24"/>
              </w:rPr>
            </w:pPr>
            <w:r w:rsidRPr="00365579">
              <w:rPr>
                <w:rFonts w:ascii="Verdana" w:hAnsi="Verdana"/>
                <w:b/>
                <w:sz w:val="24"/>
                <w:szCs w:val="24"/>
              </w:rPr>
              <w:t xml:space="preserve">Discuss </w:t>
            </w:r>
            <w:r w:rsidR="00603EE9">
              <w:rPr>
                <w:rFonts w:ascii="Verdana" w:hAnsi="Verdana"/>
                <w:sz w:val="24"/>
                <w:szCs w:val="24"/>
              </w:rPr>
              <w:t xml:space="preserve">and scrutinise the paper </w:t>
            </w:r>
            <w:r w:rsidRPr="00365579">
              <w:rPr>
                <w:rFonts w:ascii="Verdana" w:hAnsi="Verdana"/>
                <w:sz w:val="24"/>
                <w:szCs w:val="24"/>
              </w:rPr>
              <w:t>and provide feedback and comments</w:t>
            </w:r>
            <w:r w:rsidR="00E25CF9">
              <w:rPr>
                <w:rFonts w:ascii="Verdana" w:hAnsi="Verdana"/>
                <w:sz w:val="24"/>
                <w:szCs w:val="24"/>
              </w:rPr>
              <w:t>.</w:t>
            </w:r>
          </w:p>
          <w:p w:rsidR="00FB60D9" w:rsidRDefault="00FB60D9" w:rsidP="00FB60D9">
            <w:pPr>
              <w:contextualSpacing/>
              <w:rPr>
                <w:rFonts w:ascii="Verdana" w:hAnsi="Verdana"/>
                <w:sz w:val="24"/>
                <w:szCs w:val="24"/>
              </w:rPr>
            </w:pPr>
          </w:p>
          <w:p w:rsidR="00FB60D9" w:rsidRPr="00FB60D9" w:rsidRDefault="00FB60D9" w:rsidP="00FB60D9">
            <w:pPr>
              <w:contextualSpacing/>
              <w:rPr>
                <w:rFonts w:ascii="Verdana" w:hAnsi="Verdana"/>
                <w:sz w:val="24"/>
                <w:szCs w:val="24"/>
              </w:rPr>
            </w:pPr>
          </w:p>
        </w:tc>
      </w:tr>
      <w:tr w:rsidR="000A2ADC" w:rsidRPr="00AC7380" w:rsidTr="00A91FD8">
        <w:tc>
          <w:tcPr>
            <w:tcW w:w="9026" w:type="dxa"/>
            <w:gridSpan w:val="8"/>
            <w:tcBorders>
              <w:left w:val="nil"/>
              <w:right w:val="nil"/>
            </w:tcBorders>
            <w:shd w:val="clear" w:color="auto" w:fill="auto"/>
          </w:tcPr>
          <w:p w:rsidR="000A2ADC" w:rsidRDefault="000A2ADC" w:rsidP="007344C2">
            <w:pPr>
              <w:rPr>
                <w:rFonts w:ascii="Verdana" w:hAnsi="Verdana"/>
                <w:b/>
                <w:sz w:val="12"/>
                <w:szCs w:val="12"/>
              </w:rPr>
            </w:pPr>
          </w:p>
          <w:p w:rsidR="00A91FD8" w:rsidRPr="00AC7380" w:rsidRDefault="00A91FD8" w:rsidP="007344C2">
            <w:pPr>
              <w:rPr>
                <w:rFonts w:ascii="Verdana" w:hAnsi="Verdana"/>
                <w:b/>
                <w:sz w:val="12"/>
                <w:szCs w:val="12"/>
              </w:rPr>
            </w:pPr>
          </w:p>
        </w:tc>
      </w:tr>
      <w:tr w:rsidR="000A2ADC" w:rsidRPr="00AC7380" w:rsidTr="00A91FD8">
        <w:tc>
          <w:tcPr>
            <w:tcW w:w="9026" w:type="dxa"/>
            <w:gridSpan w:val="8"/>
            <w:shd w:val="clear" w:color="auto" w:fill="F2F2F2" w:themeFill="background1" w:themeFillShade="F2"/>
          </w:tcPr>
          <w:p w:rsidR="000A2ADC" w:rsidRPr="00AC7380" w:rsidRDefault="000A2ADC" w:rsidP="007344C2">
            <w:pPr>
              <w:rPr>
                <w:rFonts w:ascii="Verdana" w:hAnsi="Verdana"/>
                <w:sz w:val="24"/>
                <w:szCs w:val="24"/>
              </w:rPr>
            </w:pPr>
            <w:r w:rsidRPr="00AC7380">
              <w:rPr>
                <w:rFonts w:ascii="Verdana" w:hAnsi="Verdana"/>
                <w:b/>
                <w:sz w:val="24"/>
                <w:szCs w:val="24"/>
              </w:rPr>
              <w:lastRenderedPageBreak/>
              <w:t xml:space="preserve">Link to Public Health Wales </w:t>
            </w:r>
            <w:hyperlink r:id="rId9" w:history="1">
              <w:r w:rsidRPr="00AC7380">
                <w:rPr>
                  <w:rFonts w:ascii="Verdana" w:hAnsi="Verdana"/>
                  <w:b/>
                  <w:color w:val="0000FF" w:themeColor="hyperlink"/>
                  <w:sz w:val="24"/>
                  <w:szCs w:val="24"/>
                  <w:u w:val="single"/>
                </w:rPr>
                <w:t>Strategic Plan</w:t>
              </w:r>
            </w:hyperlink>
          </w:p>
          <w:p w:rsidR="000A2ADC" w:rsidRPr="00AC7380" w:rsidRDefault="000A2ADC" w:rsidP="007344C2">
            <w:pPr>
              <w:rPr>
                <w:rFonts w:ascii="Verdana" w:hAnsi="Verdana"/>
                <w:sz w:val="24"/>
                <w:szCs w:val="24"/>
              </w:rPr>
            </w:pPr>
          </w:p>
          <w:p w:rsidR="000A2ADC" w:rsidRPr="00AC7380" w:rsidRDefault="000A2ADC" w:rsidP="007344C2">
            <w:pPr>
              <w:rPr>
                <w:rFonts w:ascii="Verdana" w:hAnsi="Verdana"/>
                <w:sz w:val="24"/>
                <w:szCs w:val="24"/>
              </w:rPr>
            </w:pPr>
            <w:r w:rsidRPr="00AC7380">
              <w:rPr>
                <w:rFonts w:ascii="Verdana" w:hAnsi="Verdana"/>
                <w:sz w:val="24"/>
                <w:szCs w:val="24"/>
              </w:rPr>
              <w:t xml:space="preserve">Public Health Wales has an agreed strategic plan, which has identified seven strategic priorities and well-being objectives.  </w:t>
            </w:r>
          </w:p>
          <w:p w:rsidR="000A2ADC" w:rsidRPr="00AC7380" w:rsidRDefault="000A2ADC" w:rsidP="007344C2">
            <w:pPr>
              <w:rPr>
                <w:rFonts w:ascii="Verdana" w:hAnsi="Verdana"/>
                <w:sz w:val="24"/>
                <w:szCs w:val="24"/>
              </w:rPr>
            </w:pPr>
          </w:p>
          <w:p w:rsidR="000A2ADC" w:rsidRPr="00AC7380" w:rsidRDefault="000A2ADC" w:rsidP="007344C2">
            <w:pPr>
              <w:rPr>
                <w:rFonts w:ascii="Verdana" w:eastAsia="Verdana" w:hAnsi="Verdana"/>
                <w:sz w:val="24"/>
                <w:szCs w:val="24"/>
              </w:rPr>
            </w:pPr>
            <w:r w:rsidRPr="00AC7380">
              <w:rPr>
                <w:rFonts w:ascii="Verdana" w:eastAsia="Verdana" w:hAnsi="Verdana"/>
                <w:sz w:val="24"/>
                <w:szCs w:val="24"/>
              </w:rPr>
              <w:t>In order for Pu</w:t>
            </w:r>
            <w:r w:rsidR="00531AA6">
              <w:rPr>
                <w:rFonts w:ascii="Verdana" w:eastAsia="Verdana" w:hAnsi="Verdana"/>
                <w:sz w:val="24"/>
                <w:szCs w:val="24"/>
              </w:rPr>
              <w:t>b</w:t>
            </w:r>
            <w:r w:rsidR="007A5F6D">
              <w:rPr>
                <w:rFonts w:ascii="Verdana" w:eastAsia="Verdana" w:hAnsi="Verdana"/>
                <w:sz w:val="24"/>
                <w:szCs w:val="24"/>
              </w:rPr>
              <w:t>lic Health Wales to deliver the</w:t>
            </w:r>
            <w:r w:rsidRPr="00AC7380">
              <w:rPr>
                <w:rFonts w:ascii="Verdana" w:eastAsia="Verdana" w:hAnsi="Verdana"/>
                <w:sz w:val="24"/>
                <w:szCs w:val="24"/>
              </w:rPr>
              <w:t xml:space="preserve"> strategic plan, effective performance management arrangements need to be in place to monitor and report on progress against achieving our strategic priorities to improve health outcomes. This intelligence is used to draw the Board’s attention to areas of underperformance and is fundamental for effective and efficient decision making.</w:t>
            </w:r>
          </w:p>
          <w:p w:rsidR="000A2ADC" w:rsidRPr="00AC7380" w:rsidRDefault="000A2ADC" w:rsidP="007344C2">
            <w:pPr>
              <w:rPr>
                <w:rFonts w:ascii="Verdana" w:hAnsi="Verdana"/>
                <w:bCs/>
                <w:sz w:val="24"/>
                <w:szCs w:val="24"/>
              </w:rPr>
            </w:pPr>
          </w:p>
          <w:p w:rsidR="000A2ADC" w:rsidRPr="00AC7380" w:rsidRDefault="000A2ADC" w:rsidP="007344C2">
            <w:pPr>
              <w:rPr>
                <w:rFonts w:ascii="Verdana" w:hAnsi="Verdana"/>
                <w:sz w:val="24"/>
                <w:szCs w:val="24"/>
              </w:rPr>
            </w:pPr>
            <w:r w:rsidRPr="00AC7380">
              <w:rPr>
                <w:rFonts w:ascii="Verdana" w:hAnsi="Verdana"/>
                <w:sz w:val="24"/>
                <w:szCs w:val="24"/>
              </w:rPr>
              <w:t>This report contributes to the following:</w:t>
            </w:r>
          </w:p>
        </w:tc>
      </w:tr>
      <w:tr w:rsidR="000A2ADC" w:rsidRPr="00AC7380" w:rsidTr="009B0876">
        <w:tc>
          <w:tcPr>
            <w:tcW w:w="3838" w:type="dxa"/>
            <w:gridSpan w:val="3"/>
            <w:shd w:val="clear" w:color="auto" w:fill="auto"/>
          </w:tcPr>
          <w:p w:rsidR="000A2ADC" w:rsidRPr="00AC7380" w:rsidRDefault="000A2ADC" w:rsidP="007344C2">
            <w:pPr>
              <w:rPr>
                <w:rFonts w:ascii="Verdana" w:hAnsi="Verdana"/>
                <w:b/>
                <w:sz w:val="24"/>
                <w:szCs w:val="24"/>
              </w:rPr>
            </w:pPr>
            <w:r w:rsidRPr="00AC7380">
              <w:rPr>
                <w:rFonts w:ascii="Verdana" w:hAnsi="Verdana"/>
                <w:b/>
                <w:sz w:val="24"/>
                <w:szCs w:val="24"/>
              </w:rPr>
              <w:t>Strategic Priority/Well-being Objective</w:t>
            </w:r>
          </w:p>
        </w:tc>
        <w:tc>
          <w:tcPr>
            <w:tcW w:w="5188" w:type="dxa"/>
            <w:gridSpan w:val="5"/>
            <w:shd w:val="clear" w:color="auto" w:fill="auto"/>
          </w:tcPr>
          <w:p w:rsidR="000A2ADC" w:rsidRPr="00AC7380" w:rsidRDefault="00942578" w:rsidP="007344C2">
            <w:pPr>
              <w:rPr>
                <w:rFonts w:ascii="Verdana" w:hAnsi="Verdana"/>
                <w:sz w:val="24"/>
                <w:szCs w:val="24"/>
              </w:rPr>
            </w:pPr>
            <w:sdt>
              <w:sdtPr>
                <w:rPr>
                  <w:rFonts w:ascii="Verdana" w:hAnsi="Verdana"/>
                  <w:szCs w:val="24"/>
                </w:rPr>
                <w:alias w:val="Strategic Objective"/>
                <w:tag w:val="Strategic Objective"/>
                <w:id w:val="1886465"/>
                <w:placeholder>
                  <w:docPart w:val="D178AE7801394721A436DF684BE50CBB"/>
                </w:placeholder>
                <w:dropDownList>
                  <w:listItem w:value="Choose an item."/>
                  <w:listItem w:displayText="1 - Influencing the wider determinants of health" w:value="1 - Influencing the wider determinants of health"/>
                  <w:listItem w:displayText="2 - Improving mental-well-being and building resilience" w:value="2 - Improving mental-well-being and building resilience"/>
                  <w:listItem w:displayText="3 - Promoting healthy behaviours" w:value="3 - Promoting healthy behaviours"/>
                  <w:listItem w:displayText="4 - Securing a healthy future for the next generation through a focus on early years" w:value="4 - Securing a healthy future for the next generation through a focus on early years"/>
                  <w:listItem w:displayText="5 - Protecting the public from infection and environmental threats to health" w:value="5 - Protecting the public from infection and environmental threats to health"/>
                  <w:listItem w:displayText="6 - Supporting the development of a sustainable health and care system focused on prevention and early intervention" w:value="6 - Supporting the development of a sustainable health and care system focused on prevention and early intervention"/>
                  <w:listItem w:displayText="7 - Building and mobilising knowledge and skills to improve health and well-being across Wales" w:value="7 - Building and mobilising knowledge and skills to improve health and well-being across Wales"/>
                  <w:listItem w:displayText="All Strategic Priorities/Well-being Objectives" w:value="All Strategic Priorities/Well-being Objectives"/>
                </w:dropDownList>
              </w:sdtPr>
              <w:sdtEndPr/>
              <w:sdtContent>
                <w:r w:rsidR="000A2ADC" w:rsidRPr="00AC7380">
                  <w:rPr>
                    <w:rFonts w:ascii="Verdana" w:hAnsi="Verdana"/>
                    <w:szCs w:val="24"/>
                  </w:rPr>
                  <w:t>All Strategic Priorities/Well-being Objectives</w:t>
                </w:r>
              </w:sdtContent>
            </w:sdt>
          </w:p>
        </w:tc>
      </w:tr>
      <w:tr w:rsidR="000A2ADC" w:rsidRPr="00AC7380" w:rsidTr="00A91FD8">
        <w:tc>
          <w:tcPr>
            <w:tcW w:w="9026" w:type="dxa"/>
            <w:gridSpan w:val="8"/>
            <w:tcBorders>
              <w:left w:val="nil"/>
              <w:right w:val="nil"/>
            </w:tcBorders>
            <w:shd w:val="clear" w:color="auto" w:fill="auto"/>
          </w:tcPr>
          <w:p w:rsidR="000A2ADC" w:rsidRPr="00AC7380" w:rsidRDefault="000A2ADC" w:rsidP="007344C2">
            <w:pPr>
              <w:rPr>
                <w:rFonts w:ascii="Verdana" w:hAnsi="Verdana"/>
                <w:b/>
                <w:sz w:val="12"/>
                <w:szCs w:val="12"/>
              </w:rPr>
            </w:pPr>
          </w:p>
        </w:tc>
      </w:tr>
      <w:tr w:rsidR="000A2ADC" w:rsidRPr="00AC7380" w:rsidTr="00A91FD8">
        <w:tc>
          <w:tcPr>
            <w:tcW w:w="9026" w:type="dxa"/>
            <w:gridSpan w:val="8"/>
            <w:shd w:val="clear" w:color="auto" w:fill="F2F2F2" w:themeFill="background1" w:themeFillShade="F2"/>
          </w:tcPr>
          <w:p w:rsidR="000A2ADC" w:rsidRPr="00AC7380" w:rsidRDefault="000A2ADC" w:rsidP="007344C2">
            <w:pPr>
              <w:rPr>
                <w:rFonts w:ascii="Verdana" w:hAnsi="Verdana"/>
                <w:i/>
                <w:color w:val="FF0000"/>
                <w:sz w:val="24"/>
                <w:szCs w:val="24"/>
              </w:rPr>
            </w:pPr>
            <w:r w:rsidRPr="00AC7380">
              <w:rPr>
                <w:rFonts w:ascii="Verdana" w:hAnsi="Verdana"/>
                <w:b/>
                <w:sz w:val="24"/>
                <w:szCs w:val="24"/>
              </w:rPr>
              <w:t xml:space="preserve">Summary impact analysis </w:t>
            </w:r>
            <w:r w:rsidRPr="00AC7380">
              <w:rPr>
                <w:rFonts w:ascii="Verdana" w:hAnsi="Verdana"/>
                <w:i/>
                <w:color w:val="FF0000"/>
                <w:sz w:val="24"/>
                <w:szCs w:val="24"/>
              </w:rPr>
              <w:t xml:space="preserve"> </w:t>
            </w:r>
          </w:p>
          <w:p w:rsidR="000A2ADC" w:rsidRPr="00AC7380" w:rsidRDefault="000A2ADC" w:rsidP="007344C2">
            <w:pPr>
              <w:rPr>
                <w:rFonts w:ascii="Verdana" w:hAnsi="Verdana"/>
                <w:color w:val="FF0000"/>
                <w:sz w:val="24"/>
                <w:szCs w:val="24"/>
              </w:rPr>
            </w:pPr>
          </w:p>
        </w:tc>
      </w:tr>
      <w:tr w:rsidR="000A2ADC" w:rsidRPr="00AC7380" w:rsidTr="009B0876">
        <w:tc>
          <w:tcPr>
            <w:tcW w:w="3838" w:type="dxa"/>
            <w:gridSpan w:val="3"/>
          </w:tcPr>
          <w:p w:rsidR="000A2ADC" w:rsidRPr="00AC7380" w:rsidRDefault="000A2ADC" w:rsidP="007344C2">
            <w:pPr>
              <w:rPr>
                <w:rFonts w:ascii="Verdana" w:hAnsi="Verdana"/>
                <w:b/>
                <w:sz w:val="24"/>
                <w:szCs w:val="24"/>
              </w:rPr>
            </w:pPr>
            <w:r w:rsidRPr="00AC7380">
              <w:rPr>
                <w:rFonts w:ascii="Verdana" w:hAnsi="Verdana"/>
                <w:b/>
                <w:sz w:val="24"/>
                <w:szCs w:val="24"/>
              </w:rPr>
              <w:t>Equality and Health Impact Assessment</w:t>
            </w:r>
          </w:p>
        </w:tc>
        <w:tc>
          <w:tcPr>
            <w:tcW w:w="5188" w:type="dxa"/>
            <w:gridSpan w:val="5"/>
          </w:tcPr>
          <w:p w:rsidR="000A2ADC" w:rsidRPr="00AC7380" w:rsidRDefault="000A2ADC" w:rsidP="007344C2">
            <w:pPr>
              <w:rPr>
                <w:rFonts w:ascii="Verdana" w:hAnsi="Verdana"/>
                <w:i/>
                <w:sz w:val="24"/>
                <w:szCs w:val="24"/>
              </w:rPr>
            </w:pPr>
            <w:r w:rsidRPr="00AC7380">
              <w:rPr>
                <w:rFonts w:ascii="Verdana" w:hAnsi="Verdana"/>
                <w:sz w:val="24"/>
                <w:szCs w:val="24"/>
              </w:rPr>
              <w:t>An Equality and Health Impact Assessment is not required. Equality and Health Impact Assessments will be completed as part of delivery of the specific actions within the Plan.</w:t>
            </w:r>
          </w:p>
        </w:tc>
      </w:tr>
      <w:tr w:rsidR="000A2ADC" w:rsidRPr="00AC7380" w:rsidTr="009B0876">
        <w:tc>
          <w:tcPr>
            <w:tcW w:w="3838" w:type="dxa"/>
            <w:gridSpan w:val="3"/>
          </w:tcPr>
          <w:p w:rsidR="000A2ADC" w:rsidRPr="00AC7380" w:rsidRDefault="000A2ADC" w:rsidP="007344C2">
            <w:pPr>
              <w:rPr>
                <w:rFonts w:ascii="Verdana" w:hAnsi="Verdana"/>
                <w:b/>
                <w:sz w:val="24"/>
                <w:szCs w:val="24"/>
              </w:rPr>
            </w:pPr>
            <w:r w:rsidRPr="00AC7380">
              <w:rPr>
                <w:rFonts w:ascii="Verdana" w:hAnsi="Verdana"/>
                <w:b/>
                <w:sz w:val="24"/>
                <w:szCs w:val="24"/>
              </w:rPr>
              <w:t>Risk and Assurance</w:t>
            </w:r>
          </w:p>
        </w:tc>
        <w:tc>
          <w:tcPr>
            <w:tcW w:w="5188" w:type="dxa"/>
            <w:gridSpan w:val="5"/>
            <w:tcBorders>
              <w:bottom w:val="single" w:sz="4" w:space="0" w:color="auto"/>
            </w:tcBorders>
          </w:tcPr>
          <w:p w:rsidR="000A2ADC" w:rsidRPr="00AC7380" w:rsidRDefault="000A2ADC" w:rsidP="007344C2">
            <w:pPr>
              <w:rPr>
                <w:rFonts w:ascii="Verdana" w:hAnsi="Verdana"/>
                <w:sz w:val="24"/>
                <w:szCs w:val="24"/>
              </w:rPr>
            </w:pPr>
            <w:r w:rsidRPr="00AC7380">
              <w:rPr>
                <w:rFonts w:ascii="Verdana" w:hAnsi="Verdana"/>
                <w:sz w:val="24"/>
                <w:szCs w:val="24"/>
              </w:rPr>
              <w:t>Our Strategic Risks are detailed within Our Strategic Plan</w:t>
            </w:r>
            <w:r w:rsidR="00603EE9">
              <w:rPr>
                <w:rFonts w:ascii="Verdana" w:hAnsi="Verdana"/>
                <w:sz w:val="24"/>
                <w:szCs w:val="24"/>
              </w:rPr>
              <w:t xml:space="preserve"> and the Implementation Plan for the Test Trace Protect Strategy.</w:t>
            </w:r>
          </w:p>
        </w:tc>
      </w:tr>
      <w:tr w:rsidR="000A2ADC" w:rsidRPr="00AC7380" w:rsidTr="009B0876">
        <w:trPr>
          <w:trHeight w:val="1030"/>
        </w:trPr>
        <w:tc>
          <w:tcPr>
            <w:tcW w:w="3838" w:type="dxa"/>
            <w:gridSpan w:val="3"/>
            <w:vMerge w:val="restart"/>
          </w:tcPr>
          <w:p w:rsidR="000A2ADC" w:rsidRPr="00AC7380" w:rsidRDefault="000A2ADC" w:rsidP="007344C2">
            <w:pPr>
              <w:rPr>
                <w:rFonts w:ascii="Verdana" w:hAnsi="Verdana"/>
                <w:b/>
                <w:sz w:val="24"/>
                <w:szCs w:val="24"/>
              </w:rPr>
            </w:pPr>
            <w:r w:rsidRPr="00AC7380">
              <w:rPr>
                <w:rFonts w:ascii="Verdana" w:hAnsi="Verdana"/>
                <w:b/>
                <w:sz w:val="24"/>
                <w:szCs w:val="24"/>
              </w:rPr>
              <w:t>Health and Care Standards</w:t>
            </w:r>
          </w:p>
        </w:tc>
        <w:tc>
          <w:tcPr>
            <w:tcW w:w="5188" w:type="dxa"/>
            <w:gridSpan w:val="5"/>
            <w:tcBorders>
              <w:bottom w:val="nil"/>
            </w:tcBorders>
          </w:tcPr>
          <w:p w:rsidR="000A2ADC" w:rsidRPr="00AC7380" w:rsidRDefault="000A2ADC" w:rsidP="007344C2">
            <w:pPr>
              <w:rPr>
                <w:rFonts w:ascii="Verdana" w:hAnsi="Verdana"/>
                <w:sz w:val="24"/>
                <w:szCs w:val="24"/>
              </w:rPr>
            </w:pPr>
            <w:r w:rsidRPr="00AC7380">
              <w:rPr>
                <w:rFonts w:ascii="Verdana" w:hAnsi="Verdana"/>
                <w:sz w:val="24"/>
                <w:szCs w:val="24"/>
              </w:rPr>
              <w:t>This report supports and/or takes into account the</w:t>
            </w:r>
            <w:r w:rsidRPr="00AC7380">
              <w:rPr>
                <w:rFonts w:ascii="Verdana" w:hAnsi="Verdana"/>
                <w:color w:val="404040" w:themeColor="text1" w:themeTint="BF"/>
                <w:sz w:val="24"/>
                <w:szCs w:val="24"/>
              </w:rPr>
              <w:t xml:space="preserve"> </w:t>
            </w:r>
            <w:hyperlink r:id="rId10" w:history="1">
              <w:r w:rsidRPr="00AC7380">
                <w:rPr>
                  <w:rFonts w:ascii="Verdana" w:hAnsi="Verdana"/>
                  <w:color w:val="0000FF"/>
                  <w:sz w:val="24"/>
                  <w:szCs w:val="24"/>
                  <w:u w:val="single"/>
                </w:rPr>
                <w:t>Health and Care Standards for NHS Wales</w:t>
              </w:r>
            </w:hyperlink>
            <w:r w:rsidRPr="00AC7380">
              <w:rPr>
                <w:rFonts w:ascii="Verdana" w:hAnsi="Verdana"/>
                <w:sz w:val="24"/>
                <w:szCs w:val="24"/>
              </w:rPr>
              <w:t xml:space="preserve"> Quality Themes </w:t>
            </w:r>
          </w:p>
        </w:tc>
      </w:tr>
      <w:tr w:rsidR="000A2ADC" w:rsidRPr="00AC7380" w:rsidTr="009B0876">
        <w:trPr>
          <w:trHeight w:val="281"/>
        </w:trPr>
        <w:tc>
          <w:tcPr>
            <w:tcW w:w="3838" w:type="dxa"/>
            <w:gridSpan w:val="3"/>
            <w:vMerge/>
          </w:tcPr>
          <w:p w:rsidR="000A2ADC" w:rsidRPr="00AC7380" w:rsidRDefault="000A2ADC" w:rsidP="007344C2">
            <w:pPr>
              <w:rPr>
                <w:rFonts w:ascii="Verdana" w:hAnsi="Verdana"/>
                <w:b/>
                <w:sz w:val="24"/>
                <w:szCs w:val="24"/>
              </w:rPr>
            </w:pPr>
          </w:p>
        </w:tc>
        <w:tc>
          <w:tcPr>
            <w:tcW w:w="5188" w:type="dxa"/>
            <w:gridSpan w:val="5"/>
            <w:tcBorders>
              <w:top w:val="nil"/>
              <w:bottom w:val="nil"/>
            </w:tcBorders>
          </w:tcPr>
          <w:sdt>
            <w:sdtPr>
              <w:rPr>
                <w:rFonts w:ascii="Verdana" w:hAnsi="Verdana"/>
                <w:szCs w:val="24"/>
              </w:rPr>
              <w:alias w:val="Health and Care Standards"/>
              <w:tag w:val="Health and Care Standards"/>
              <w:id w:val="29471429"/>
              <w:placeholder>
                <w:docPart w:val="FE97394D53524DD7833A54A90B84E4E7"/>
              </w:placeholder>
              <w:dropDownList>
                <w:listItem w:value="Choose an item."/>
                <w:listItem w:displayText="Governance, Leadership and Accountability" w:value="Governance, Leadership and Accountability"/>
                <w:listItem w:displayText="Person Centred Care" w:value="Person Centred Care"/>
                <w:listItem w:displayText="Theme 1 - Staying Healthy" w:value="Theme 1 - Staying Healthy"/>
                <w:listItem w:displayText="Theme 2 - Safe Care" w:value="Theme 2 - Safe Care"/>
                <w:listItem w:displayText="Theme 3 - Effective Care" w:value="Theme 3 - Effective Care"/>
                <w:listItem w:displayText="Theme 4 - Dignified Care" w:value="Theme 4 - Dignified Care"/>
                <w:listItem w:displayText="Theme 5 - Timely Care" w:value="Theme 5 - Timely Care"/>
                <w:listItem w:displayText="Theme 6 - Individual Care" w:value="Theme 6 - Individual Care"/>
                <w:listItem w:displayText="Theme 7 - Staff and Resources" w:value="Theme 7 - Staff and Resources"/>
                <w:listItem w:displayText="All themes" w:value="All themes"/>
              </w:dropDownList>
            </w:sdtPr>
            <w:sdtEndPr/>
            <w:sdtContent>
              <w:p w:rsidR="000A2ADC" w:rsidRPr="00AC7380" w:rsidRDefault="000A2ADC" w:rsidP="007344C2">
                <w:pPr>
                  <w:ind w:left="436"/>
                  <w:rPr>
                    <w:rFonts w:ascii="Verdana" w:hAnsi="Verdana"/>
                    <w:sz w:val="24"/>
                    <w:szCs w:val="24"/>
                  </w:rPr>
                </w:pPr>
                <w:r w:rsidRPr="00AC7380">
                  <w:rPr>
                    <w:rFonts w:ascii="Verdana" w:hAnsi="Verdana"/>
                    <w:szCs w:val="24"/>
                  </w:rPr>
                  <w:t>All themes</w:t>
                </w:r>
              </w:p>
            </w:sdtContent>
          </w:sdt>
        </w:tc>
      </w:tr>
      <w:tr w:rsidR="000A2ADC" w:rsidRPr="00AC7380" w:rsidTr="009B0876">
        <w:tc>
          <w:tcPr>
            <w:tcW w:w="3838" w:type="dxa"/>
            <w:gridSpan w:val="3"/>
          </w:tcPr>
          <w:p w:rsidR="000A2ADC" w:rsidRPr="00AC7380" w:rsidRDefault="000A2ADC" w:rsidP="007344C2">
            <w:pPr>
              <w:rPr>
                <w:rFonts w:ascii="Verdana" w:hAnsi="Verdana"/>
                <w:b/>
                <w:sz w:val="24"/>
                <w:szCs w:val="24"/>
              </w:rPr>
            </w:pPr>
            <w:r w:rsidRPr="00AC7380">
              <w:rPr>
                <w:rFonts w:ascii="Verdana" w:hAnsi="Verdana"/>
                <w:b/>
                <w:sz w:val="24"/>
                <w:szCs w:val="24"/>
              </w:rPr>
              <w:t>Financial implications</w:t>
            </w:r>
          </w:p>
        </w:tc>
        <w:tc>
          <w:tcPr>
            <w:tcW w:w="5188" w:type="dxa"/>
            <w:gridSpan w:val="5"/>
          </w:tcPr>
          <w:p w:rsidR="000A2ADC" w:rsidRPr="00AC7380" w:rsidRDefault="000A2ADC" w:rsidP="007344C2">
            <w:pPr>
              <w:rPr>
                <w:rFonts w:ascii="Verdana" w:hAnsi="Verdana"/>
                <w:sz w:val="24"/>
                <w:szCs w:val="24"/>
              </w:rPr>
            </w:pPr>
            <w:r w:rsidRPr="00AC7380">
              <w:rPr>
                <w:rFonts w:ascii="Verdana" w:hAnsi="Verdana"/>
                <w:sz w:val="24"/>
                <w:szCs w:val="24"/>
              </w:rPr>
              <w:t>An update on the organisation’s financial performance is enclosed</w:t>
            </w:r>
          </w:p>
        </w:tc>
      </w:tr>
      <w:tr w:rsidR="000A2ADC" w:rsidRPr="00AC7380" w:rsidTr="009B0876">
        <w:tc>
          <w:tcPr>
            <w:tcW w:w="3838" w:type="dxa"/>
            <w:gridSpan w:val="3"/>
          </w:tcPr>
          <w:p w:rsidR="000A2ADC" w:rsidRPr="00AC7380" w:rsidRDefault="000A2ADC" w:rsidP="007344C2">
            <w:pPr>
              <w:rPr>
                <w:rFonts w:ascii="Verdana" w:hAnsi="Verdana"/>
                <w:b/>
                <w:sz w:val="24"/>
                <w:szCs w:val="24"/>
              </w:rPr>
            </w:pPr>
            <w:r w:rsidRPr="00AC7380">
              <w:rPr>
                <w:rFonts w:ascii="Verdana" w:hAnsi="Verdana"/>
                <w:b/>
                <w:sz w:val="24"/>
                <w:szCs w:val="24"/>
              </w:rPr>
              <w:t xml:space="preserve">People implications </w:t>
            </w:r>
          </w:p>
        </w:tc>
        <w:tc>
          <w:tcPr>
            <w:tcW w:w="5188" w:type="dxa"/>
            <w:gridSpan w:val="5"/>
            <w:tcBorders>
              <w:bottom w:val="single" w:sz="4" w:space="0" w:color="auto"/>
            </w:tcBorders>
          </w:tcPr>
          <w:p w:rsidR="000A2ADC" w:rsidRPr="00AC7380" w:rsidRDefault="000A2ADC" w:rsidP="007344C2">
            <w:pPr>
              <w:rPr>
                <w:rFonts w:ascii="Verdana" w:hAnsi="Verdana"/>
                <w:sz w:val="24"/>
                <w:szCs w:val="24"/>
              </w:rPr>
            </w:pPr>
            <w:r w:rsidRPr="00AC7380">
              <w:rPr>
                <w:rFonts w:ascii="Verdana" w:hAnsi="Verdana"/>
                <w:sz w:val="24"/>
                <w:szCs w:val="24"/>
              </w:rPr>
              <w:t>An update on the organisation’s people performance is enclosed</w:t>
            </w:r>
          </w:p>
        </w:tc>
      </w:tr>
    </w:tbl>
    <w:p w:rsidR="000A2ADC" w:rsidRPr="00AC7380" w:rsidRDefault="000A2ADC" w:rsidP="000A2ADC">
      <w:pPr>
        <w:spacing w:after="0" w:line="240" w:lineRule="auto"/>
        <w:ind w:left="53"/>
        <w:rPr>
          <w:rFonts w:ascii="Verdana" w:eastAsia="Times New Roman" w:hAnsi="Verdana" w:cs="Times New Roman"/>
          <w:b/>
          <w:color w:val="FF0000"/>
          <w:sz w:val="24"/>
          <w:szCs w:val="24"/>
        </w:rPr>
        <w:sectPr w:rsidR="000A2ADC" w:rsidRPr="00AC7380" w:rsidSect="008F2049">
          <w:footerReference w:type="default" r:id="rId11"/>
          <w:pgSz w:w="11906" w:h="16838"/>
          <w:pgMar w:top="1440" w:right="1440" w:bottom="1440" w:left="1440" w:header="708" w:footer="708" w:gutter="0"/>
          <w:cols w:space="708"/>
          <w:docGrid w:linePitch="360"/>
        </w:sectPr>
      </w:pPr>
    </w:p>
    <w:p w:rsidR="000A2ADC" w:rsidRPr="00AC7380" w:rsidRDefault="000A2ADC" w:rsidP="00D72510">
      <w:pPr>
        <w:keepNext/>
        <w:keepLines/>
        <w:numPr>
          <w:ilvl w:val="0"/>
          <w:numId w:val="1"/>
        </w:numPr>
        <w:spacing w:after="0" w:line="240" w:lineRule="auto"/>
        <w:ind w:left="567" w:right="731" w:hanging="567"/>
        <w:outlineLvl w:val="0"/>
        <w:rPr>
          <w:rFonts w:ascii="Verdana" w:eastAsiaTheme="majorEastAsia" w:hAnsi="Verdana" w:cstheme="majorBidi"/>
          <w:b/>
          <w:bCs/>
          <w:sz w:val="24"/>
          <w:szCs w:val="24"/>
        </w:rPr>
      </w:pPr>
      <w:r w:rsidRPr="00AC7380">
        <w:rPr>
          <w:rFonts w:ascii="Verdana" w:eastAsiaTheme="majorEastAsia" w:hAnsi="Verdana" w:cstheme="majorBidi"/>
          <w:b/>
          <w:bCs/>
          <w:sz w:val="24"/>
          <w:szCs w:val="24"/>
        </w:rPr>
        <w:t>Purpose / situation</w:t>
      </w:r>
    </w:p>
    <w:p w:rsidR="000A2ADC" w:rsidRPr="00E970F4" w:rsidRDefault="000A2ADC" w:rsidP="00D72510">
      <w:pPr>
        <w:spacing w:after="0" w:line="240" w:lineRule="auto"/>
        <w:ind w:left="567" w:right="731" w:hanging="567"/>
        <w:contextualSpacing/>
        <w:rPr>
          <w:rFonts w:ascii="Verdana" w:hAnsi="Verdana"/>
          <w:sz w:val="8"/>
          <w:szCs w:val="24"/>
        </w:rPr>
      </w:pPr>
    </w:p>
    <w:p w:rsidR="0083723B" w:rsidRPr="00464E10" w:rsidRDefault="0083723B" w:rsidP="00464E10">
      <w:pPr>
        <w:pStyle w:val="TableParagraph"/>
        <w:spacing w:before="120" w:after="200" w:line="20" w:lineRule="atLeast"/>
        <w:ind w:left="567"/>
        <w:jc w:val="both"/>
        <w:rPr>
          <w:rFonts w:ascii="Verdana" w:eastAsia="Verdana" w:hAnsi="Verdana" w:cstheme="minorBidi"/>
          <w:sz w:val="24"/>
          <w:szCs w:val="24"/>
          <w:lang w:val="en-GB"/>
        </w:rPr>
      </w:pPr>
      <w:r w:rsidRPr="00464E10">
        <w:rPr>
          <w:rFonts w:ascii="Verdana" w:eastAsia="Verdana" w:hAnsi="Verdana" w:cstheme="minorBidi"/>
          <w:sz w:val="24"/>
          <w:szCs w:val="24"/>
          <w:lang w:val="en-GB"/>
        </w:rPr>
        <w:t xml:space="preserve">Our Performance </w:t>
      </w:r>
      <w:r w:rsidR="00D657BF">
        <w:rPr>
          <w:rFonts w:ascii="Verdana" w:eastAsia="Verdana" w:hAnsi="Verdana" w:cstheme="minorBidi"/>
          <w:sz w:val="24"/>
          <w:szCs w:val="24"/>
          <w:lang w:val="en-GB"/>
        </w:rPr>
        <w:t xml:space="preserve">and Insights </w:t>
      </w:r>
      <w:r w:rsidRPr="00464E10">
        <w:rPr>
          <w:rFonts w:ascii="Verdana" w:eastAsia="Verdana" w:hAnsi="Verdana" w:cstheme="minorBidi"/>
          <w:sz w:val="24"/>
          <w:szCs w:val="24"/>
          <w:lang w:val="en-GB"/>
        </w:rPr>
        <w:t xml:space="preserve">Report </w:t>
      </w:r>
      <w:r w:rsidR="00096513">
        <w:rPr>
          <w:rFonts w:ascii="Verdana" w:eastAsia="Verdana" w:hAnsi="Verdana" w:cstheme="minorBidi"/>
          <w:sz w:val="24"/>
          <w:szCs w:val="24"/>
          <w:lang w:val="en-GB"/>
        </w:rPr>
        <w:t>focuses on</w:t>
      </w:r>
      <w:r w:rsidRPr="00464E10">
        <w:rPr>
          <w:rFonts w:ascii="Verdana" w:eastAsia="Verdana" w:hAnsi="Verdana" w:cstheme="minorBidi"/>
          <w:sz w:val="24"/>
          <w:szCs w:val="24"/>
          <w:lang w:val="en-GB"/>
        </w:rPr>
        <w:t xml:space="preserve"> delivering actionable insights </w:t>
      </w:r>
      <w:r w:rsidR="002124E2">
        <w:rPr>
          <w:rFonts w:ascii="Verdana" w:eastAsia="Verdana" w:hAnsi="Verdana" w:cstheme="minorBidi"/>
          <w:sz w:val="24"/>
          <w:szCs w:val="24"/>
          <w:lang w:val="en-GB"/>
        </w:rPr>
        <w:t>whilst</w:t>
      </w:r>
      <w:r w:rsidRPr="00464E10">
        <w:rPr>
          <w:rFonts w:ascii="Verdana" w:eastAsia="Verdana" w:hAnsi="Verdana" w:cstheme="minorBidi"/>
          <w:sz w:val="24"/>
          <w:szCs w:val="24"/>
          <w:lang w:val="en-GB"/>
        </w:rPr>
        <w:t xml:space="preserve"> identifying areas </w:t>
      </w:r>
      <w:r w:rsidR="00096513">
        <w:rPr>
          <w:rFonts w:ascii="Verdana" w:eastAsia="Verdana" w:hAnsi="Verdana" w:cstheme="minorBidi"/>
          <w:sz w:val="24"/>
          <w:szCs w:val="24"/>
          <w:lang w:val="en-GB"/>
        </w:rPr>
        <w:t xml:space="preserve">for improvement </w:t>
      </w:r>
      <w:r w:rsidRPr="00464E10">
        <w:rPr>
          <w:rFonts w:ascii="Verdana" w:eastAsia="Verdana" w:hAnsi="Verdana" w:cstheme="minorBidi"/>
          <w:sz w:val="24"/>
          <w:szCs w:val="24"/>
          <w:lang w:val="en-GB"/>
        </w:rPr>
        <w:t xml:space="preserve">across </w:t>
      </w:r>
      <w:r w:rsidR="00096513">
        <w:rPr>
          <w:rFonts w:ascii="Verdana" w:eastAsia="Verdana" w:hAnsi="Verdana" w:cstheme="minorBidi"/>
          <w:sz w:val="24"/>
          <w:szCs w:val="24"/>
          <w:lang w:val="en-GB"/>
        </w:rPr>
        <w:t xml:space="preserve">the following </w:t>
      </w:r>
      <w:r w:rsidRPr="00464E10">
        <w:rPr>
          <w:rFonts w:ascii="Verdana" w:eastAsia="Verdana" w:hAnsi="Verdana" w:cstheme="minorBidi"/>
          <w:sz w:val="24"/>
          <w:szCs w:val="24"/>
          <w:lang w:val="en-GB"/>
        </w:rPr>
        <w:t>key performance themes;</w:t>
      </w:r>
    </w:p>
    <w:p w:rsidR="0083723B" w:rsidRPr="00464E10" w:rsidRDefault="0083723B" w:rsidP="00297FB6">
      <w:pPr>
        <w:pStyle w:val="TableParagraph"/>
        <w:numPr>
          <w:ilvl w:val="1"/>
          <w:numId w:val="10"/>
        </w:numPr>
        <w:spacing w:after="60" w:line="20" w:lineRule="atLeast"/>
        <w:ind w:left="1276" w:hanging="283"/>
        <w:jc w:val="both"/>
        <w:rPr>
          <w:rFonts w:ascii="Verdana" w:eastAsia="Verdana" w:hAnsi="Verdana" w:cstheme="minorBidi"/>
          <w:sz w:val="24"/>
          <w:szCs w:val="24"/>
          <w:lang w:val="en-GB"/>
        </w:rPr>
      </w:pPr>
      <w:r w:rsidRPr="00464E10">
        <w:rPr>
          <w:rFonts w:ascii="Verdana" w:eastAsia="Verdana" w:hAnsi="Verdana" w:cstheme="minorBidi"/>
          <w:sz w:val="24"/>
          <w:szCs w:val="24"/>
          <w:lang w:val="en-GB"/>
        </w:rPr>
        <w:t>Maintaining a healthy and sustainable workforce</w:t>
      </w:r>
    </w:p>
    <w:p w:rsidR="00096513" w:rsidRPr="00464E10" w:rsidRDefault="005B6249" w:rsidP="00096513">
      <w:pPr>
        <w:pStyle w:val="TableParagraph"/>
        <w:numPr>
          <w:ilvl w:val="1"/>
          <w:numId w:val="10"/>
        </w:numPr>
        <w:spacing w:after="60" w:line="20" w:lineRule="atLeast"/>
        <w:ind w:left="1276" w:hanging="283"/>
        <w:jc w:val="both"/>
        <w:rPr>
          <w:rFonts w:ascii="Verdana" w:eastAsia="Verdana" w:hAnsi="Verdana" w:cstheme="minorBidi"/>
          <w:sz w:val="24"/>
          <w:szCs w:val="24"/>
          <w:lang w:val="en-GB"/>
        </w:rPr>
      </w:pPr>
      <w:r>
        <w:rPr>
          <w:rFonts w:ascii="Verdana" w:eastAsia="Verdana" w:hAnsi="Verdana" w:cstheme="minorBidi"/>
          <w:sz w:val="24"/>
          <w:szCs w:val="24"/>
          <w:lang w:val="en-GB"/>
        </w:rPr>
        <w:t>Achieving</w:t>
      </w:r>
      <w:r w:rsidR="00096513" w:rsidRPr="00464E10">
        <w:rPr>
          <w:rFonts w:ascii="Verdana" w:eastAsia="Verdana" w:hAnsi="Verdana" w:cstheme="minorBidi"/>
          <w:sz w:val="24"/>
          <w:szCs w:val="24"/>
          <w:lang w:val="en-GB"/>
        </w:rPr>
        <w:t xml:space="preserve"> value and impact</w:t>
      </w:r>
      <w:r>
        <w:rPr>
          <w:rFonts w:ascii="Verdana" w:eastAsia="Verdana" w:hAnsi="Verdana" w:cstheme="minorBidi"/>
          <w:sz w:val="24"/>
          <w:szCs w:val="24"/>
          <w:lang w:val="en-GB"/>
        </w:rPr>
        <w:t xml:space="preserve"> through innovation</w:t>
      </w:r>
    </w:p>
    <w:p w:rsidR="0083723B" w:rsidRPr="00464E10" w:rsidRDefault="005B6249" w:rsidP="00297FB6">
      <w:pPr>
        <w:pStyle w:val="TableParagraph"/>
        <w:numPr>
          <w:ilvl w:val="1"/>
          <w:numId w:val="10"/>
        </w:numPr>
        <w:spacing w:after="60" w:line="20" w:lineRule="atLeast"/>
        <w:ind w:left="1276" w:hanging="283"/>
        <w:jc w:val="both"/>
        <w:rPr>
          <w:rFonts w:ascii="Verdana" w:eastAsia="Verdana" w:hAnsi="Verdana" w:cstheme="minorBidi"/>
          <w:sz w:val="24"/>
          <w:szCs w:val="24"/>
          <w:lang w:val="en-GB"/>
        </w:rPr>
      </w:pPr>
      <w:r>
        <w:rPr>
          <w:rFonts w:ascii="Verdana" w:eastAsia="Verdana" w:hAnsi="Verdana" w:cstheme="minorBidi"/>
          <w:sz w:val="24"/>
          <w:szCs w:val="24"/>
          <w:lang w:val="en-GB"/>
        </w:rPr>
        <w:t>Delivering o</w:t>
      </w:r>
      <w:r w:rsidR="0083723B" w:rsidRPr="00464E10">
        <w:rPr>
          <w:rFonts w:ascii="Verdana" w:eastAsia="Verdana" w:hAnsi="Verdana" w:cstheme="minorBidi"/>
          <w:sz w:val="24"/>
          <w:szCs w:val="24"/>
          <w:lang w:val="en-GB"/>
        </w:rPr>
        <w:t xml:space="preserve">rganisational </w:t>
      </w:r>
      <w:r>
        <w:rPr>
          <w:rFonts w:ascii="Verdana" w:eastAsia="Verdana" w:hAnsi="Verdana" w:cstheme="minorBidi"/>
          <w:sz w:val="24"/>
          <w:szCs w:val="24"/>
          <w:lang w:val="en-GB"/>
        </w:rPr>
        <w:t xml:space="preserve">wide </w:t>
      </w:r>
      <w:r w:rsidR="0083723B" w:rsidRPr="00464E10">
        <w:rPr>
          <w:rFonts w:ascii="Verdana" w:eastAsia="Verdana" w:hAnsi="Verdana" w:cstheme="minorBidi"/>
          <w:sz w:val="24"/>
          <w:szCs w:val="24"/>
          <w:lang w:val="en-GB"/>
        </w:rPr>
        <w:t>quality and access to high quality services</w:t>
      </w:r>
    </w:p>
    <w:p w:rsidR="0083723B" w:rsidRDefault="0083723B" w:rsidP="00297FB6">
      <w:pPr>
        <w:pStyle w:val="TableParagraph"/>
        <w:numPr>
          <w:ilvl w:val="1"/>
          <w:numId w:val="10"/>
        </w:numPr>
        <w:spacing w:after="60" w:line="20" w:lineRule="atLeast"/>
        <w:ind w:left="1276" w:hanging="283"/>
        <w:jc w:val="both"/>
        <w:rPr>
          <w:rFonts w:ascii="Verdana" w:eastAsia="Verdana" w:hAnsi="Verdana" w:cstheme="minorBidi"/>
          <w:sz w:val="24"/>
          <w:szCs w:val="24"/>
          <w:lang w:val="en-GB"/>
        </w:rPr>
      </w:pPr>
      <w:r w:rsidRPr="00464E10">
        <w:rPr>
          <w:rFonts w:ascii="Verdana" w:eastAsia="Verdana" w:hAnsi="Verdana" w:cstheme="minorBidi"/>
          <w:sz w:val="24"/>
          <w:szCs w:val="24"/>
          <w:lang w:val="en-GB"/>
        </w:rPr>
        <w:t>Improved population health and well</w:t>
      </w:r>
      <w:r w:rsidR="00096513">
        <w:rPr>
          <w:rFonts w:ascii="Verdana" w:eastAsia="Verdana" w:hAnsi="Verdana" w:cstheme="minorBidi"/>
          <w:sz w:val="24"/>
          <w:szCs w:val="24"/>
          <w:lang w:val="en-GB"/>
        </w:rPr>
        <w:t>-</w:t>
      </w:r>
      <w:r w:rsidRPr="00464E10">
        <w:rPr>
          <w:rFonts w:ascii="Verdana" w:eastAsia="Verdana" w:hAnsi="Verdana" w:cstheme="minorBidi"/>
          <w:sz w:val="24"/>
          <w:szCs w:val="24"/>
          <w:lang w:val="en-GB"/>
        </w:rPr>
        <w:t>being</w:t>
      </w:r>
    </w:p>
    <w:p w:rsidR="0083723B" w:rsidRPr="00464E10" w:rsidRDefault="0083723B" w:rsidP="005B6249">
      <w:pPr>
        <w:pStyle w:val="TableParagraph"/>
        <w:spacing w:after="60" w:line="20" w:lineRule="atLeast"/>
        <w:jc w:val="both"/>
        <w:rPr>
          <w:rFonts w:ascii="Verdana" w:eastAsia="Verdana" w:hAnsi="Verdana" w:cstheme="minorBidi"/>
          <w:sz w:val="4"/>
          <w:szCs w:val="24"/>
          <w:lang w:val="en-GB"/>
        </w:rPr>
      </w:pPr>
    </w:p>
    <w:p w:rsidR="00091ABE" w:rsidRDefault="0083723B" w:rsidP="00091ABE">
      <w:pPr>
        <w:pStyle w:val="TableParagraph"/>
        <w:spacing w:before="120" w:after="120" w:line="20" w:lineRule="atLeast"/>
        <w:ind w:left="567"/>
        <w:jc w:val="both"/>
        <w:rPr>
          <w:rFonts w:ascii="Verdana" w:eastAsia="Verdana" w:hAnsi="Verdana" w:cstheme="minorBidi"/>
          <w:sz w:val="24"/>
          <w:szCs w:val="24"/>
          <w:lang w:val="en-GB"/>
        </w:rPr>
      </w:pPr>
      <w:r w:rsidRPr="00464E10">
        <w:rPr>
          <w:rFonts w:ascii="Verdana" w:eastAsia="Verdana" w:hAnsi="Verdana" w:cstheme="minorBidi"/>
          <w:sz w:val="24"/>
          <w:szCs w:val="24"/>
          <w:lang w:val="en-GB"/>
        </w:rPr>
        <w:t>This approach</w:t>
      </w:r>
      <w:r w:rsidR="00E970F4">
        <w:rPr>
          <w:rFonts w:ascii="Verdana" w:eastAsia="Verdana" w:hAnsi="Verdana" w:cstheme="minorBidi"/>
          <w:sz w:val="24"/>
          <w:szCs w:val="24"/>
          <w:lang w:val="en-GB"/>
        </w:rPr>
        <w:t xml:space="preserve"> support</w:t>
      </w:r>
      <w:r w:rsidR="00096513">
        <w:rPr>
          <w:rFonts w:ascii="Verdana" w:eastAsia="Verdana" w:hAnsi="Verdana" w:cstheme="minorBidi"/>
          <w:sz w:val="24"/>
          <w:szCs w:val="24"/>
          <w:lang w:val="en-GB"/>
        </w:rPr>
        <w:t>s</w:t>
      </w:r>
      <w:r w:rsidR="00E970F4">
        <w:rPr>
          <w:rFonts w:ascii="Verdana" w:eastAsia="Verdana" w:hAnsi="Verdana" w:cstheme="minorBidi"/>
          <w:sz w:val="24"/>
          <w:szCs w:val="24"/>
          <w:lang w:val="en-GB"/>
        </w:rPr>
        <w:t xml:space="preserve"> the Board and </w:t>
      </w:r>
      <w:r w:rsidR="002B182A">
        <w:rPr>
          <w:rFonts w:ascii="Verdana" w:eastAsia="Verdana" w:hAnsi="Verdana" w:cstheme="minorBidi"/>
          <w:sz w:val="24"/>
          <w:szCs w:val="24"/>
          <w:lang w:val="en-GB"/>
        </w:rPr>
        <w:t xml:space="preserve">its </w:t>
      </w:r>
      <w:r w:rsidR="00E970F4">
        <w:rPr>
          <w:rFonts w:ascii="Verdana" w:eastAsia="Verdana" w:hAnsi="Verdana" w:cstheme="minorBidi"/>
          <w:sz w:val="24"/>
          <w:szCs w:val="24"/>
          <w:lang w:val="en-GB"/>
        </w:rPr>
        <w:t>C</w:t>
      </w:r>
      <w:r w:rsidRPr="00464E10">
        <w:rPr>
          <w:rFonts w:ascii="Verdana" w:eastAsia="Verdana" w:hAnsi="Verdana" w:cstheme="minorBidi"/>
          <w:sz w:val="24"/>
          <w:szCs w:val="24"/>
          <w:lang w:val="en-GB"/>
        </w:rPr>
        <w:t>ommittees in discharg</w:t>
      </w:r>
      <w:r w:rsidR="00E970F4">
        <w:rPr>
          <w:rFonts w:ascii="Verdana" w:eastAsia="Verdana" w:hAnsi="Verdana" w:cstheme="minorBidi"/>
          <w:sz w:val="24"/>
          <w:szCs w:val="24"/>
          <w:lang w:val="en-GB"/>
        </w:rPr>
        <w:t>ing their responsibilities. The</w:t>
      </w:r>
      <w:r w:rsidRPr="00464E10">
        <w:rPr>
          <w:rFonts w:ascii="Verdana" w:eastAsia="Verdana" w:hAnsi="Verdana" w:cstheme="minorBidi"/>
          <w:sz w:val="24"/>
          <w:szCs w:val="24"/>
          <w:lang w:val="en-GB"/>
        </w:rPr>
        <w:t xml:space="preserve"> </w:t>
      </w:r>
      <w:r w:rsidR="00E272A4">
        <w:rPr>
          <w:rFonts w:ascii="Verdana" w:eastAsia="Verdana" w:hAnsi="Verdana" w:cstheme="minorBidi"/>
          <w:sz w:val="24"/>
          <w:szCs w:val="24"/>
          <w:lang w:val="en-GB"/>
        </w:rPr>
        <w:t>reporting</w:t>
      </w:r>
      <w:r w:rsidRPr="00464E10">
        <w:rPr>
          <w:rFonts w:ascii="Verdana" w:eastAsia="Verdana" w:hAnsi="Verdana" w:cstheme="minorBidi"/>
          <w:sz w:val="24"/>
          <w:szCs w:val="24"/>
          <w:lang w:val="en-GB"/>
        </w:rPr>
        <w:t xml:space="preserve"> of </w:t>
      </w:r>
      <w:r w:rsidR="00E272A4">
        <w:rPr>
          <w:rFonts w:ascii="Verdana" w:eastAsia="Verdana" w:hAnsi="Verdana" w:cstheme="minorBidi"/>
          <w:sz w:val="24"/>
          <w:szCs w:val="24"/>
          <w:lang w:val="en-GB"/>
        </w:rPr>
        <w:t xml:space="preserve">the four </w:t>
      </w:r>
      <w:r w:rsidR="00E970F4">
        <w:rPr>
          <w:rFonts w:ascii="Verdana" w:eastAsia="Verdana" w:hAnsi="Verdana" w:cstheme="minorBidi"/>
          <w:sz w:val="24"/>
          <w:szCs w:val="24"/>
          <w:lang w:val="en-GB"/>
        </w:rPr>
        <w:t xml:space="preserve">key </w:t>
      </w:r>
      <w:r w:rsidRPr="00464E10">
        <w:rPr>
          <w:rFonts w:ascii="Verdana" w:eastAsia="Verdana" w:hAnsi="Verdana" w:cstheme="minorBidi"/>
          <w:sz w:val="24"/>
          <w:szCs w:val="24"/>
          <w:lang w:val="en-GB"/>
        </w:rPr>
        <w:t xml:space="preserve">themes will see us align to the Welsh Government’s </w:t>
      </w:r>
      <w:r w:rsidRPr="00E970F4">
        <w:rPr>
          <w:rFonts w:ascii="Verdana" w:eastAsia="Verdana" w:hAnsi="Verdana" w:cstheme="minorBidi"/>
          <w:i/>
          <w:sz w:val="24"/>
          <w:szCs w:val="24"/>
          <w:lang w:val="en-GB"/>
        </w:rPr>
        <w:t>A Healthier Wales</w:t>
      </w:r>
      <w:r w:rsidRPr="00464E10">
        <w:rPr>
          <w:rFonts w:ascii="Verdana" w:eastAsia="Verdana" w:hAnsi="Verdana" w:cstheme="minorBidi"/>
          <w:sz w:val="24"/>
          <w:szCs w:val="24"/>
          <w:lang w:val="en-GB"/>
        </w:rPr>
        <w:t xml:space="preserve"> </w:t>
      </w:r>
      <w:r w:rsidR="00E272A4">
        <w:rPr>
          <w:rFonts w:ascii="Verdana" w:eastAsia="Verdana" w:hAnsi="Verdana" w:cstheme="minorBidi"/>
          <w:sz w:val="24"/>
          <w:szCs w:val="24"/>
          <w:lang w:val="en-GB"/>
        </w:rPr>
        <w:t xml:space="preserve">quadruple aims </w:t>
      </w:r>
      <w:r w:rsidRPr="00464E10">
        <w:rPr>
          <w:rFonts w:ascii="Verdana" w:eastAsia="Verdana" w:hAnsi="Verdana" w:cstheme="minorBidi"/>
          <w:sz w:val="24"/>
          <w:szCs w:val="24"/>
          <w:lang w:val="en-GB"/>
        </w:rPr>
        <w:t xml:space="preserve">and </w:t>
      </w:r>
      <w:r w:rsidR="00E272A4">
        <w:rPr>
          <w:rFonts w:ascii="Verdana" w:eastAsia="Verdana" w:hAnsi="Verdana" w:cstheme="minorBidi"/>
          <w:sz w:val="24"/>
          <w:szCs w:val="24"/>
          <w:lang w:val="en-GB"/>
        </w:rPr>
        <w:t xml:space="preserve">key measures set out in the 2022/23 </w:t>
      </w:r>
      <w:r w:rsidR="00E970F4">
        <w:rPr>
          <w:rFonts w:ascii="Verdana" w:eastAsia="Verdana" w:hAnsi="Verdana" w:cstheme="minorBidi"/>
          <w:sz w:val="24"/>
          <w:szCs w:val="24"/>
          <w:lang w:val="en-GB"/>
        </w:rPr>
        <w:t xml:space="preserve">NHS </w:t>
      </w:r>
      <w:r w:rsidR="00E272A4">
        <w:rPr>
          <w:rFonts w:ascii="Verdana" w:eastAsia="Verdana" w:hAnsi="Verdana" w:cstheme="minorBidi"/>
          <w:sz w:val="24"/>
          <w:szCs w:val="24"/>
          <w:lang w:val="en-GB"/>
        </w:rPr>
        <w:t>Wales Performance</w:t>
      </w:r>
      <w:r w:rsidR="00E970F4">
        <w:rPr>
          <w:rFonts w:ascii="Verdana" w:eastAsia="Verdana" w:hAnsi="Verdana" w:cstheme="minorBidi"/>
          <w:sz w:val="24"/>
          <w:szCs w:val="24"/>
          <w:lang w:val="en-GB"/>
        </w:rPr>
        <w:t xml:space="preserve"> Framework. </w:t>
      </w:r>
    </w:p>
    <w:p w:rsidR="00531587" w:rsidRPr="00FB60D9" w:rsidRDefault="00E970F4" w:rsidP="00FB60D9">
      <w:pPr>
        <w:pStyle w:val="TableParagraph"/>
        <w:spacing w:before="120" w:after="120" w:line="20" w:lineRule="atLeast"/>
        <w:ind w:left="567"/>
        <w:jc w:val="both"/>
        <w:rPr>
          <w:rFonts w:ascii="Verdana" w:eastAsia="Verdana" w:hAnsi="Verdana" w:cstheme="minorBidi"/>
          <w:sz w:val="24"/>
          <w:szCs w:val="24"/>
          <w:lang w:val="en-GB"/>
        </w:rPr>
      </w:pPr>
      <w:r>
        <w:rPr>
          <w:rFonts w:ascii="Verdana" w:eastAsia="Verdana" w:hAnsi="Verdana"/>
          <w:sz w:val="24"/>
          <w:szCs w:val="24"/>
        </w:rPr>
        <w:t xml:space="preserve">The report is designed to be read in conjunction with the </w:t>
      </w:r>
      <w:hyperlink r:id="rId12" w:anchor="1" w:history="1">
        <w:r w:rsidRPr="00E556DE">
          <w:rPr>
            <w:rStyle w:val="Hyperlink"/>
            <w:rFonts w:ascii="Verdana" w:eastAsia="Verdana" w:hAnsi="Verdana"/>
            <w:sz w:val="24"/>
            <w:szCs w:val="24"/>
          </w:rPr>
          <w:t>Performance and Assurance Dashboard</w:t>
        </w:r>
      </w:hyperlink>
      <w:r w:rsidR="00E556DE">
        <w:rPr>
          <w:rFonts w:ascii="Verdana" w:eastAsia="Verdana" w:hAnsi="Verdana"/>
          <w:sz w:val="24"/>
          <w:szCs w:val="24"/>
        </w:rPr>
        <w:t xml:space="preserve"> (PAD) and the </w:t>
      </w:r>
      <w:hyperlink r:id="rId13" w:history="1">
        <w:r w:rsidR="00E556DE" w:rsidRPr="00E556DE">
          <w:rPr>
            <w:rStyle w:val="Hyperlink"/>
            <w:rFonts w:ascii="Verdana" w:eastAsia="Verdana" w:hAnsi="Verdana"/>
            <w:sz w:val="24"/>
            <w:szCs w:val="24"/>
          </w:rPr>
          <w:t>Public Health Rapid Overview Dashboard</w:t>
        </w:r>
      </w:hyperlink>
      <w:r w:rsidR="002B182A">
        <w:rPr>
          <w:rFonts w:ascii="Verdana" w:eastAsia="Verdana" w:hAnsi="Verdana"/>
          <w:sz w:val="24"/>
          <w:szCs w:val="24"/>
        </w:rPr>
        <w:t xml:space="preserve">. The </w:t>
      </w:r>
      <w:r w:rsidR="002B182A" w:rsidRPr="00464E10">
        <w:rPr>
          <w:rFonts w:ascii="Verdana" w:eastAsia="Verdana" w:hAnsi="Verdana"/>
          <w:sz w:val="24"/>
          <w:szCs w:val="24"/>
        </w:rPr>
        <w:t xml:space="preserve">themes are demonstrated throughout this month’s report and </w:t>
      </w:r>
      <w:r w:rsidR="002B182A">
        <w:rPr>
          <w:rFonts w:ascii="Verdana" w:eastAsia="Verdana" w:hAnsi="Verdana"/>
          <w:sz w:val="24"/>
          <w:szCs w:val="24"/>
        </w:rPr>
        <w:t xml:space="preserve">are also </w:t>
      </w:r>
      <w:r w:rsidR="002B182A" w:rsidRPr="00464E10">
        <w:rPr>
          <w:rFonts w:ascii="Verdana" w:eastAsia="Verdana" w:hAnsi="Verdana"/>
          <w:sz w:val="24"/>
          <w:szCs w:val="24"/>
        </w:rPr>
        <w:t>reflected in the P</w:t>
      </w:r>
      <w:r w:rsidR="00E556DE">
        <w:rPr>
          <w:rFonts w:ascii="Verdana" w:eastAsia="Verdana" w:hAnsi="Verdana"/>
          <w:sz w:val="24"/>
          <w:szCs w:val="24"/>
        </w:rPr>
        <w:t>AD.</w:t>
      </w:r>
    </w:p>
    <w:p w:rsidR="000A2ADC" w:rsidRPr="00AC7380" w:rsidRDefault="000A2ADC" w:rsidP="00D72510">
      <w:pPr>
        <w:keepNext/>
        <w:keepLines/>
        <w:numPr>
          <w:ilvl w:val="0"/>
          <w:numId w:val="1"/>
        </w:numPr>
        <w:spacing w:before="480" w:after="0" w:line="240" w:lineRule="auto"/>
        <w:ind w:left="567" w:right="731" w:hanging="567"/>
        <w:outlineLvl w:val="0"/>
        <w:rPr>
          <w:rFonts w:ascii="Verdana" w:eastAsiaTheme="majorEastAsia" w:hAnsi="Verdana" w:cstheme="majorBidi"/>
          <w:b/>
          <w:bCs/>
          <w:sz w:val="24"/>
          <w:szCs w:val="24"/>
        </w:rPr>
      </w:pPr>
      <w:r w:rsidRPr="00AC7380">
        <w:rPr>
          <w:rFonts w:ascii="Verdana" w:eastAsiaTheme="majorEastAsia" w:hAnsi="Verdana" w:cstheme="majorBidi"/>
          <w:b/>
          <w:bCs/>
          <w:sz w:val="24"/>
          <w:szCs w:val="24"/>
        </w:rPr>
        <w:t>Background</w:t>
      </w:r>
    </w:p>
    <w:p w:rsidR="000A2ADC" w:rsidRPr="00E970F4" w:rsidRDefault="000A2ADC" w:rsidP="00D72510">
      <w:pPr>
        <w:spacing w:after="0" w:line="240" w:lineRule="auto"/>
        <w:ind w:left="567" w:right="731" w:hanging="567"/>
        <w:contextualSpacing/>
        <w:rPr>
          <w:rFonts w:ascii="Verdana" w:hAnsi="Verdana"/>
          <w:sz w:val="8"/>
          <w:szCs w:val="8"/>
        </w:rPr>
      </w:pPr>
    </w:p>
    <w:p w:rsidR="00464E10" w:rsidRDefault="00464E10" w:rsidP="00464E10">
      <w:pPr>
        <w:pStyle w:val="TableParagraph"/>
        <w:spacing w:before="120" w:after="120" w:line="20" w:lineRule="atLeast"/>
        <w:ind w:left="567"/>
        <w:jc w:val="both"/>
        <w:rPr>
          <w:rFonts w:ascii="Verdana" w:eastAsia="Verdana" w:hAnsi="Verdana"/>
          <w:sz w:val="24"/>
          <w:szCs w:val="24"/>
        </w:rPr>
      </w:pPr>
      <w:r w:rsidRPr="00464E10">
        <w:rPr>
          <w:rFonts w:ascii="Verdana" w:eastAsia="Verdana" w:hAnsi="Verdana"/>
          <w:sz w:val="24"/>
          <w:szCs w:val="24"/>
        </w:rPr>
        <w:t xml:space="preserve">Access to high quality, timely and robust performance information is essential in providing assurance to our Executive Team and Board on our ongoing COVID-19 </w:t>
      </w:r>
      <w:r w:rsidR="001406DC">
        <w:rPr>
          <w:rFonts w:ascii="Verdana" w:eastAsia="Verdana" w:hAnsi="Verdana"/>
          <w:sz w:val="24"/>
          <w:szCs w:val="24"/>
        </w:rPr>
        <w:t>recovery</w:t>
      </w:r>
      <w:r w:rsidRPr="00464E10">
        <w:rPr>
          <w:rFonts w:ascii="Verdana" w:eastAsia="Verdana" w:hAnsi="Verdana"/>
          <w:sz w:val="24"/>
          <w:szCs w:val="24"/>
        </w:rPr>
        <w:t xml:space="preserve">, delivery of public health services </w:t>
      </w:r>
      <w:r w:rsidR="001406DC">
        <w:rPr>
          <w:rFonts w:ascii="Verdana" w:eastAsia="Verdana" w:hAnsi="Verdana"/>
          <w:sz w:val="24"/>
          <w:szCs w:val="24"/>
        </w:rPr>
        <w:t xml:space="preserve">and functions, </w:t>
      </w:r>
      <w:r w:rsidRPr="00464E10">
        <w:rPr>
          <w:rFonts w:ascii="Verdana" w:eastAsia="Verdana" w:hAnsi="Verdana"/>
          <w:sz w:val="24"/>
          <w:szCs w:val="24"/>
        </w:rPr>
        <w:t xml:space="preserve">and </w:t>
      </w:r>
      <w:r w:rsidR="001406DC">
        <w:rPr>
          <w:rFonts w:ascii="Verdana" w:eastAsia="Verdana" w:hAnsi="Verdana"/>
          <w:sz w:val="24"/>
          <w:szCs w:val="24"/>
        </w:rPr>
        <w:t xml:space="preserve">our </w:t>
      </w:r>
      <w:r w:rsidR="00E556DE">
        <w:rPr>
          <w:rFonts w:ascii="Verdana" w:eastAsia="Verdana" w:hAnsi="Verdana"/>
          <w:sz w:val="24"/>
          <w:szCs w:val="24"/>
        </w:rPr>
        <w:t>role in improving population health and well-being.</w:t>
      </w:r>
      <w:r w:rsidRPr="00464E10">
        <w:rPr>
          <w:rFonts w:ascii="Verdana" w:eastAsia="Verdana" w:hAnsi="Verdana"/>
          <w:sz w:val="24"/>
          <w:szCs w:val="24"/>
        </w:rPr>
        <w:t xml:space="preserve"> </w:t>
      </w:r>
    </w:p>
    <w:p w:rsidR="00464E10" w:rsidRDefault="00464E10" w:rsidP="00464E10">
      <w:pPr>
        <w:pStyle w:val="TableParagraph"/>
        <w:spacing w:before="120" w:after="120" w:line="20" w:lineRule="atLeast"/>
        <w:ind w:left="567"/>
        <w:jc w:val="both"/>
        <w:rPr>
          <w:rFonts w:ascii="Verdana" w:eastAsia="Verdana" w:hAnsi="Verdana" w:cstheme="minorBidi"/>
          <w:sz w:val="24"/>
          <w:szCs w:val="24"/>
          <w:lang w:val="en-GB"/>
        </w:rPr>
      </w:pPr>
      <w:r w:rsidRPr="00464E10">
        <w:rPr>
          <w:rFonts w:ascii="Verdana" w:eastAsia="Verdana" w:hAnsi="Verdana" w:cstheme="minorBidi"/>
          <w:sz w:val="24"/>
          <w:szCs w:val="24"/>
          <w:lang w:val="en-GB"/>
        </w:rPr>
        <w:t>Having strengthened our performance arrangements over the last 12</w:t>
      </w:r>
      <w:r w:rsidR="0002249E">
        <w:rPr>
          <w:rFonts w:ascii="Verdana" w:eastAsia="Verdana" w:hAnsi="Verdana" w:cstheme="minorBidi"/>
          <w:sz w:val="24"/>
          <w:szCs w:val="24"/>
          <w:lang w:val="en-GB"/>
        </w:rPr>
        <w:t>-24</w:t>
      </w:r>
      <w:r w:rsidRPr="00464E10">
        <w:rPr>
          <w:rFonts w:ascii="Verdana" w:eastAsia="Verdana" w:hAnsi="Verdana" w:cstheme="minorBidi"/>
          <w:sz w:val="24"/>
          <w:szCs w:val="24"/>
          <w:lang w:val="en-GB"/>
        </w:rPr>
        <w:t xml:space="preserve"> months through the successful </w:t>
      </w:r>
      <w:r w:rsidR="002124E2">
        <w:rPr>
          <w:rFonts w:ascii="Verdana" w:eastAsia="Verdana" w:hAnsi="Verdana" w:cstheme="minorBidi"/>
          <w:sz w:val="24"/>
          <w:szCs w:val="24"/>
          <w:lang w:val="en-GB"/>
        </w:rPr>
        <w:t>development</w:t>
      </w:r>
      <w:r w:rsidRPr="00464E10">
        <w:rPr>
          <w:rFonts w:ascii="Verdana" w:eastAsia="Verdana" w:hAnsi="Verdana" w:cstheme="minorBidi"/>
          <w:sz w:val="24"/>
          <w:szCs w:val="24"/>
          <w:lang w:val="en-GB"/>
        </w:rPr>
        <w:t xml:space="preserve"> of the PAD we recognised the need to </w:t>
      </w:r>
      <w:r w:rsidR="002124E2">
        <w:rPr>
          <w:rFonts w:ascii="Verdana" w:eastAsia="Verdana" w:hAnsi="Verdana" w:cstheme="minorBidi"/>
          <w:sz w:val="24"/>
          <w:szCs w:val="24"/>
          <w:lang w:val="en-GB"/>
        </w:rPr>
        <w:t xml:space="preserve">strengthen </w:t>
      </w:r>
      <w:r w:rsidRPr="00464E10">
        <w:rPr>
          <w:rFonts w:ascii="Verdana" w:eastAsia="Verdana" w:hAnsi="Verdana" w:cstheme="minorBidi"/>
          <w:sz w:val="24"/>
          <w:szCs w:val="24"/>
          <w:lang w:val="en-GB"/>
        </w:rPr>
        <w:t xml:space="preserve">the accompanying Performance and Insight Report. </w:t>
      </w:r>
    </w:p>
    <w:p w:rsidR="001406DC" w:rsidRDefault="001406DC" w:rsidP="001406DC">
      <w:pPr>
        <w:pStyle w:val="TableParagraph"/>
        <w:spacing w:before="120" w:after="120" w:line="20" w:lineRule="atLeast"/>
        <w:ind w:left="567"/>
        <w:jc w:val="both"/>
        <w:rPr>
          <w:rFonts w:ascii="Verdana" w:hAnsi="Verdana"/>
          <w:sz w:val="24"/>
          <w:lang w:val="en-GB"/>
        </w:rPr>
      </w:pPr>
      <w:r w:rsidRPr="001406DC">
        <w:rPr>
          <w:rFonts w:ascii="Verdana" w:eastAsia="Verdana" w:hAnsi="Verdana"/>
          <w:sz w:val="24"/>
          <w:szCs w:val="24"/>
        </w:rPr>
        <w:t xml:space="preserve">The </w:t>
      </w:r>
      <w:r w:rsidR="00FB60D9">
        <w:rPr>
          <w:rFonts w:ascii="Verdana" w:eastAsia="Verdana" w:hAnsi="Verdana"/>
          <w:sz w:val="24"/>
          <w:szCs w:val="24"/>
        </w:rPr>
        <w:t>February 2023</w:t>
      </w:r>
      <w:r w:rsidRPr="001406DC">
        <w:rPr>
          <w:rFonts w:ascii="Verdana" w:eastAsia="Verdana" w:hAnsi="Verdana"/>
          <w:sz w:val="24"/>
          <w:szCs w:val="24"/>
        </w:rPr>
        <w:t xml:space="preserve"> PAD can be accessed using the f</w:t>
      </w:r>
      <w:r w:rsidRPr="00464E10">
        <w:rPr>
          <w:rFonts w:ascii="Verdana" w:hAnsi="Verdana"/>
          <w:sz w:val="24"/>
        </w:rPr>
        <w:t xml:space="preserve">ollowing </w:t>
      </w:r>
      <w:hyperlink r:id="rId14" w:anchor="1" w:history="1">
        <w:r w:rsidRPr="00D657BF">
          <w:rPr>
            <w:rStyle w:val="Hyperlink"/>
            <w:rFonts w:ascii="Verdana" w:hAnsi="Verdana"/>
            <w:sz w:val="24"/>
          </w:rPr>
          <w:t>Link,</w:t>
        </w:r>
      </w:hyperlink>
      <w:r w:rsidRPr="00464E10">
        <w:rPr>
          <w:rFonts w:ascii="Verdana" w:hAnsi="Verdana"/>
          <w:sz w:val="24"/>
        </w:rPr>
        <w:t xml:space="preserve"> or by navigating from specific areas of interest in the report by selecting the following symbol </w:t>
      </w:r>
      <w:r w:rsidRPr="00464E10">
        <w:rPr>
          <w:rFonts w:ascii="Verdana" w:hAnsi="Verdana"/>
          <w:noProof/>
          <w:sz w:val="24"/>
          <w:lang w:val="en-GB" w:eastAsia="en-GB"/>
        </w:rPr>
        <w:drawing>
          <wp:inline distT="0" distB="0" distL="0" distR="0" wp14:anchorId="7AEFDA7C" wp14:editId="5E9DD03D">
            <wp:extent cx="179318" cy="180000"/>
            <wp:effectExtent l="0" t="0" r="0" b="0"/>
            <wp:docPr id="1" name="Picture 1">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79318" cy="180000"/>
                    </a:xfrm>
                    <a:prstGeom prst="rect">
                      <a:avLst/>
                    </a:prstGeom>
                  </pic:spPr>
                </pic:pic>
              </a:graphicData>
            </a:graphic>
          </wp:inline>
        </w:drawing>
      </w:r>
      <w:r w:rsidRPr="00464E10">
        <w:rPr>
          <w:rFonts w:ascii="Verdana" w:hAnsi="Verdana"/>
          <w:sz w:val="24"/>
        </w:rPr>
        <w:t xml:space="preserve">, thus enabling direct access to the </w:t>
      </w:r>
      <w:r w:rsidRPr="00464E10">
        <w:rPr>
          <w:rFonts w:ascii="Verdana" w:hAnsi="Verdana"/>
          <w:sz w:val="24"/>
          <w:lang w:val="en-GB"/>
        </w:rPr>
        <w:t>latest ava</w:t>
      </w:r>
      <w:r>
        <w:rPr>
          <w:rFonts w:ascii="Verdana" w:hAnsi="Verdana"/>
          <w:sz w:val="24"/>
          <w:lang w:val="en-GB"/>
        </w:rPr>
        <w:t>ilable performance information.</w:t>
      </w:r>
    </w:p>
    <w:p w:rsidR="001406DC" w:rsidRPr="001406DC" w:rsidRDefault="00AD49B2" w:rsidP="001406DC">
      <w:pPr>
        <w:keepNext/>
        <w:keepLines/>
        <w:numPr>
          <w:ilvl w:val="0"/>
          <w:numId w:val="1"/>
        </w:numPr>
        <w:spacing w:before="480" w:after="0" w:line="240" w:lineRule="auto"/>
        <w:ind w:left="567" w:right="731" w:hanging="567"/>
        <w:outlineLvl w:val="0"/>
        <w:rPr>
          <w:rFonts w:ascii="Verdana" w:eastAsiaTheme="majorEastAsia" w:hAnsi="Verdana" w:cstheme="majorBidi"/>
          <w:b/>
          <w:bCs/>
          <w:sz w:val="24"/>
          <w:szCs w:val="24"/>
        </w:rPr>
      </w:pPr>
      <w:r>
        <w:rPr>
          <w:rFonts w:ascii="Verdana" w:eastAsiaTheme="majorEastAsia" w:hAnsi="Verdana" w:cstheme="majorBidi"/>
          <w:b/>
          <w:bCs/>
          <w:sz w:val="24"/>
          <w:szCs w:val="24"/>
        </w:rPr>
        <w:t>D</w:t>
      </w:r>
      <w:r w:rsidR="000A2ADC" w:rsidRPr="00AC7380">
        <w:rPr>
          <w:rFonts w:ascii="Verdana" w:eastAsiaTheme="majorEastAsia" w:hAnsi="Verdana" w:cstheme="majorBidi"/>
          <w:b/>
          <w:bCs/>
          <w:sz w:val="24"/>
          <w:szCs w:val="24"/>
        </w:rPr>
        <w:t>escription/Assessment</w:t>
      </w:r>
    </w:p>
    <w:p w:rsidR="001406DC" w:rsidRPr="001406DC" w:rsidRDefault="001406DC" w:rsidP="001406DC">
      <w:pPr>
        <w:pStyle w:val="TableParagraph"/>
        <w:ind w:left="567"/>
        <w:jc w:val="both"/>
        <w:rPr>
          <w:rFonts w:ascii="Verdana" w:eastAsia="Verdana" w:hAnsi="Verdana"/>
          <w:sz w:val="8"/>
          <w:szCs w:val="8"/>
        </w:rPr>
      </w:pPr>
    </w:p>
    <w:p w:rsidR="00464E10" w:rsidRPr="00C24332" w:rsidRDefault="00464E10" w:rsidP="00297FB6">
      <w:pPr>
        <w:pStyle w:val="TableParagraph"/>
        <w:spacing w:before="120" w:after="200" w:line="20" w:lineRule="atLeast"/>
        <w:ind w:left="567"/>
        <w:jc w:val="left"/>
        <w:rPr>
          <w:rFonts w:ascii="Verdana" w:hAnsi="Verdana"/>
          <w:sz w:val="24"/>
          <w:lang w:val="en-GB"/>
        </w:rPr>
      </w:pPr>
      <w:r w:rsidRPr="00464E10">
        <w:rPr>
          <w:rFonts w:ascii="Verdana" w:hAnsi="Verdana"/>
          <w:sz w:val="24"/>
          <w:lang w:val="en-GB"/>
        </w:rPr>
        <w:t>Key points to consider in this month’s P</w:t>
      </w:r>
      <w:r w:rsidR="00297FB6">
        <w:rPr>
          <w:rFonts w:ascii="Verdana" w:hAnsi="Verdana"/>
          <w:sz w:val="24"/>
          <w:lang w:val="en-GB"/>
        </w:rPr>
        <w:t xml:space="preserve">erformance and </w:t>
      </w:r>
      <w:r w:rsidR="001406DC">
        <w:rPr>
          <w:rFonts w:ascii="Verdana" w:hAnsi="Verdana"/>
          <w:sz w:val="24"/>
          <w:lang w:val="en-GB"/>
        </w:rPr>
        <w:t>Insight</w:t>
      </w:r>
      <w:r w:rsidR="00297FB6">
        <w:rPr>
          <w:rFonts w:ascii="Verdana" w:hAnsi="Verdana"/>
          <w:sz w:val="24"/>
          <w:lang w:val="en-GB"/>
        </w:rPr>
        <w:t xml:space="preserve"> </w:t>
      </w:r>
      <w:r w:rsidR="001406DC" w:rsidRPr="00C24332">
        <w:rPr>
          <w:rFonts w:ascii="Verdana" w:hAnsi="Verdana"/>
          <w:sz w:val="24"/>
          <w:lang w:val="en-GB"/>
        </w:rPr>
        <w:t xml:space="preserve">Report </w:t>
      </w:r>
      <w:r w:rsidRPr="00C24332">
        <w:rPr>
          <w:rFonts w:ascii="Verdana" w:hAnsi="Verdana"/>
          <w:sz w:val="24"/>
          <w:lang w:val="en-GB"/>
        </w:rPr>
        <w:t>are</w:t>
      </w:r>
      <w:r w:rsidR="001B7CA8" w:rsidRPr="00C24332">
        <w:rPr>
          <w:rFonts w:ascii="Verdana" w:hAnsi="Verdana"/>
          <w:sz w:val="24"/>
          <w:lang w:val="en-GB"/>
        </w:rPr>
        <w:t>:</w:t>
      </w:r>
    </w:p>
    <w:p w:rsidR="009A54F7" w:rsidRPr="00904783" w:rsidRDefault="00997461" w:rsidP="00E25CF9">
      <w:pPr>
        <w:pStyle w:val="TableParagraph"/>
        <w:numPr>
          <w:ilvl w:val="0"/>
          <w:numId w:val="10"/>
        </w:numPr>
        <w:spacing w:after="60" w:line="20" w:lineRule="atLeast"/>
        <w:ind w:left="851" w:right="-330" w:hanging="291"/>
        <w:jc w:val="left"/>
        <w:rPr>
          <w:rFonts w:ascii="Verdana" w:hAnsi="Verdana"/>
          <w:sz w:val="24"/>
          <w:szCs w:val="24"/>
        </w:rPr>
      </w:pPr>
      <w:r w:rsidRPr="009A54F7">
        <w:rPr>
          <w:rFonts w:ascii="Verdana" w:hAnsi="Verdana"/>
          <w:sz w:val="24"/>
          <w:szCs w:val="24"/>
        </w:rPr>
        <w:t xml:space="preserve">Good progress </w:t>
      </w:r>
      <w:r w:rsidR="003F3E30" w:rsidRPr="009A54F7">
        <w:rPr>
          <w:rFonts w:ascii="Verdana" w:hAnsi="Verdana"/>
          <w:sz w:val="24"/>
          <w:szCs w:val="24"/>
        </w:rPr>
        <w:t xml:space="preserve">continues to be reported </w:t>
      </w:r>
      <w:r w:rsidRPr="009A54F7">
        <w:rPr>
          <w:rFonts w:ascii="Verdana" w:hAnsi="Verdana"/>
          <w:sz w:val="24"/>
          <w:szCs w:val="24"/>
        </w:rPr>
        <w:t>in the delivery of our Stra</w:t>
      </w:r>
      <w:r w:rsidR="00FB60D9">
        <w:rPr>
          <w:rFonts w:ascii="Verdana" w:hAnsi="Verdana"/>
          <w:sz w:val="24"/>
          <w:szCs w:val="24"/>
        </w:rPr>
        <w:t>tegic Plan milestones at month 11</w:t>
      </w:r>
      <w:r w:rsidR="003F3E30" w:rsidRPr="009A54F7">
        <w:rPr>
          <w:rFonts w:ascii="Verdana" w:hAnsi="Verdana"/>
          <w:sz w:val="24"/>
          <w:szCs w:val="24"/>
        </w:rPr>
        <w:t>.</w:t>
      </w:r>
      <w:r w:rsidR="00C24332" w:rsidRPr="009A54F7">
        <w:rPr>
          <w:rFonts w:ascii="Verdana" w:hAnsi="Verdana"/>
          <w:sz w:val="24"/>
          <w:szCs w:val="24"/>
        </w:rPr>
        <w:t xml:space="preserve"> </w:t>
      </w:r>
      <w:r w:rsidR="00FB60D9" w:rsidRPr="00FB60D9">
        <w:rPr>
          <w:rFonts w:ascii="Verdana" w:hAnsi="Verdana"/>
          <w:sz w:val="24"/>
          <w:szCs w:val="24"/>
        </w:rPr>
        <w:t>Over 96% of IMTP milestones were reported as on track or complete in month 11. With 131 milestones to be delivered by year-end (38.97% of all milestones), these will be monitored closely since previous data shows that a green milestone has 33% chance of changing directly to red. 10 milestones were completed this month.</w:t>
      </w:r>
      <w:r w:rsidR="00904783">
        <w:rPr>
          <w:rFonts w:ascii="Verdana" w:hAnsi="Verdana"/>
          <w:sz w:val="24"/>
          <w:szCs w:val="24"/>
        </w:rPr>
        <w:t xml:space="preserve"> </w:t>
      </w:r>
    </w:p>
    <w:p w:rsidR="00232439" w:rsidRPr="00904783" w:rsidRDefault="00232439" w:rsidP="00E25CF9">
      <w:pPr>
        <w:pStyle w:val="TableParagraph"/>
        <w:numPr>
          <w:ilvl w:val="0"/>
          <w:numId w:val="10"/>
        </w:numPr>
        <w:spacing w:after="60" w:line="20" w:lineRule="atLeast"/>
        <w:ind w:left="851" w:right="-330" w:hanging="291"/>
        <w:jc w:val="left"/>
        <w:rPr>
          <w:rFonts w:ascii="Verdana" w:hAnsi="Verdana"/>
          <w:sz w:val="24"/>
          <w:szCs w:val="24"/>
        </w:rPr>
      </w:pPr>
      <w:r w:rsidRPr="00904783">
        <w:rPr>
          <w:rFonts w:ascii="Verdana" w:hAnsi="Verdana"/>
          <w:sz w:val="24"/>
          <w:szCs w:val="24"/>
        </w:rPr>
        <w:t xml:space="preserve">Sickness absence </w:t>
      </w:r>
      <w:r w:rsidR="00904783" w:rsidRPr="00904783">
        <w:rPr>
          <w:rFonts w:ascii="Verdana" w:hAnsi="Verdana"/>
          <w:sz w:val="24"/>
          <w:szCs w:val="24"/>
        </w:rPr>
        <w:t>reduced from 4.51% to 3.69</w:t>
      </w:r>
      <w:r w:rsidRPr="00904783">
        <w:rPr>
          <w:rFonts w:ascii="Verdana" w:hAnsi="Verdana"/>
          <w:sz w:val="24"/>
          <w:szCs w:val="24"/>
        </w:rPr>
        <w:t xml:space="preserve">% in </w:t>
      </w:r>
      <w:r w:rsidR="00904783" w:rsidRPr="00904783">
        <w:rPr>
          <w:rFonts w:ascii="Verdana" w:hAnsi="Verdana"/>
          <w:sz w:val="24"/>
          <w:szCs w:val="24"/>
        </w:rPr>
        <w:t xml:space="preserve">February </w:t>
      </w:r>
      <w:r w:rsidRPr="00904783">
        <w:rPr>
          <w:rFonts w:ascii="Verdana" w:hAnsi="Verdana"/>
          <w:sz w:val="24"/>
          <w:szCs w:val="24"/>
        </w:rPr>
        <w:t>202</w:t>
      </w:r>
      <w:r w:rsidR="00904783" w:rsidRPr="00904783">
        <w:rPr>
          <w:rFonts w:ascii="Verdana" w:hAnsi="Verdana"/>
          <w:sz w:val="24"/>
          <w:szCs w:val="24"/>
        </w:rPr>
        <w:t xml:space="preserve">3, </w:t>
      </w:r>
      <w:r w:rsidRPr="00904783">
        <w:rPr>
          <w:rFonts w:ascii="Verdana" w:hAnsi="Verdana"/>
          <w:sz w:val="24"/>
          <w:szCs w:val="24"/>
        </w:rPr>
        <w:t xml:space="preserve">with the 12-month </w:t>
      </w:r>
      <w:r w:rsidR="00904783" w:rsidRPr="00904783">
        <w:rPr>
          <w:rFonts w:ascii="Verdana" w:hAnsi="Verdana"/>
          <w:sz w:val="24"/>
          <w:szCs w:val="24"/>
        </w:rPr>
        <w:t>rolling sickness absence at 4.48</w:t>
      </w:r>
      <w:r w:rsidRPr="00904783">
        <w:rPr>
          <w:rFonts w:ascii="Verdana" w:hAnsi="Verdana"/>
          <w:sz w:val="24"/>
          <w:szCs w:val="24"/>
        </w:rPr>
        <w:t>%.</w:t>
      </w:r>
      <w:r w:rsidR="00904783" w:rsidRPr="00904783">
        <w:rPr>
          <w:rFonts w:ascii="Verdana" w:hAnsi="Verdana"/>
          <w:sz w:val="24"/>
          <w:szCs w:val="24"/>
        </w:rPr>
        <w:t xml:space="preserve"> Latest data showed that short term sickness absence accounted for 71% of absences. The People &amp; OD Directorate will be working with Directorates with the highest levels of short-term absence to identify additional support or interventions in reducing short term absences.</w:t>
      </w:r>
      <w:r w:rsidRPr="00904783">
        <w:rPr>
          <w:rFonts w:ascii="Verdana" w:hAnsi="Verdana"/>
          <w:sz w:val="24"/>
          <w:szCs w:val="24"/>
        </w:rPr>
        <w:t xml:space="preserve"> </w:t>
      </w:r>
    </w:p>
    <w:p w:rsidR="00232439" w:rsidRPr="00904783" w:rsidRDefault="00232439" w:rsidP="00E25CF9">
      <w:pPr>
        <w:pStyle w:val="TableParagraph"/>
        <w:numPr>
          <w:ilvl w:val="0"/>
          <w:numId w:val="10"/>
        </w:numPr>
        <w:spacing w:after="60" w:line="20" w:lineRule="atLeast"/>
        <w:ind w:left="851" w:right="-330" w:hanging="291"/>
        <w:jc w:val="left"/>
        <w:rPr>
          <w:rFonts w:ascii="Verdana" w:hAnsi="Verdana"/>
          <w:sz w:val="24"/>
          <w:szCs w:val="24"/>
        </w:rPr>
      </w:pPr>
      <w:r w:rsidRPr="00904783">
        <w:rPr>
          <w:rFonts w:ascii="Verdana" w:hAnsi="Verdana"/>
          <w:sz w:val="24"/>
          <w:szCs w:val="24"/>
        </w:rPr>
        <w:t>Approximately</w:t>
      </w:r>
      <w:r w:rsidR="00904783" w:rsidRPr="00904783">
        <w:rPr>
          <w:rFonts w:ascii="Verdana" w:hAnsi="Verdana"/>
          <w:sz w:val="24"/>
          <w:szCs w:val="24"/>
        </w:rPr>
        <w:t xml:space="preserve"> 51</w:t>
      </w:r>
      <w:r w:rsidRPr="00904783">
        <w:rPr>
          <w:rFonts w:ascii="Verdana" w:hAnsi="Verdana"/>
          <w:sz w:val="24"/>
          <w:szCs w:val="24"/>
        </w:rPr>
        <w:t xml:space="preserve">% of Public Health Wales staff have received the flu vaccine with uptake among front-line slightly </w:t>
      </w:r>
      <w:r w:rsidR="00904783" w:rsidRPr="00904783">
        <w:rPr>
          <w:rFonts w:ascii="Verdana" w:hAnsi="Verdana"/>
          <w:sz w:val="24"/>
          <w:szCs w:val="24"/>
        </w:rPr>
        <w:t>higher at 53.5% (up from 47% and 46.4</w:t>
      </w:r>
      <w:r w:rsidRPr="00904783">
        <w:rPr>
          <w:rFonts w:ascii="Verdana" w:hAnsi="Verdana"/>
          <w:sz w:val="24"/>
          <w:szCs w:val="24"/>
        </w:rPr>
        <w:t>% respectively last month). Around 53% of staff have received the COVID-1</w:t>
      </w:r>
      <w:r w:rsidR="00904783" w:rsidRPr="00904783">
        <w:rPr>
          <w:rFonts w:ascii="Verdana" w:hAnsi="Verdana"/>
          <w:sz w:val="24"/>
          <w:szCs w:val="24"/>
        </w:rPr>
        <w:t>9 booster with uptake at over 59.3</w:t>
      </w:r>
      <w:r w:rsidRPr="00904783">
        <w:rPr>
          <w:rFonts w:ascii="Verdana" w:hAnsi="Verdana"/>
          <w:sz w:val="24"/>
          <w:szCs w:val="24"/>
        </w:rPr>
        <w:t>% for front-line staff.</w:t>
      </w:r>
    </w:p>
    <w:p w:rsidR="00904783" w:rsidRDefault="00904783" w:rsidP="00E25CF9">
      <w:pPr>
        <w:pStyle w:val="TableParagraph"/>
        <w:numPr>
          <w:ilvl w:val="0"/>
          <w:numId w:val="10"/>
        </w:numPr>
        <w:spacing w:after="60" w:line="20" w:lineRule="atLeast"/>
        <w:ind w:left="851" w:right="-330" w:hanging="291"/>
        <w:jc w:val="left"/>
        <w:rPr>
          <w:rFonts w:ascii="Verdana" w:hAnsi="Verdana"/>
          <w:sz w:val="24"/>
          <w:szCs w:val="24"/>
        </w:rPr>
      </w:pPr>
      <w:r w:rsidRPr="00904783">
        <w:rPr>
          <w:rFonts w:ascii="Verdana" w:hAnsi="Verdana"/>
          <w:sz w:val="24"/>
          <w:szCs w:val="24"/>
        </w:rPr>
        <w:t>Staff appraisal compliance decreased from 72.1% to 71.5% in January 2023, following a slight increase in January 2023. Compliance remains below the 85% Welsh Government target.</w:t>
      </w:r>
    </w:p>
    <w:p w:rsidR="00904783" w:rsidRDefault="00904783" w:rsidP="00E25CF9">
      <w:pPr>
        <w:pStyle w:val="TableParagraph"/>
        <w:numPr>
          <w:ilvl w:val="0"/>
          <w:numId w:val="10"/>
        </w:numPr>
        <w:spacing w:after="60" w:line="20" w:lineRule="atLeast"/>
        <w:ind w:left="851" w:right="-330" w:hanging="291"/>
        <w:jc w:val="left"/>
        <w:rPr>
          <w:rFonts w:ascii="Verdana" w:hAnsi="Verdana"/>
          <w:sz w:val="24"/>
          <w:szCs w:val="24"/>
        </w:rPr>
      </w:pPr>
      <w:r w:rsidRPr="00904783">
        <w:rPr>
          <w:rFonts w:ascii="Verdana" w:hAnsi="Verdana"/>
          <w:sz w:val="24"/>
          <w:szCs w:val="24"/>
        </w:rPr>
        <w:t>Compliance with the core suite of statutory and mandatory training remains above the 85% Welsh Government target at 89.6% (down 1.8% in-month). E-learning queries are being directed to the ESR All-Wales Support Team, in addition to the People and OD team carrying out two ESR drop-in sessions per month.</w:t>
      </w:r>
    </w:p>
    <w:p w:rsidR="00904783" w:rsidRPr="00CE325D" w:rsidRDefault="00904783" w:rsidP="00E25CF9">
      <w:pPr>
        <w:pStyle w:val="TableParagraph"/>
        <w:numPr>
          <w:ilvl w:val="0"/>
          <w:numId w:val="10"/>
        </w:numPr>
        <w:spacing w:after="60" w:line="20" w:lineRule="atLeast"/>
        <w:ind w:left="851" w:right="-330" w:hanging="291"/>
        <w:jc w:val="left"/>
        <w:rPr>
          <w:rFonts w:ascii="Verdana" w:hAnsi="Verdana"/>
          <w:sz w:val="24"/>
          <w:szCs w:val="24"/>
        </w:rPr>
      </w:pPr>
      <w:r w:rsidRPr="00904783">
        <w:rPr>
          <w:rFonts w:ascii="Verdana" w:hAnsi="Verdana"/>
          <w:sz w:val="24"/>
          <w:szCs w:val="24"/>
        </w:rPr>
        <w:t>The Gender Pay Gap Report has been published and shows the mean pay gap has reduced from 16.1% in 2021 to 11.8% in 2022, in line with the objective set in our Strategic Equality Plan.</w:t>
      </w:r>
    </w:p>
    <w:p w:rsidR="00CE325D" w:rsidRPr="00CE325D" w:rsidRDefault="00232439" w:rsidP="00E25CF9">
      <w:pPr>
        <w:pStyle w:val="TableParagraph"/>
        <w:numPr>
          <w:ilvl w:val="0"/>
          <w:numId w:val="10"/>
        </w:numPr>
        <w:spacing w:after="60" w:line="20" w:lineRule="atLeast"/>
        <w:ind w:left="851" w:right="-330" w:hanging="291"/>
        <w:jc w:val="left"/>
        <w:rPr>
          <w:rFonts w:ascii="Verdana" w:hAnsi="Verdana"/>
          <w:sz w:val="24"/>
          <w:szCs w:val="24"/>
        </w:rPr>
      </w:pPr>
      <w:r w:rsidRPr="00CE325D">
        <w:rPr>
          <w:rFonts w:ascii="Verdana" w:hAnsi="Verdana"/>
          <w:sz w:val="24"/>
          <w:szCs w:val="24"/>
        </w:rPr>
        <w:t>Our cumulative rep</w:t>
      </w:r>
      <w:r w:rsidR="00CE325D" w:rsidRPr="00CE325D">
        <w:rPr>
          <w:rFonts w:ascii="Verdana" w:hAnsi="Verdana"/>
          <w:sz w:val="24"/>
          <w:szCs w:val="24"/>
        </w:rPr>
        <w:t>orted position at month 11</w:t>
      </w:r>
      <w:r w:rsidRPr="00CE325D">
        <w:rPr>
          <w:rFonts w:ascii="Verdana" w:hAnsi="Verdana"/>
          <w:sz w:val="24"/>
          <w:szCs w:val="24"/>
        </w:rPr>
        <w:t xml:space="preserve"> </w:t>
      </w:r>
      <w:r w:rsidR="00CE325D" w:rsidRPr="00CE325D">
        <w:rPr>
          <w:rFonts w:ascii="Verdana" w:hAnsi="Verdana"/>
          <w:sz w:val="24"/>
          <w:szCs w:val="24"/>
        </w:rPr>
        <w:t>2022/23 is a net surplus of £132k (£162</w:t>
      </w:r>
      <w:r w:rsidRPr="00CE325D">
        <w:rPr>
          <w:rFonts w:ascii="Verdana" w:hAnsi="Verdana"/>
          <w:sz w:val="24"/>
          <w:szCs w:val="24"/>
        </w:rPr>
        <w:t>k in-month), with an anticipated breakeven position at year-end.</w:t>
      </w:r>
      <w:r w:rsidR="00CE325D" w:rsidRPr="00CE325D">
        <w:rPr>
          <w:rFonts w:ascii="Verdana" w:hAnsi="Verdana"/>
          <w:sz w:val="24"/>
          <w:szCs w:val="24"/>
        </w:rPr>
        <w:t xml:space="preserve"> The surplus is a combination of variances across a number of Directorates associated with the movement against spending plans, with the main under spend in Health Protection and Screening. Public Health Wales’ forecast year-end revenue position is a surplus of £0.150m which represents less than 0.1% of total annual budget. This is after the return of non-recurrent benefits of £2.487m to Welsh Government.</w:t>
      </w:r>
    </w:p>
    <w:p w:rsidR="00CE325D" w:rsidRPr="00CE325D" w:rsidRDefault="00CE325D" w:rsidP="00E25CF9">
      <w:pPr>
        <w:pStyle w:val="TableParagraph"/>
        <w:numPr>
          <w:ilvl w:val="0"/>
          <w:numId w:val="10"/>
        </w:numPr>
        <w:spacing w:after="60" w:line="20" w:lineRule="atLeast"/>
        <w:ind w:left="851" w:right="-330" w:hanging="291"/>
        <w:jc w:val="left"/>
        <w:rPr>
          <w:rFonts w:ascii="Verdana" w:hAnsi="Verdana"/>
          <w:sz w:val="24"/>
          <w:szCs w:val="24"/>
        </w:rPr>
      </w:pPr>
      <w:r w:rsidRPr="00CE325D">
        <w:rPr>
          <w:rFonts w:ascii="Verdana" w:hAnsi="Verdana"/>
          <w:sz w:val="24"/>
          <w:szCs w:val="24"/>
        </w:rPr>
        <w:t>Our capital funding for 2022/23 totals £5.679m with year to date spend at £4.126m. Capital funding is made up of £1.142m discretionary funding and £4.537m strategic funding. Of the £1.552m remaining £1.470m of additional orders have already been placed. There remains a focus to achieve a break-even capital position.</w:t>
      </w:r>
    </w:p>
    <w:p w:rsidR="00CE325D" w:rsidRPr="00CE325D" w:rsidRDefault="00CE325D" w:rsidP="00E25CF9">
      <w:pPr>
        <w:pStyle w:val="TableParagraph"/>
        <w:numPr>
          <w:ilvl w:val="0"/>
          <w:numId w:val="10"/>
        </w:numPr>
        <w:spacing w:after="60" w:line="20" w:lineRule="atLeast"/>
        <w:ind w:left="851" w:right="-330" w:hanging="291"/>
        <w:jc w:val="left"/>
        <w:rPr>
          <w:rFonts w:ascii="Verdana" w:hAnsi="Verdana"/>
          <w:sz w:val="24"/>
          <w:szCs w:val="24"/>
        </w:rPr>
      </w:pPr>
      <w:r w:rsidRPr="00CE325D">
        <w:rPr>
          <w:rFonts w:ascii="Verdana" w:hAnsi="Verdana"/>
          <w:sz w:val="24"/>
          <w:szCs w:val="24"/>
        </w:rPr>
        <w:t>Performance for our year to date Public Sector Payment Policy is above the statutory target at 96.17% (95.66% in month 11) and is expected to remain above target. Year to date agency spend as a percentage of total pay equates to 3.3% with a year-end forecast of 3.3%.</w:t>
      </w:r>
    </w:p>
    <w:p w:rsidR="00CE325D" w:rsidRDefault="00CE325D" w:rsidP="00E25CF9">
      <w:pPr>
        <w:pStyle w:val="TableParagraph"/>
        <w:numPr>
          <w:ilvl w:val="0"/>
          <w:numId w:val="10"/>
        </w:numPr>
        <w:spacing w:after="60" w:line="20" w:lineRule="atLeast"/>
        <w:ind w:left="851" w:right="-330" w:hanging="291"/>
        <w:jc w:val="left"/>
        <w:rPr>
          <w:rFonts w:ascii="Verdana" w:hAnsi="Verdana"/>
          <w:sz w:val="24"/>
          <w:szCs w:val="24"/>
        </w:rPr>
      </w:pPr>
      <w:r w:rsidRPr="00CE325D">
        <w:rPr>
          <w:rFonts w:ascii="Verdana" w:hAnsi="Verdana"/>
          <w:sz w:val="24"/>
          <w:szCs w:val="24"/>
        </w:rPr>
        <w:t>COVID-19 and influenza incidents levels remain relatively stable with no significant COVID-19 incidents or outbreaks reported this month. However, multiple Omicron variants are co-circulating with XBB.1.5 the most frequent in the most recent week. Testing numbers remain relatively consistent and driven by symptomatic requirements. Turnaround compliance for non-rapids and rapids in hot labs were over 90% and 95%, respectively.</w:t>
      </w:r>
    </w:p>
    <w:p w:rsidR="00CE325D" w:rsidRDefault="00CE325D" w:rsidP="00E25CF9">
      <w:pPr>
        <w:pStyle w:val="TableParagraph"/>
        <w:numPr>
          <w:ilvl w:val="0"/>
          <w:numId w:val="10"/>
        </w:numPr>
        <w:spacing w:after="60" w:line="20" w:lineRule="atLeast"/>
        <w:ind w:left="851" w:right="-330" w:hanging="291"/>
        <w:jc w:val="left"/>
        <w:rPr>
          <w:rFonts w:ascii="Verdana" w:hAnsi="Verdana"/>
          <w:sz w:val="24"/>
          <w:szCs w:val="24"/>
        </w:rPr>
      </w:pPr>
      <w:r w:rsidRPr="00CE325D">
        <w:rPr>
          <w:rFonts w:ascii="Verdana" w:hAnsi="Verdana"/>
          <w:sz w:val="24"/>
          <w:szCs w:val="24"/>
        </w:rPr>
        <w:t xml:space="preserve">Delivery of screening </w:t>
      </w:r>
      <w:proofErr w:type="spellStart"/>
      <w:r w:rsidRPr="00CE325D">
        <w:rPr>
          <w:rFonts w:ascii="Verdana" w:hAnsi="Verdana"/>
          <w:sz w:val="24"/>
          <w:szCs w:val="24"/>
        </w:rPr>
        <w:t>programmes</w:t>
      </w:r>
      <w:proofErr w:type="spellEnd"/>
      <w:r w:rsidRPr="00CE325D">
        <w:rPr>
          <w:rFonts w:ascii="Verdana" w:hAnsi="Verdana"/>
          <w:sz w:val="24"/>
          <w:szCs w:val="24"/>
        </w:rPr>
        <w:t xml:space="preserve"> continue despite the challenges of ongoing strike action. Snow conditions </w:t>
      </w:r>
      <w:r>
        <w:rPr>
          <w:rFonts w:ascii="Verdana" w:hAnsi="Verdana"/>
          <w:sz w:val="24"/>
          <w:szCs w:val="24"/>
        </w:rPr>
        <w:t>from 8-10</w:t>
      </w:r>
      <w:r w:rsidRPr="00CE325D">
        <w:rPr>
          <w:rFonts w:ascii="Verdana" w:hAnsi="Verdana"/>
          <w:sz w:val="24"/>
          <w:szCs w:val="24"/>
        </w:rPr>
        <w:t xml:space="preserve"> March 2023 meant that screening clinics had to be cancelled where local conditions were difficult. </w:t>
      </w:r>
    </w:p>
    <w:p w:rsidR="00CE325D" w:rsidRPr="00336207" w:rsidRDefault="00336207" w:rsidP="00E25CF9">
      <w:pPr>
        <w:pStyle w:val="TableParagraph"/>
        <w:numPr>
          <w:ilvl w:val="0"/>
          <w:numId w:val="10"/>
        </w:numPr>
        <w:spacing w:after="60" w:line="20" w:lineRule="atLeast"/>
        <w:ind w:left="851" w:right="-330" w:hanging="291"/>
        <w:jc w:val="left"/>
        <w:rPr>
          <w:rFonts w:ascii="Verdana" w:hAnsi="Verdana"/>
          <w:sz w:val="24"/>
          <w:szCs w:val="24"/>
        </w:rPr>
      </w:pPr>
      <w:r w:rsidRPr="00336207">
        <w:rPr>
          <w:rFonts w:ascii="Verdana" w:hAnsi="Verdana"/>
          <w:sz w:val="24"/>
          <w:szCs w:val="24"/>
        </w:rPr>
        <w:t>The AAA</w:t>
      </w:r>
      <w:r>
        <w:rPr>
          <w:rFonts w:ascii="Verdana" w:hAnsi="Verdana"/>
          <w:sz w:val="24"/>
          <w:szCs w:val="24"/>
        </w:rPr>
        <w:t xml:space="preserve"> </w:t>
      </w:r>
      <w:r w:rsidRPr="00336207">
        <w:rPr>
          <w:rFonts w:ascii="Verdana" w:hAnsi="Verdana"/>
          <w:sz w:val="24"/>
          <w:szCs w:val="24"/>
        </w:rPr>
        <w:t>programme undertook a high number of screens in February</w:t>
      </w:r>
      <w:r>
        <w:rPr>
          <w:rFonts w:ascii="Verdana" w:hAnsi="Verdana"/>
          <w:sz w:val="24"/>
          <w:szCs w:val="24"/>
        </w:rPr>
        <w:t xml:space="preserve"> 2023 (</w:t>
      </w:r>
      <w:r w:rsidRPr="00336207">
        <w:rPr>
          <w:rFonts w:ascii="Verdana" w:hAnsi="Verdana"/>
          <w:sz w:val="24"/>
          <w:szCs w:val="24"/>
        </w:rPr>
        <w:t>1,925</w:t>
      </w:r>
      <w:r>
        <w:rPr>
          <w:rFonts w:ascii="Verdana" w:hAnsi="Verdana"/>
          <w:sz w:val="24"/>
          <w:szCs w:val="24"/>
        </w:rPr>
        <w:t>)</w:t>
      </w:r>
      <w:r w:rsidRPr="00336207">
        <w:rPr>
          <w:rFonts w:ascii="Verdana" w:hAnsi="Verdana"/>
          <w:sz w:val="24"/>
          <w:szCs w:val="24"/>
        </w:rPr>
        <w:t xml:space="preserve">, and has </w:t>
      </w:r>
      <w:r w:rsidRPr="00336207">
        <w:rPr>
          <w:rFonts w:ascii="Verdana" w:hAnsi="Verdana"/>
          <w:sz w:val="24"/>
          <w:szCs w:val="24"/>
          <w:u w:val="single"/>
        </w:rPr>
        <w:t>fully recovered the programme by end of March 2023 as planned</w:t>
      </w:r>
      <w:r w:rsidRPr="00336207">
        <w:rPr>
          <w:rFonts w:ascii="Verdana" w:hAnsi="Verdana"/>
          <w:sz w:val="24"/>
          <w:szCs w:val="24"/>
        </w:rPr>
        <w:t>. The programme has focused work to reduce backlog with additional clinics in specific areas. Plans are progressing well with th</w:t>
      </w:r>
      <w:r>
        <w:rPr>
          <w:rFonts w:ascii="Verdana" w:hAnsi="Verdana"/>
          <w:sz w:val="24"/>
          <w:szCs w:val="24"/>
        </w:rPr>
        <w:t xml:space="preserve">e new screening site in Cardiff, with </w:t>
      </w:r>
      <w:r w:rsidRPr="00336207">
        <w:rPr>
          <w:rFonts w:ascii="Verdana" w:hAnsi="Verdana"/>
          <w:sz w:val="24"/>
          <w:szCs w:val="24"/>
        </w:rPr>
        <w:t>implementation from May 2023.</w:t>
      </w:r>
    </w:p>
    <w:p w:rsidR="00336207" w:rsidRPr="00336207" w:rsidRDefault="00C3537A" w:rsidP="00E25CF9">
      <w:pPr>
        <w:pStyle w:val="TableParagraph"/>
        <w:numPr>
          <w:ilvl w:val="0"/>
          <w:numId w:val="10"/>
        </w:numPr>
        <w:spacing w:after="60" w:line="20" w:lineRule="atLeast"/>
        <w:ind w:left="851" w:right="-330" w:hanging="291"/>
        <w:jc w:val="left"/>
        <w:rPr>
          <w:rFonts w:ascii="Verdana" w:hAnsi="Verdana"/>
          <w:sz w:val="24"/>
          <w:szCs w:val="24"/>
        </w:rPr>
      </w:pPr>
      <w:r w:rsidRPr="00336207">
        <w:rPr>
          <w:rFonts w:ascii="Verdana" w:hAnsi="Verdana"/>
          <w:sz w:val="24"/>
          <w:szCs w:val="24"/>
        </w:rPr>
        <w:t xml:space="preserve">Latest </w:t>
      </w:r>
      <w:r w:rsidR="00D835C7" w:rsidRPr="00336207">
        <w:rPr>
          <w:rFonts w:ascii="Verdana" w:hAnsi="Verdana"/>
          <w:sz w:val="24"/>
          <w:szCs w:val="24"/>
        </w:rPr>
        <w:t>mandatory childhood vaccination da</w:t>
      </w:r>
      <w:r w:rsidR="00336207" w:rsidRPr="00336207">
        <w:rPr>
          <w:rFonts w:ascii="Verdana" w:hAnsi="Verdana"/>
          <w:sz w:val="24"/>
          <w:szCs w:val="24"/>
        </w:rPr>
        <w:t>ta reported within the COVER 145</w:t>
      </w:r>
      <w:r w:rsidR="00D835C7" w:rsidRPr="00336207">
        <w:rPr>
          <w:rFonts w:ascii="Verdana" w:hAnsi="Verdana"/>
          <w:sz w:val="24"/>
          <w:szCs w:val="24"/>
        </w:rPr>
        <w:t xml:space="preserve"> </w:t>
      </w:r>
      <w:hyperlink r:id="rId17" w:history="1">
        <w:r w:rsidR="00D835C7" w:rsidRPr="00336207">
          <w:rPr>
            <w:rStyle w:val="Hyperlink"/>
            <w:rFonts w:ascii="Verdana" w:hAnsi="Verdana"/>
            <w:sz w:val="24"/>
            <w:szCs w:val="24"/>
          </w:rPr>
          <w:t>report</w:t>
        </w:r>
      </w:hyperlink>
      <w:r w:rsidR="00336207" w:rsidRPr="00336207">
        <w:rPr>
          <w:rFonts w:ascii="Verdana" w:hAnsi="Verdana"/>
          <w:sz w:val="24"/>
          <w:szCs w:val="24"/>
        </w:rPr>
        <w:t xml:space="preserve"> (October – December 2022) </w:t>
      </w:r>
      <w:r w:rsidR="00D835C7" w:rsidRPr="00336207">
        <w:rPr>
          <w:rFonts w:ascii="Verdana" w:hAnsi="Verdana"/>
          <w:sz w:val="24"/>
          <w:szCs w:val="24"/>
        </w:rPr>
        <w:t>s</w:t>
      </w:r>
      <w:r w:rsidRPr="00336207">
        <w:rPr>
          <w:rFonts w:ascii="Verdana" w:hAnsi="Verdana"/>
          <w:sz w:val="24"/>
          <w:szCs w:val="24"/>
        </w:rPr>
        <w:t>howed that for children aged 1, uptake of the “6 in 1” vaccin</w:t>
      </w:r>
      <w:r w:rsidR="00336207" w:rsidRPr="00336207">
        <w:rPr>
          <w:rFonts w:ascii="Verdana" w:hAnsi="Verdana"/>
          <w:sz w:val="24"/>
          <w:szCs w:val="24"/>
        </w:rPr>
        <w:t>ation remained below 95% at 94.6</w:t>
      </w:r>
      <w:r w:rsidRPr="00336207">
        <w:rPr>
          <w:rFonts w:ascii="Verdana" w:hAnsi="Verdana"/>
          <w:sz w:val="24"/>
          <w:szCs w:val="24"/>
        </w:rPr>
        <w:t xml:space="preserve">%, </w:t>
      </w:r>
      <w:r w:rsidR="00336207" w:rsidRPr="00336207">
        <w:rPr>
          <w:rFonts w:ascii="Verdana" w:hAnsi="Verdana"/>
          <w:sz w:val="24"/>
          <w:szCs w:val="24"/>
        </w:rPr>
        <w:t xml:space="preserve">down 0.1% </w:t>
      </w:r>
      <w:r w:rsidRPr="00336207">
        <w:rPr>
          <w:rFonts w:ascii="Verdana" w:hAnsi="Verdana"/>
          <w:sz w:val="24"/>
          <w:szCs w:val="24"/>
        </w:rPr>
        <w:t xml:space="preserve">compared to </w:t>
      </w:r>
      <w:r w:rsidR="00336207" w:rsidRPr="00336207">
        <w:rPr>
          <w:rFonts w:ascii="Verdana" w:hAnsi="Verdana"/>
          <w:sz w:val="24"/>
          <w:szCs w:val="24"/>
        </w:rPr>
        <w:t>the previous</w:t>
      </w:r>
      <w:r w:rsidRPr="00336207">
        <w:rPr>
          <w:rFonts w:ascii="Verdana" w:hAnsi="Verdana"/>
          <w:sz w:val="24"/>
          <w:szCs w:val="24"/>
        </w:rPr>
        <w:t xml:space="preserve"> quarter.</w:t>
      </w:r>
      <w:r w:rsidR="00D835C7" w:rsidRPr="00336207">
        <w:rPr>
          <w:rFonts w:ascii="Verdana" w:hAnsi="Verdana"/>
          <w:sz w:val="24"/>
          <w:szCs w:val="24"/>
        </w:rPr>
        <w:t xml:space="preserve"> In children reaching five years of age this quarter, cover</w:t>
      </w:r>
      <w:r w:rsidR="00336207" w:rsidRPr="00336207">
        <w:rPr>
          <w:rFonts w:ascii="Verdana" w:hAnsi="Verdana"/>
          <w:sz w:val="24"/>
          <w:szCs w:val="24"/>
        </w:rPr>
        <w:t>age of two doses of MMR was 90.2</w:t>
      </w:r>
      <w:r w:rsidR="00D835C7" w:rsidRPr="00336207">
        <w:rPr>
          <w:rFonts w:ascii="Verdana" w:hAnsi="Verdana"/>
          <w:sz w:val="24"/>
          <w:szCs w:val="24"/>
        </w:rPr>
        <w:t xml:space="preserve">%. </w:t>
      </w:r>
      <w:r w:rsidR="00336207" w:rsidRPr="00336207">
        <w:rPr>
          <w:rFonts w:ascii="Verdana" w:hAnsi="Verdana"/>
          <w:sz w:val="24"/>
          <w:szCs w:val="24"/>
        </w:rPr>
        <w:t xml:space="preserve"> A number of system level actions have been undertaken to support improvements in uptake data since the data was published. This includes the response to the ongoing Vaccine Derived Polio Virus Type 2 (VPDV2) incident in London whereby the Wales Incident Management Team supported a catchup of missed </w:t>
      </w:r>
      <w:proofErr w:type="spellStart"/>
      <w:r w:rsidR="00336207" w:rsidRPr="00336207">
        <w:rPr>
          <w:rFonts w:ascii="Verdana" w:hAnsi="Verdana"/>
          <w:sz w:val="24"/>
          <w:szCs w:val="24"/>
        </w:rPr>
        <w:t>immunisations</w:t>
      </w:r>
      <w:proofErr w:type="spellEnd"/>
      <w:r w:rsidR="00336207" w:rsidRPr="00336207">
        <w:rPr>
          <w:rFonts w:ascii="Verdana" w:hAnsi="Verdana"/>
          <w:sz w:val="24"/>
          <w:szCs w:val="24"/>
        </w:rPr>
        <w:t xml:space="preserve"> for under 5s.  </w:t>
      </w:r>
    </w:p>
    <w:p w:rsidR="00E25CF9" w:rsidRPr="00E25CF9" w:rsidRDefault="00336207" w:rsidP="00E25CF9">
      <w:pPr>
        <w:pStyle w:val="TableParagraph"/>
        <w:numPr>
          <w:ilvl w:val="0"/>
          <w:numId w:val="10"/>
        </w:numPr>
        <w:spacing w:after="60" w:line="20" w:lineRule="atLeast"/>
        <w:ind w:left="851" w:right="-330" w:hanging="291"/>
        <w:jc w:val="left"/>
        <w:rPr>
          <w:rFonts w:ascii="Verdana" w:hAnsi="Verdana"/>
          <w:sz w:val="24"/>
          <w:szCs w:val="24"/>
        </w:rPr>
      </w:pPr>
      <w:r w:rsidRPr="00E25CF9">
        <w:rPr>
          <w:rFonts w:ascii="Verdana" w:hAnsi="Verdana"/>
          <w:sz w:val="24"/>
          <w:szCs w:val="24"/>
        </w:rPr>
        <w:t xml:space="preserve">One No Surprises Incident reported in February 2023 related to taking forward actions to address recommendations from the external review of the Tuberculosis (TB) outbreak </w:t>
      </w:r>
      <w:r w:rsidR="00E25CF9" w:rsidRPr="00E25CF9">
        <w:rPr>
          <w:rFonts w:ascii="Verdana" w:hAnsi="Verdana"/>
          <w:sz w:val="24"/>
          <w:szCs w:val="24"/>
        </w:rPr>
        <w:t xml:space="preserve">and its management </w:t>
      </w:r>
      <w:r w:rsidRPr="00E25CF9">
        <w:rPr>
          <w:rFonts w:ascii="Verdana" w:hAnsi="Verdana"/>
          <w:sz w:val="24"/>
          <w:szCs w:val="24"/>
        </w:rPr>
        <w:t xml:space="preserve">in </w:t>
      </w:r>
      <w:r w:rsidR="00E25CF9" w:rsidRPr="00E25CF9">
        <w:rPr>
          <w:rFonts w:ascii="Verdana" w:hAnsi="Verdana"/>
          <w:sz w:val="24"/>
          <w:szCs w:val="24"/>
        </w:rPr>
        <w:t xml:space="preserve">the Llwynhendy area of </w:t>
      </w:r>
      <w:proofErr w:type="spellStart"/>
      <w:r w:rsidR="00E25CF9" w:rsidRPr="00E25CF9">
        <w:rPr>
          <w:rFonts w:ascii="Verdana" w:hAnsi="Verdana"/>
          <w:sz w:val="24"/>
          <w:szCs w:val="24"/>
        </w:rPr>
        <w:t>Carmarthenhire</w:t>
      </w:r>
      <w:proofErr w:type="spellEnd"/>
      <w:r w:rsidR="00E25CF9" w:rsidRPr="00E25CF9">
        <w:rPr>
          <w:rFonts w:ascii="Verdana" w:hAnsi="Verdana"/>
          <w:sz w:val="24"/>
          <w:szCs w:val="24"/>
        </w:rPr>
        <w:t xml:space="preserve"> dating back to </w:t>
      </w:r>
      <w:r w:rsidRPr="00E25CF9">
        <w:rPr>
          <w:rFonts w:ascii="Verdana" w:hAnsi="Verdana"/>
          <w:sz w:val="24"/>
          <w:szCs w:val="24"/>
        </w:rPr>
        <w:t>2010.</w:t>
      </w:r>
      <w:r w:rsidR="00E25CF9" w:rsidRPr="00E25CF9">
        <w:rPr>
          <w:rFonts w:ascii="Verdana" w:hAnsi="Verdana"/>
          <w:sz w:val="24"/>
          <w:szCs w:val="24"/>
        </w:rPr>
        <w:t xml:space="preserve"> This includes </w:t>
      </w:r>
      <w:r w:rsidRPr="00E25CF9">
        <w:rPr>
          <w:rFonts w:ascii="Verdana" w:hAnsi="Verdana"/>
          <w:sz w:val="24"/>
          <w:szCs w:val="24"/>
        </w:rPr>
        <w:t>identify</w:t>
      </w:r>
      <w:r w:rsidR="00E25CF9" w:rsidRPr="00E25CF9">
        <w:rPr>
          <w:rFonts w:ascii="Verdana" w:hAnsi="Verdana"/>
          <w:sz w:val="24"/>
          <w:szCs w:val="24"/>
        </w:rPr>
        <w:t>ing</w:t>
      </w:r>
      <w:r w:rsidRPr="00E25CF9">
        <w:rPr>
          <w:rFonts w:ascii="Verdana" w:hAnsi="Verdana"/>
          <w:sz w:val="24"/>
          <w:szCs w:val="24"/>
        </w:rPr>
        <w:t xml:space="preserve"> any learning and inform</w:t>
      </w:r>
      <w:r w:rsidR="00E25CF9" w:rsidRPr="00E25CF9">
        <w:rPr>
          <w:rFonts w:ascii="Verdana" w:hAnsi="Verdana"/>
          <w:sz w:val="24"/>
          <w:szCs w:val="24"/>
        </w:rPr>
        <w:t>ing</w:t>
      </w:r>
      <w:r w:rsidRPr="00E25CF9">
        <w:rPr>
          <w:rFonts w:ascii="Verdana" w:hAnsi="Verdana"/>
          <w:sz w:val="24"/>
          <w:szCs w:val="24"/>
        </w:rPr>
        <w:t xml:space="preserve"> the ongoing and future management of TB disease in Wales. The external review w</w:t>
      </w:r>
      <w:r w:rsidR="00E25CF9" w:rsidRPr="00E25CF9">
        <w:rPr>
          <w:rFonts w:ascii="Verdana" w:hAnsi="Verdana"/>
          <w:sz w:val="24"/>
          <w:szCs w:val="24"/>
        </w:rPr>
        <w:t>as published on January 26 2023, with the recommendations were accepted in full by both Public Health Wales and Hywel Dda UHB.</w:t>
      </w:r>
    </w:p>
    <w:p w:rsidR="00336207" w:rsidRPr="004D2C2A" w:rsidRDefault="00336207" w:rsidP="00E25CF9">
      <w:pPr>
        <w:pStyle w:val="TableParagraph"/>
        <w:spacing w:after="60" w:line="20" w:lineRule="atLeast"/>
        <w:jc w:val="left"/>
        <w:rPr>
          <w:rFonts w:ascii="Verdana" w:hAnsi="Verdana"/>
          <w:sz w:val="24"/>
          <w:szCs w:val="24"/>
          <w:highlight w:val="cyan"/>
        </w:rPr>
      </w:pPr>
    </w:p>
    <w:p w:rsidR="00297FB6" w:rsidRPr="00297FB6" w:rsidRDefault="00297FB6" w:rsidP="00297FB6">
      <w:pPr>
        <w:pStyle w:val="TableParagraph"/>
        <w:spacing w:before="120" w:after="200" w:line="20" w:lineRule="atLeast"/>
        <w:ind w:left="567" w:right="80"/>
        <w:jc w:val="left"/>
        <w:rPr>
          <w:rFonts w:ascii="Verdana" w:eastAsia="Verdana" w:hAnsi="Verdana" w:cstheme="minorBidi"/>
          <w:sz w:val="24"/>
          <w:szCs w:val="24"/>
          <w:lang w:val="en-GB"/>
        </w:rPr>
      </w:pPr>
      <w:r w:rsidRPr="00297FB6">
        <w:rPr>
          <w:rFonts w:ascii="Verdana" w:eastAsia="Verdana" w:hAnsi="Verdana" w:cstheme="minorBidi"/>
          <w:sz w:val="24"/>
          <w:szCs w:val="24"/>
          <w:lang w:val="en-GB"/>
        </w:rPr>
        <w:t>Further insights from the P</w:t>
      </w:r>
      <w:r>
        <w:rPr>
          <w:rFonts w:ascii="Verdana" w:eastAsia="Verdana" w:hAnsi="Verdana" w:cstheme="minorBidi"/>
          <w:sz w:val="24"/>
          <w:szCs w:val="24"/>
          <w:lang w:val="en-GB"/>
        </w:rPr>
        <w:t xml:space="preserve">erformance and Assurance </w:t>
      </w:r>
      <w:r w:rsidRPr="00297FB6">
        <w:rPr>
          <w:rFonts w:ascii="Verdana" w:eastAsia="Verdana" w:hAnsi="Verdana" w:cstheme="minorBidi"/>
          <w:sz w:val="24"/>
          <w:szCs w:val="24"/>
          <w:lang w:val="en-GB"/>
        </w:rPr>
        <w:t>D</w:t>
      </w:r>
      <w:r>
        <w:rPr>
          <w:rFonts w:ascii="Verdana" w:eastAsia="Verdana" w:hAnsi="Verdana" w:cstheme="minorBidi"/>
          <w:sz w:val="24"/>
          <w:szCs w:val="24"/>
          <w:lang w:val="en-GB"/>
        </w:rPr>
        <w:t>ashboard</w:t>
      </w:r>
      <w:r w:rsidRPr="00297FB6">
        <w:rPr>
          <w:rFonts w:ascii="Verdana" w:eastAsia="Verdana" w:hAnsi="Verdana" w:cstheme="minorBidi"/>
          <w:sz w:val="24"/>
          <w:szCs w:val="24"/>
          <w:lang w:val="en-GB"/>
        </w:rPr>
        <w:t xml:space="preserve"> can be found on page 2 – Key Pe</w:t>
      </w:r>
      <w:r w:rsidR="005E23C5">
        <w:rPr>
          <w:rFonts w:ascii="Verdana" w:eastAsia="Verdana" w:hAnsi="Verdana" w:cstheme="minorBidi"/>
          <w:sz w:val="24"/>
          <w:szCs w:val="24"/>
          <w:lang w:val="en-GB"/>
        </w:rPr>
        <w:t>rformance and Insights S</w:t>
      </w:r>
      <w:r w:rsidRPr="00297FB6">
        <w:rPr>
          <w:rFonts w:ascii="Verdana" w:eastAsia="Verdana" w:hAnsi="Verdana" w:cstheme="minorBidi"/>
          <w:sz w:val="24"/>
          <w:szCs w:val="24"/>
          <w:lang w:val="en-GB"/>
        </w:rPr>
        <w:t>ummary.</w:t>
      </w:r>
    </w:p>
    <w:p w:rsidR="00ED31F4" w:rsidRPr="004137DE" w:rsidRDefault="00297FB6" w:rsidP="00ED31F4">
      <w:pPr>
        <w:spacing w:after="0" w:line="240" w:lineRule="auto"/>
        <w:ind w:left="567"/>
        <w:rPr>
          <w:rFonts w:ascii="Verdana" w:hAnsi="Verdana"/>
          <w:sz w:val="24"/>
        </w:rPr>
      </w:pPr>
      <w:r>
        <w:rPr>
          <w:rFonts w:ascii="Verdana" w:hAnsi="Verdana"/>
          <w:sz w:val="24"/>
          <w:szCs w:val="24"/>
        </w:rPr>
        <w:t>P</w:t>
      </w:r>
      <w:r w:rsidR="00ED31F4">
        <w:rPr>
          <w:rFonts w:ascii="Verdana" w:hAnsi="Verdana"/>
          <w:sz w:val="24"/>
          <w:szCs w:val="24"/>
        </w:rPr>
        <w:t xml:space="preserve">erformance and Assurance Dashboard </w:t>
      </w:r>
      <w:r w:rsidR="00ED31F4">
        <w:rPr>
          <w:rFonts w:ascii="Verdana" w:hAnsi="Verdana"/>
          <w:i/>
          <w:sz w:val="24"/>
        </w:rPr>
        <w:t>(</w:t>
      </w:r>
      <w:r w:rsidR="00ED31F4" w:rsidRPr="00F92CB2">
        <w:rPr>
          <w:rFonts w:ascii="Verdana" w:hAnsi="Verdana"/>
          <w:i/>
          <w:sz w:val="24"/>
        </w:rPr>
        <w:t>not publically available)</w:t>
      </w:r>
    </w:p>
    <w:p w:rsidR="00297FB6" w:rsidRDefault="00942578" w:rsidP="00EE59B4">
      <w:pPr>
        <w:spacing w:after="0" w:line="240" w:lineRule="auto"/>
        <w:ind w:left="567" w:right="-45"/>
        <w:jc w:val="both"/>
      </w:pPr>
      <w:hyperlink r:id="rId18" w:anchor="1" w:history="1">
        <w:r w:rsidR="002B182A" w:rsidRPr="00AF06E9">
          <w:rPr>
            <w:rStyle w:val="Hyperlink"/>
          </w:rPr>
          <w:t>https://phw-tableau.cymru.nhs.uk/t/CorporateAnalyticsPreProduction/views/RecoveryDashboardLandingPage/LandingPage?:linktarget=_self&amp;:embed=yes#1</w:t>
        </w:r>
      </w:hyperlink>
      <w:r w:rsidR="002B182A">
        <w:t xml:space="preserve"> </w:t>
      </w:r>
    </w:p>
    <w:p w:rsidR="00A96CF1" w:rsidRPr="0065340E" w:rsidRDefault="00A96CF1" w:rsidP="00EE59B4">
      <w:pPr>
        <w:spacing w:after="0" w:line="240" w:lineRule="auto"/>
        <w:ind w:left="567" w:right="-45"/>
        <w:jc w:val="both"/>
        <w:rPr>
          <w:sz w:val="12"/>
        </w:rPr>
      </w:pPr>
    </w:p>
    <w:p w:rsidR="00A96CF1" w:rsidRDefault="00A96CF1" w:rsidP="00EE59B4">
      <w:pPr>
        <w:spacing w:after="0" w:line="240" w:lineRule="auto"/>
        <w:ind w:left="567" w:right="-45"/>
        <w:jc w:val="both"/>
        <w:rPr>
          <w:rFonts w:ascii="Verdana" w:hAnsi="Verdana"/>
          <w:i/>
          <w:sz w:val="24"/>
        </w:rPr>
      </w:pPr>
      <w:r w:rsidRPr="00A96CF1">
        <w:rPr>
          <w:rFonts w:ascii="Verdana" w:hAnsi="Verdana"/>
          <w:sz w:val="24"/>
          <w:szCs w:val="24"/>
        </w:rPr>
        <w:t>Public Health Rapid Overview Dashboard</w:t>
      </w:r>
      <w:r>
        <w:rPr>
          <w:rFonts w:ascii="Verdana" w:hAnsi="Verdana"/>
          <w:sz w:val="24"/>
          <w:szCs w:val="24"/>
        </w:rPr>
        <w:t xml:space="preserve"> (</w:t>
      </w:r>
      <w:r w:rsidR="001406DC" w:rsidRPr="00F92CB2">
        <w:rPr>
          <w:rFonts w:ascii="Verdana" w:hAnsi="Verdana"/>
          <w:i/>
          <w:sz w:val="24"/>
        </w:rPr>
        <w:t>not publically available</w:t>
      </w:r>
      <w:r w:rsidRPr="00F92CB2">
        <w:rPr>
          <w:rFonts w:ascii="Verdana" w:hAnsi="Verdana"/>
          <w:i/>
          <w:sz w:val="24"/>
        </w:rPr>
        <w:t>)</w:t>
      </w:r>
    </w:p>
    <w:p w:rsidR="00DC01C5" w:rsidRPr="00FB60D9" w:rsidRDefault="00942578" w:rsidP="00FB60D9">
      <w:pPr>
        <w:spacing w:after="0" w:line="240" w:lineRule="auto"/>
        <w:ind w:left="567" w:right="-45"/>
        <w:jc w:val="both"/>
        <w:rPr>
          <w:color w:val="0000FF"/>
          <w:u w:val="single"/>
        </w:rPr>
      </w:pPr>
      <w:hyperlink r:id="rId19" w:history="1">
        <w:r w:rsidR="001406DC">
          <w:rPr>
            <w:rStyle w:val="Hyperlink"/>
          </w:rPr>
          <w:t>Public Health Rapid Overview Dashboard</w:t>
        </w:r>
      </w:hyperlink>
    </w:p>
    <w:p w:rsidR="00DC72A8" w:rsidRDefault="00DC72A8" w:rsidP="00C52823">
      <w:pPr>
        <w:spacing w:after="0" w:line="240" w:lineRule="auto"/>
        <w:jc w:val="both"/>
        <w:rPr>
          <w:rFonts w:ascii="Verdana" w:eastAsia="Verdana" w:hAnsi="Verdana"/>
          <w:sz w:val="24"/>
          <w:szCs w:val="24"/>
        </w:rPr>
      </w:pPr>
    </w:p>
    <w:p w:rsidR="00DC72A8" w:rsidRDefault="00DC72A8" w:rsidP="00C52823">
      <w:pPr>
        <w:spacing w:after="0" w:line="240" w:lineRule="auto"/>
        <w:jc w:val="both"/>
        <w:rPr>
          <w:rFonts w:ascii="Verdana" w:eastAsia="Verdana" w:hAnsi="Verdana"/>
          <w:sz w:val="24"/>
          <w:szCs w:val="24"/>
        </w:rPr>
      </w:pPr>
    </w:p>
    <w:p w:rsidR="00DC72A8" w:rsidRDefault="00DC72A8" w:rsidP="00C52823">
      <w:pPr>
        <w:spacing w:after="0" w:line="240" w:lineRule="auto"/>
        <w:jc w:val="both"/>
        <w:rPr>
          <w:rFonts w:ascii="Verdana" w:eastAsia="Verdana" w:hAnsi="Verdana"/>
          <w:sz w:val="24"/>
          <w:szCs w:val="24"/>
        </w:rPr>
      </w:pPr>
    </w:p>
    <w:p w:rsidR="000F437D" w:rsidRPr="005C71DB" w:rsidRDefault="000A2ADC" w:rsidP="005C71DB">
      <w:pPr>
        <w:pStyle w:val="ListParagraph"/>
        <w:keepNext/>
        <w:keepLines/>
        <w:numPr>
          <w:ilvl w:val="0"/>
          <w:numId w:val="1"/>
        </w:numPr>
        <w:spacing w:after="0" w:line="240" w:lineRule="auto"/>
        <w:ind w:right="731"/>
        <w:outlineLvl w:val="1"/>
        <w:rPr>
          <w:rFonts w:ascii="Verdana" w:eastAsiaTheme="majorEastAsia" w:hAnsi="Verdana" w:cstheme="majorBidi"/>
          <w:b/>
          <w:bCs/>
          <w:sz w:val="24"/>
          <w:szCs w:val="24"/>
        </w:rPr>
      </w:pPr>
      <w:r w:rsidRPr="005C71DB">
        <w:rPr>
          <w:rFonts w:ascii="Verdana" w:eastAsiaTheme="majorEastAsia" w:hAnsi="Verdana" w:cstheme="majorBidi"/>
          <w:b/>
          <w:bCs/>
          <w:sz w:val="24"/>
          <w:szCs w:val="24"/>
        </w:rPr>
        <w:t>Well-being of Future Generations (Wales) Act 2015</w:t>
      </w:r>
    </w:p>
    <w:p w:rsidR="000A2ADC" w:rsidRPr="00AC7380" w:rsidRDefault="000A2ADC" w:rsidP="000A2ADC">
      <w:pPr>
        <w:spacing w:after="0" w:line="240" w:lineRule="auto"/>
        <w:ind w:left="1276" w:right="731" w:hanging="567"/>
        <w:rPr>
          <w:rFonts w:ascii="Verdana" w:eastAsia="Verdana" w:hAnsi="Verdana"/>
          <w:sz w:val="24"/>
          <w:szCs w:val="24"/>
        </w:rPr>
      </w:pPr>
    </w:p>
    <w:tbl>
      <w:tblPr>
        <w:tblStyle w:val="TableGrid4"/>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6554"/>
      </w:tblGrid>
      <w:tr w:rsidR="000A2ADC" w:rsidRPr="00AC7380" w:rsidTr="003B1702">
        <w:tc>
          <w:tcPr>
            <w:tcW w:w="3369" w:type="dxa"/>
          </w:tcPr>
          <w:p w:rsidR="000A2ADC" w:rsidRPr="00AC7380" w:rsidRDefault="005C71DB" w:rsidP="007344C2">
            <w:pPr>
              <w:spacing w:before="120" w:after="120"/>
              <w:ind w:left="1276" w:right="731" w:hanging="567"/>
              <w:jc w:val="center"/>
              <w:rPr>
                <w:rFonts w:ascii="Verdana" w:hAnsi="Verdana" w:cs="Arial"/>
                <w:sz w:val="24"/>
                <w:szCs w:val="24"/>
              </w:rPr>
            </w:pPr>
            <w:r w:rsidRPr="00AC7380">
              <w:rPr>
                <w:rFonts w:ascii="Verdana" w:hAnsi="Verdana" w:cs="Arial"/>
                <w:noProof/>
                <w:sz w:val="24"/>
                <w:szCs w:val="24"/>
                <w:lang w:eastAsia="en-GB"/>
              </w:rPr>
              <w:drawing>
                <wp:anchor distT="0" distB="0" distL="114300" distR="114300" simplePos="0" relativeHeight="251659264" behindDoc="0" locked="0" layoutInCell="1" allowOverlap="1" wp14:anchorId="565609D3" wp14:editId="3DC3BBFE">
                  <wp:simplePos x="0" y="0"/>
                  <wp:positionH relativeFrom="column">
                    <wp:posOffset>147320</wp:posOffset>
                  </wp:positionH>
                  <wp:positionV relativeFrom="paragraph">
                    <wp:posOffset>-16510</wp:posOffset>
                  </wp:positionV>
                  <wp:extent cx="1829383" cy="861060"/>
                  <wp:effectExtent l="0" t="0" r="0" b="0"/>
                  <wp:wrapNone/>
                  <wp:docPr id="169" name="Picture 5" descr="Long Term - icon + wor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ng Term - icon + wording"/>
                          <pic:cNvPicPr>
                            <a:picLocks noChangeAspect="1" noChangeArrowheads="1"/>
                          </pic:cNvPicPr>
                        </pic:nvPicPr>
                        <pic:blipFill>
                          <a:blip r:embed="rId20" cstate="print">
                            <a:extLst>
                              <a:ext uri="{28A0092B-C50C-407E-A947-70E740481C1C}">
                                <a14:useLocalDpi xmlns:a14="http://schemas.microsoft.com/office/drawing/2010/main" val="0"/>
                              </a:ext>
                            </a:extLst>
                          </a:blip>
                          <a:srcRect l="20309" t="9271" r="17880" b="10596"/>
                          <a:stretch>
                            <a:fillRect/>
                          </a:stretch>
                        </pic:blipFill>
                        <pic:spPr bwMode="auto">
                          <a:xfrm>
                            <a:off x="0" y="0"/>
                            <a:ext cx="1829383" cy="86106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c>
          <w:tcPr>
            <w:tcW w:w="6554" w:type="dxa"/>
          </w:tcPr>
          <w:p w:rsidR="000A2ADC" w:rsidRPr="00AC7380" w:rsidRDefault="000A2ADC" w:rsidP="005C71DB">
            <w:pPr>
              <w:ind w:right="177"/>
              <w:rPr>
                <w:rFonts w:ascii="Verdana" w:hAnsi="Verdana" w:cs="Arial"/>
                <w:szCs w:val="24"/>
              </w:rPr>
            </w:pPr>
            <w:r w:rsidRPr="00AC7380">
              <w:rPr>
                <w:rFonts w:ascii="Verdana" w:hAnsi="Verdana" w:cs="Arial"/>
                <w:szCs w:val="24"/>
              </w:rPr>
              <w:t xml:space="preserve">Ensures Public Health Wales is able to successfully monitor the delivery of its </w:t>
            </w:r>
            <w:r w:rsidR="003B1702">
              <w:rPr>
                <w:rFonts w:ascii="Verdana" w:hAnsi="Verdana" w:cs="Arial"/>
                <w:szCs w:val="24"/>
              </w:rPr>
              <w:t xml:space="preserve">functions; assess areas of  </w:t>
            </w:r>
            <w:r w:rsidRPr="00AC7380">
              <w:rPr>
                <w:rFonts w:ascii="Verdana" w:hAnsi="Verdana" w:cs="Arial"/>
                <w:szCs w:val="24"/>
              </w:rPr>
              <w:t xml:space="preserve"> underperformance</w:t>
            </w:r>
            <w:r w:rsidR="003B1702">
              <w:rPr>
                <w:rFonts w:ascii="Verdana" w:hAnsi="Verdana" w:cs="Arial"/>
                <w:szCs w:val="24"/>
              </w:rPr>
              <w:t xml:space="preserve">; and can use this </w:t>
            </w:r>
            <w:r w:rsidRPr="00AC7380">
              <w:rPr>
                <w:rFonts w:ascii="Verdana" w:hAnsi="Verdana" w:cs="Arial"/>
                <w:szCs w:val="24"/>
              </w:rPr>
              <w:t xml:space="preserve">intelligence </w:t>
            </w:r>
            <w:r w:rsidR="003B1702">
              <w:rPr>
                <w:rFonts w:ascii="Verdana" w:hAnsi="Verdana" w:cs="Arial"/>
                <w:szCs w:val="24"/>
              </w:rPr>
              <w:t xml:space="preserve">and knowledge </w:t>
            </w:r>
            <w:r w:rsidRPr="00AC7380">
              <w:rPr>
                <w:rFonts w:ascii="Verdana" w:hAnsi="Verdana" w:cs="Arial"/>
                <w:szCs w:val="24"/>
              </w:rPr>
              <w:t>to aid decision making.</w:t>
            </w:r>
          </w:p>
          <w:p w:rsidR="000A2ADC" w:rsidRPr="00AC7380" w:rsidRDefault="000A2ADC" w:rsidP="005C71DB">
            <w:pPr>
              <w:ind w:right="731" w:hanging="567"/>
              <w:rPr>
                <w:rFonts w:ascii="Verdana" w:hAnsi="Verdana" w:cs="Arial"/>
                <w:szCs w:val="24"/>
              </w:rPr>
            </w:pPr>
          </w:p>
        </w:tc>
      </w:tr>
      <w:tr w:rsidR="000A2ADC" w:rsidRPr="00AC7380" w:rsidTr="003B1702">
        <w:tc>
          <w:tcPr>
            <w:tcW w:w="3369" w:type="dxa"/>
          </w:tcPr>
          <w:p w:rsidR="000A2ADC" w:rsidRPr="00AC7380" w:rsidRDefault="005C71DB" w:rsidP="007344C2">
            <w:pPr>
              <w:spacing w:before="120" w:after="120"/>
              <w:ind w:left="1276" w:right="731" w:hanging="567"/>
              <w:jc w:val="center"/>
              <w:rPr>
                <w:rFonts w:ascii="Verdana" w:hAnsi="Verdana" w:cs="Arial"/>
                <w:sz w:val="24"/>
                <w:szCs w:val="24"/>
              </w:rPr>
            </w:pPr>
            <w:r w:rsidRPr="00AC7380">
              <w:rPr>
                <w:rFonts w:ascii="Verdana" w:hAnsi="Verdana" w:cs="Arial"/>
                <w:noProof/>
                <w:sz w:val="24"/>
                <w:szCs w:val="24"/>
                <w:lang w:eastAsia="en-GB"/>
              </w:rPr>
              <w:drawing>
                <wp:anchor distT="0" distB="0" distL="114300" distR="114300" simplePos="0" relativeHeight="251660288" behindDoc="0" locked="0" layoutInCell="1" allowOverlap="1" wp14:anchorId="190FDF09" wp14:editId="10EC14FE">
                  <wp:simplePos x="0" y="0"/>
                  <wp:positionH relativeFrom="column">
                    <wp:posOffset>198120</wp:posOffset>
                  </wp:positionH>
                  <wp:positionV relativeFrom="paragraph">
                    <wp:posOffset>73448</wp:posOffset>
                  </wp:positionV>
                  <wp:extent cx="1828800" cy="857250"/>
                  <wp:effectExtent l="0" t="0" r="0" b="0"/>
                  <wp:wrapNone/>
                  <wp:docPr id="170" name="Picture 1" descr="Prevention - icon + wor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vention - icon + wording"/>
                          <pic:cNvPicPr>
                            <a:picLocks noChangeAspect="1" noChangeArrowheads="1"/>
                          </pic:cNvPicPr>
                        </pic:nvPicPr>
                        <pic:blipFill>
                          <a:blip r:embed="rId21" cstate="print">
                            <a:extLst>
                              <a:ext uri="{28A0092B-C50C-407E-A947-70E740481C1C}">
                                <a14:useLocalDpi xmlns:a14="http://schemas.microsoft.com/office/drawing/2010/main" val="0"/>
                              </a:ext>
                            </a:extLst>
                          </a:blip>
                          <a:srcRect l="22958" t="11920" r="18542" b="12582"/>
                          <a:stretch>
                            <a:fillRect/>
                          </a:stretch>
                        </pic:blipFill>
                        <pic:spPr bwMode="auto">
                          <a:xfrm>
                            <a:off x="0" y="0"/>
                            <a:ext cx="1828800" cy="8572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c>
          <w:tcPr>
            <w:tcW w:w="6554" w:type="dxa"/>
          </w:tcPr>
          <w:p w:rsidR="000A2ADC" w:rsidRPr="00AC7380" w:rsidRDefault="000A2ADC" w:rsidP="005C71DB">
            <w:pPr>
              <w:ind w:right="-106"/>
              <w:rPr>
                <w:rFonts w:ascii="Verdana" w:hAnsi="Verdana" w:cs="Arial"/>
                <w:szCs w:val="24"/>
              </w:rPr>
            </w:pPr>
            <w:r w:rsidRPr="00AC7380">
              <w:rPr>
                <w:rFonts w:ascii="Verdana" w:hAnsi="Verdana" w:cs="Arial"/>
                <w:szCs w:val="24"/>
              </w:rPr>
              <w:t xml:space="preserve">Effective and efficient decision making by </w:t>
            </w:r>
            <w:r w:rsidR="005C71DB">
              <w:rPr>
                <w:rFonts w:ascii="Verdana" w:hAnsi="Verdana" w:cs="Arial"/>
                <w:szCs w:val="24"/>
              </w:rPr>
              <w:t>s</w:t>
            </w:r>
            <w:r w:rsidRPr="00AC7380">
              <w:rPr>
                <w:rFonts w:ascii="Verdana" w:hAnsi="Verdana" w:cs="Arial"/>
                <w:szCs w:val="24"/>
              </w:rPr>
              <w:t xml:space="preserve">enior </w:t>
            </w:r>
            <w:r w:rsidR="005C71DB">
              <w:rPr>
                <w:rFonts w:ascii="Verdana" w:hAnsi="Verdana" w:cs="Arial"/>
                <w:szCs w:val="24"/>
              </w:rPr>
              <w:t>m</w:t>
            </w:r>
            <w:r w:rsidRPr="00AC7380">
              <w:rPr>
                <w:rFonts w:ascii="Verdana" w:hAnsi="Verdana" w:cs="Arial"/>
                <w:szCs w:val="24"/>
              </w:rPr>
              <w:t>anagers, Executive Team and the Board is paramount to successful performance of the organisation in order for it to achieve its purpose, whilst preventing the potential to cause harm through underperformance.</w:t>
            </w:r>
          </w:p>
          <w:p w:rsidR="00883874" w:rsidRPr="00AC7380" w:rsidRDefault="00883874" w:rsidP="005C71DB">
            <w:pPr>
              <w:ind w:right="731" w:hanging="567"/>
              <w:rPr>
                <w:rFonts w:ascii="Verdana" w:hAnsi="Verdana" w:cs="Arial"/>
                <w:szCs w:val="24"/>
              </w:rPr>
            </w:pPr>
          </w:p>
        </w:tc>
      </w:tr>
      <w:tr w:rsidR="000A2ADC" w:rsidRPr="00AC7380" w:rsidTr="003B1702">
        <w:tc>
          <w:tcPr>
            <w:tcW w:w="3369" w:type="dxa"/>
          </w:tcPr>
          <w:p w:rsidR="00DA575D" w:rsidRDefault="005C71DB" w:rsidP="007344C2">
            <w:pPr>
              <w:spacing w:before="120" w:after="120"/>
              <w:ind w:left="1276" w:right="731" w:hanging="567"/>
              <w:jc w:val="center"/>
              <w:rPr>
                <w:rFonts w:ascii="Verdana" w:hAnsi="Verdana" w:cs="Arial"/>
                <w:sz w:val="24"/>
                <w:szCs w:val="24"/>
              </w:rPr>
            </w:pPr>
            <w:r w:rsidRPr="00AC7380">
              <w:rPr>
                <w:rFonts w:ascii="Verdana" w:hAnsi="Verdana" w:cs="Arial"/>
                <w:noProof/>
                <w:sz w:val="24"/>
                <w:szCs w:val="24"/>
                <w:lang w:eastAsia="en-GB"/>
              </w:rPr>
              <w:drawing>
                <wp:anchor distT="0" distB="0" distL="114300" distR="114300" simplePos="0" relativeHeight="251661312" behindDoc="0" locked="0" layoutInCell="1" allowOverlap="1" wp14:anchorId="4BEE1B01" wp14:editId="088EE130">
                  <wp:simplePos x="0" y="0"/>
                  <wp:positionH relativeFrom="column">
                    <wp:posOffset>145415</wp:posOffset>
                  </wp:positionH>
                  <wp:positionV relativeFrom="paragraph">
                    <wp:posOffset>115781</wp:posOffset>
                  </wp:positionV>
                  <wp:extent cx="1881834" cy="800100"/>
                  <wp:effectExtent l="0" t="0" r="0" b="0"/>
                  <wp:wrapNone/>
                  <wp:docPr id="171" name="Picture 2" descr="Integration - icon + wor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gration - icon + wording"/>
                          <pic:cNvPicPr>
                            <a:picLocks noChangeAspect="1" noChangeArrowheads="1"/>
                          </pic:cNvPicPr>
                        </pic:nvPicPr>
                        <pic:blipFill>
                          <a:blip r:embed="rId22" cstate="print">
                            <a:extLst>
                              <a:ext uri="{28A0092B-C50C-407E-A947-70E740481C1C}">
                                <a14:useLocalDpi xmlns:a14="http://schemas.microsoft.com/office/drawing/2010/main" val="0"/>
                              </a:ext>
                            </a:extLst>
                          </a:blip>
                          <a:srcRect l="16556" t="11258" r="16115" b="9933"/>
                          <a:stretch>
                            <a:fillRect/>
                          </a:stretch>
                        </pic:blipFill>
                        <pic:spPr bwMode="auto">
                          <a:xfrm>
                            <a:off x="0" y="0"/>
                            <a:ext cx="1881834" cy="8001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DA575D" w:rsidRPr="00DA575D" w:rsidRDefault="00DA575D" w:rsidP="00DA575D">
            <w:pPr>
              <w:rPr>
                <w:rFonts w:ascii="Verdana" w:hAnsi="Verdana" w:cs="Arial"/>
                <w:sz w:val="24"/>
                <w:szCs w:val="24"/>
              </w:rPr>
            </w:pPr>
          </w:p>
          <w:p w:rsidR="00DA575D" w:rsidRPr="00DA575D" w:rsidRDefault="00DA575D" w:rsidP="00DA575D">
            <w:pPr>
              <w:rPr>
                <w:rFonts w:ascii="Verdana" w:hAnsi="Verdana" w:cs="Arial"/>
                <w:sz w:val="24"/>
                <w:szCs w:val="24"/>
              </w:rPr>
            </w:pPr>
          </w:p>
          <w:p w:rsidR="00DA575D" w:rsidRDefault="00DA575D" w:rsidP="00DA575D">
            <w:pPr>
              <w:rPr>
                <w:rFonts w:ascii="Verdana" w:hAnsi="Verdana" w:cs="Arial"/>
                <w:sz w:val="24"/>
                <w:szCs w:val="24"/>
              </w:rPr>
            </w:pPr>
          </w:p>
          <w:p w:rsidR="000A2ADC" w:rsidRPr="00DA575D" w:rsidRDefault="000A2ADC" w:rsidP="00DA575D">
            <w:pPr>
              <w:jc w:val="center"/>
              <w:rPr>
                <w:rFonts w:ascii="Verdana" w:hAnsi="Verdana" w:cs="Arial"/>
                <w:sz w:val="24"/>
                <w:szCs w:val="24"/>
              </w:rPr>
            </w:pPr>
          </w:p>
        </w:tc>
        <w:tc>
          <w:tcPr>
            <w:tcW w:w="6554" w:type="dxa"/>
          </w:tcPr>
          <w:p w:rsidR="00AC3B62" w:rsidRPr="00AC7380" w:rsidRDefault="000A2ADC" w:rsidP="005C71DB">
            <w:pPr>
              <w:ind w:right="-106"/>
              <w:rPr>
                <w:rFonts w:ascii="Verdana" w:hAnsi="Verdana" w:cs="Arial"/>
                <w:szCs w:val="24"/>
              </w:rPr>
            </w:pPr>
            <w:r w:rsidRPr="00AC7380">
              <w:rPr>
                <w:rFonts w:ascii="Verdana" w:hAnsi="Verdana" w:cs="Arial"/>
                <w:szCs w:val="24"/>
              </w:rPr>
              <w:t xml:space="preserve">The development of Public Health Wales’ Long Term Strategy and </w:t>
            </w:r>
            <w:r w:rsidR="005C71DB">
              <w:rPr>
                <w:rFonts w:ascii="Verdana" w:hAnsi="Verdana" w:cs="Arial"/>
                <w:szCs w:val="24"/>
              </w:rPr>
              <w:t xml:space="preserve">Integrated Medium Term Plan has been </w:t>
            </w:r>
            <w:r w:rsidRPr="00AC7380">
              <w:rPr>
                <w:rFonts w:ascii="Verdana" w:hAnsi="Verdana" w:cs="Arial"/>
                <w:szCs w:val="24"/>
              </w:rPr>
              <w:t>grounded in collaboration and integration across our workforce. To demonstrate that the organisation is achieving what it set out to achieve over the short, medium and long term, high quality monitoring and reporting of information is essential through the integrated performance report.</w:t>
            </w:r>
            <w:r w:rsidR="005C71DB">
              <w:rPr>
                <w:rFonts w:ascii="Verdana" w:hAnsi="Verdana" w:cs="Arial"/>
                <w:szCs w:val="24"/>
              </w:rPr>
              <w:t xml:space="preserve"> This approach has been reflected in the approach to the pandemic response.</w:t>
            </w:r>
          </w:p>
          <w:p w:rsidR="000A2ADC" w:rsidRPr="00AC7380" w:rsidRDefault="000A2ADC" w:rsidP="005C71DB">
            <w:pPr>
              <w:ind w:right="731" w:hanging="567"/>
              <w:rPr>
                <w:rFonts w:ascii="Verdana" w:hAnsi="Verdana" w:cs="Arial"/>
                <w:i/>
                <w:sz w:val="24"/>
                <w:szCs w:val="24"/>
              </w:rPr>
            </w:pPr>
            <w:r w:rsidRPr="00AC7380">
              <w:rPr>
                <w:rFonts w:ascii="Verdana" w:hAnsi="Verdana" w:cs="Arial"/>
                <w:i/>
                <w:color w:val="FF0000"/>
                <w:sz w:val="24"/>
                <w:szCs w:val="24"/>
              </w:rPr>
              <w:t xml:space="preserve"> </w:t>
            </w:r>
          </w:p>
        </w:tc>
      </w:tr>
      <w:tr w:rsidR="000A2ADC" w:rsidRPr="00AC7380" w:rsidTr="003B1702">
        <w:tc>
          <w:tcPr>
            <w:tcW w:w="3369" w:type="dxa"/>
          </w:tcPr>
          <w:p w:rsidR="000A2ADC" w:rsidRPr="00AC7380" w:rsidRDefault="005C71DB" w:rsidP="007344C2">
            <w:pPr>
              <w:spacing w:before="120" w:after="120"/>
              <w:ind w:left="1276" w:right="731" w:hanging="567"/>
              <w:jc w:val="center"/>
              <w:rPr>
                <w:rFonts w:ascii="Verdana" w:hAnsi="Verdana" w:cs="Arial"/>
                <w:sz w:val="24"/>
                <w:szCs w:val="24"/>
              </w:rPr>
            </w:pPr>
            <w:r w:rsidRPr="00AC7380">
              <w:rPr>
                <w:rFonts w:ascii="Verdana" w:hAnsi="Verdana" w:cs="Arial"/>
                <w:noProof/>
                <w:sz w:val="24"/>
                <w:szCs w:val="24"/>
                <w:lang w:eastAsia="en-GB"/>
              </w:rPr>
              <w:drawing>
                <wp:anchor distT="0" distB="0" distL="114300" distR="114300" simplePos="0" relativeHeight="251662336" behindDoc="0" locked="0" layoutInCell="1" allowOverlap="1" wp14:anchorId="6C61B086" wp14:editId="7ABDE675">
                  <wp:simplePos x="0" y="0"/>
                  <wp:positionH relativeFrom="column">
                    <wp:posOffset>277706</wp:posOffset>
                  </wp:positionH>
                  <wp:positionV relativeFrom="paragraph">
                    <wp:posOffset>85725</wp:posOffset>
                  </wp:positionV>
                  <wp:extent cx="1704665" cy="704850"/>
                  <wp:effectExtent l="0" t="0" r="0" b="0"/>
                  <wp:wrapNone/>
                  <wp:docPr id="172" name="Picture 6" descr="Collaboration - icon + wor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llaboration - icon + wording"/>
                          <pic:cNvPicPr>
                            <a:picLocks noChangeAspect="1" noChangeArrowheads="1"/>
                          </pic:cNvPicPr>
                        </pic:nvPicPr>
                        <pic:blipFill>
                          <a:blip r:embed="rId23" cstate="print">
                            <a:extLst>
                              <a:ext uri="{28A0092B-C50C-407E-A947-70E740481C1C}">
                                <a14:useLocalDpi xmlns:a14="http://schemas.microsoft.com/office/drawing/2010/main" val="0"/>
                              </a:ext>
                            </a:extLst>
                          </a:blip>
                          <a:srcRect l="17661" t="10596" r="13687" b="11258"/>
                          <a:stretch>
                            <a:fillRect/>
                          </a:stretch>
                        </pic:blipFill>
                        <pic:spPr bwMode="auto">
                          <a:xfrm>
                            <a:off x="0" y="0"/>
                            <a:ext cx="1704665" cy="7048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c>
          <w:tcPr>
            <w:tcW w:w="6554" w:type="dxa"/>
            <w:shd w:val="clear" w:color="auto" w:fill="auto"/>
          </w:tcPr>
          <w:p w:rsidR="000A2ADC" w:rsidRPr="00AC7380" w:rsidRDefault="000A2ADC" w:rsidP="005C71DB">
            <w:pPr>
              <w:ind w:right="-106"/>
              <w:rPr>
                <w:rFonts w:ascii="Verdana" w:hAnsi="Verdana" w:cs="Arial"/>
                <w:szCs w:val="24"/>
              </w:rPr>
            </w:pPr>
            <w:r w:rsidRPr="00AC7380">
              <w:rPr>
                <w:rFonts w:ascii="Verdana" w:hAnsi="Verdana" w:cs="Arial"/>
                <w:szCs w:val="24"/>
              </w:rPr>
              <w:t xml:space="preserve">Reporting of data and information through the integrated performance report requires collaboration across the organisation to ensure timely delivery of key service, quality, workforce and financial data. The potential for the development of business intelligence tools will require close working relationships with Directorates and especially Informatics to maximise potential. </w:t>
            </w:r>
          </w:p>
          <w:p w:rsidR="000A2ADC" w:rsidRPr="00AC7380" w:rsidRDefault="000A2ADC" w:rsidP="005C71DB">
            <w:pPr>
              <w:ind w:right="731" w:hanging="567"/>
              <w:rPr>
                <w:rFonts w:ascii="Verdana" w:hAnsi="Verdana" w:cs="Arial"/>
                <w:i/>
                <w:sz w:val="24"/>
                <w:szCs w:val="24"/>
              </w:rPr>
            </w:pPr>
            <w:r w:rsidRPr="00AC7380">
              <w:rPr>
                <w:rFonts w:ascii="Verdana" w:hAnsi="Verdana" w:cs="Arial"/>
                <w:i/>
                <w:color w:val="FF0000"/>
                <w:sz w:val="24"/>
                <w:szCs w:val="24"/>
              </w:rPr>
              <w:t xml:space="preserve"> </w:t>
            </w:r>
          </w:p>
        </w:tc>
      </w:tr>
      <w:tr w:rsidR="000A2ADC" w:rsidRPr="00AC7380" w:rsidTr="003B1702">
        <w:tc>
          <w:tcPr>
            <w:tcW w:w="3369" w:type="dxa"/>
          </w:tcPr>
          <w:p w:rsidR="000A2ADC" w:rsidRPr="00AC7380" w:rsidRDefault="000A2ADC" w:rsidP="007344C2">
            <w:pPr>
              <w:spacing w:before="120" w:after="120"/>
              <w:ind w:left="1276" w:right="731" w:hanging="567"/>
              <w:jc w:val="center"/>
              <w:rPr>
                <w:rFonts w:ascii="Verdana" w:hAnsi="Verdana" w:cs="Arial"/>
                <w:sz w:val="24"/>
                <w:szCs w:val="24"/>
              </w:rPr>
            </w:pPr>
            <w:r w:rsidRPr="00AC7380">
              <w:rPr>
                <w:rFonts w:ascii="Verdana" w:hAnsi="Verdana" w:cs="Arial"/>
                <w:noProof/>
                <w:sz w:val="24"/>
                <w:szCs w:val="24"/>
                <w:lang w:eastAsia="en-GB"/>
              </w:rPr>
              <w:drawing>
                <wp:anchor distT="0" distB="0" distL="114300" distR="114300" simplePos="0" relativeHeight="251663360" behindDoc="0" locked="0" layoutInCell="1" allowOverlap="1" wp14:anchorId="623F185A" wp14:editId="29962CA8">
                  <wp:simplePos x="0" y="0"/>
                  <wp:positionH relativeFrom="column">
                    <wp:posOffset>325120</wp:posOffset>
                  </wp:positionH>
                  <wp:positionV relativeFrom="paragraph">
                    <wp:posOffset>78740</wp:posOffset>
                  </wp:positionV>
                  <wp:extent cx="1747209" cy="733193"/>
                  <wp:effectExtent l="0" t="0" r="5715" b="0"/>
                  <wp:wrapNone/>
                  <wp:docPr id="173" name="Picture 3" descr="Involvement - icon + wor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volvement - icon + wording"/>
                          <pic:cNvPicPr>
                            <a:picLocks noChangeAspect="1" noChangeArrowheads="1"/>
                          </pic:cNvPicPr>
                        </pic:nvPicPr>
                        <pic:blipFill>
                          <a:blip r:embed="rId24" cstate="print">
                            <a:extLst>
                              <a:ext uri="{28A0092B-C50C-407E-A947-70E740481C1C}">
                                <a14:useLocalDpi xmlns:a14="http://schemas.microsoft.com/office/drawing/2010/main" val="0"/>
                              </a:ext>
                            </a:extLst>
                          </a:blip>
                          <a:srcRect l="19205" t="11920" r="15453" b="12582"/>
                          <a:stretch>
                            <a:fillRect/>
                          </a:stretch>
                        </pic:blipFill>
                        <pic:spPr bwMode="auto">
                          <a:xfrm>
                            <a:off x="0" y="0"/>
                            <a:ext cx="1747209" cy="733193"/>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c>
          <w:tcPr>
            <w:tcW w:w="6554" w:type="dxa"/>
          </w:tcPr>
          <w:p w:rsidR="000A2ADC" w:rsidRDefault="000A2ADC" w:rsidP="005C71DB">
            <w:pPr>
              <w:rPr>
                <w:rFonts w:ascii="Verdana" w:hAnsi="Verdana" w:cs="Arial"/>
                <w:szCs w:val="24"/>
              </w:rPr>
            </w:pPr>
            <w:r w:rsidRPr="00AC7380">
              <w:rPr>
                <w:rFonts w:ascii="Verdana" w:hAnsi="Verdana" w:cs="Arial"/>
                <w:szCs w:val="24"/>
              </w:rPr>
              <w:t xml:space="preserve">To ensure compliance with the Welsh Audit Office Structured Assessment, agreeing and reporting Division / Directorate level performance measures will require involvement across the full breadth of the organisation. Monitoring and reporting against the strategic plan will involve working closely with staff to ensure accurate and timely intelligence for the Executive Team and Board. </w:t>
            </w:r>
          </w:p>
          <w:p w:rsidR="00DC72A8" w:rsidRPr="00AC7380" w:rsidRDefault="00DC72A8" w:rsidP="005C71DB">
            <w:pPr>
              <w:rPr>
                <w:rFonts w:ascii="Verdana" w:hAnsi="Verdana" w:cs="Arial"/>
                <w:szCs w:val="24"/>
              </w:rPr>
            </w:pPr>
          </w:p>
        </w:tc>
      </w:tr>
    </w:tbl>
    <w:p w:rsidR="000A2ADC" w:rsidRPr="00AC7380" w:rsidRDefault="000A2ADC" w:rsidP="000A2ADC">
      <w:pPr>
        <w:keepNext/>
        <w:keepLines/>
        <w:numPr>
          <w:ilvl w:val="0"/>
          <w:numId w:val="1"/>
        </w:numPr>
        <w:spacing w:before="480" w:after="0" w:line="240" w:lineRule="auto"/>
        <w:ind w:left="1276" w:right="731" w:hanging="567"/>
        <w:outlineLvl w:val="0"/>
        <w:rPr>
          <w:rFonts w:ascii="Verdana" w:eastAsiaTheme="majorEastAsia" w:hAnsi="Verdana" w:cstheme="majorBidi"/>
          <w:b/>
          <w:bCs/>
          <w:sz w:val="24"/>
          <w:szCs w:val="24"/>
        </w:rPr>
      </w:pPr>
      <w:r w:rsidRPr="00AC7380">
        <w:rPr>
          <w:rFonts w:ascii="Verdana" w:eastAsiaTheme="majorEastAsia" w:hAnsi="Verdana" w:cstheme="majorBidi"/>
          <w:b/>
          <w:bCs/>
          <w:sz w:val="24"/>
          <w:szCs w:val="24"/>
        </w:rPr>
        <w:t>Recommendation</w:t>
      </w:r>
    </w:p>
    <w:p w:rsidR="000A2ADC" w:rsidRPr="00AC7380" w:rsidRDefault="000A2ADC" w:rsidP="000A2ADC">
      <w:pPr>
        <w:spacing w:after="0" w:line="240" w:lineRule="auto"/>
        <w:ind w:left="1276" w:right="731" w:hanging="567"/>
        <w:rPr>
          <w:rFonts w:ascii="Verdana" w:hAnsi="Verdana"/>
          <w:sz w:val="24"/>
          <w:szCs w:val="24"/>
        </w:rPr>
      </w:pPr>
    </w:p>
    <w:p w:rsidR="000A2ADC" w:rsidRPr="00AC7380" w:rsidRDefault="000A2ADC" w:rsidP="000A2ADC">
      <w:pPr>
        <w:spacing w:after="0" w:line="240" w:lineRule="auto"/>
        <w:ind w:left="1276" w:right="731" w:hanging="567"/>
        <w:rPr>
          <w:rFonts w:ascii="Verdana" w:hAnsi="Verdana"/>
          <w:sz w:val="24"/>
          <w:szCs w:val="24"/>
        </w:rPr>
      </w:pPr>
      <w:r w:rsidRPr="00AC7380">
        <w:rPr>
          <w:rFonts w:ascii="Verdana" w:hAnsi="Verdana"/>
          <w:sz w:val="24"/>
          <w:szCs w:val="24"/>
        </w:rPr>
        <w:t xml:space="preserve">The Public Health Wales Board is asked to: </w:t>
      </w:r>
    </w:p>
    <w:p w:rsidR="000A2ADC" w:rsidRPr="00AC7380" w:rsidRDefault="000A2ADC" w:rsidP="000A2ADC">
      <w:pPr>
        <w:spacing w:after="0" w:line="240" w:lineRule="auto"/>
        <w:ind w:left="1276" w:right="731" w:hanging="567"/>
        <w:rPr>
          <w:rFonts w:ascii="Verdana" w:hAnsi="Verdana"/>
          <w:sz w:val="24"/>
          <w:szCs w:val="24"/>
        </w:rPr>
      </w:pPr>
    </w:p>
    <w:p w:rsidR="00D835C7" w:rsidRPr="00E25CF9" w:rsidRDefault="000A2ADC" w:rsidP="00E25CF9">
      <w:pPr>
        <w:numPr>
          <w:ilvl w:val="0"/>
          <w:numId w:val="2"/>
        </w:numPr>
        <w:spacing w:after="0" w:line="240" w:lineRule="auto"/>
        <w:ind w:left="1276" w:right="731" w:hanging="567"/>
        <w:rPr>
          <w:rFonts w:ascii="Verdana" w:hAnsi="Verdana"/>
          <w:sz w:val="24"/>
          <w:szCs w:val="24"/>
        </w:rPr>
      </w:pPr>
      <w:r w:rsidRPr="00AC7380">
        <w:rPr>
          <w:rFonts w:ascii="Verdana" w:hAnsi="Verdana"/>
          <w:b/>
          <w:sz w:val="24"/>
          <w:szCs w:val="24"/>
        </w:rPr>
        <w:t xml:space="preserve">Discuss </w:t>
      </w:r>
      <w:r w:rsidRPr="00AC7380">
        <w:rPr>
          <w:rFonts w:ascii="Verdana" w:hAnsi="Verdana"/>
          <w:sz w:val="24"/>
          <w:szCs w:val="24"/>
        </w:rPr>
        <w:t>and scrutinise the paper and provide feedback and comments</w:t>
      </w:r>
      <w:r w:rsidR="00E25CF9">
        <w:rPr>
          <w:rFonts w:ascii="Verdana" w:hAnsi="Verdana"/>
          <w:sz w:val="24"/>
          <w:szCs w:val="24"/>
        </w:rPr>
        <w:t>.</w:t>
      </w:r>
    </w:p>
    <w:sectPr w:rsidR="00D835C7" w:rsidRPr="00E25CF9" w:rsidSect="00402FE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753D" w:rsidRDefault="002E753D" w:rsidP="00883874">
      <w:pPr>
        <w:spacing w:after="0" w:line="240" w:lineRule="auto"/>
      </w:pPr>
      <w:r>
        <w:separator/>
      </w:r>
    </w:p>
  </w:endnote>
  <w:endnote w:type="continuationSeparator" w:id="0">
    <w:p w:rsidR="002E753D" w:rsidRDefault="002E753D" w:rsidP="00883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4"/>
      <w:gridCol w:w="3010"/>
      <w:gridCol w:w="3002"/>
    </w:tblGrid>
    <w:tr w:rsidR="008E6BAB" w:rsidRPr="00511AFF" w:rsidTr="008F2049">
      <w:tc>
        <w:tcPr>
          <w:tcW w:w="3100" w:type="dxa"/>
        </w:tcPr>
        <w:p w:rsidR="008E6BAB" w:rsidRPr="00511AFF" w:rsidRDefault="000F437D" w:rsidP="00FB60D9">
          <w:pPr>
            <w:pStyle w:val="Footer"/>
            <w:tabs>
              <w:tab w:val="right" w:pos="9090"/>
            </w:tabs>
            <w:jc w:val="center"/>
            <w:rPr>
              <w:b/>
              <w:sz w:val="20"/>
            </w:rPr>
          </w:pPr>
          <w:r w:rsidRPr="00511AFF">
            <w:rPr>
              <w:b/>
              <w:sz w:val="20"/>
            </w:rPr>
            <w:t xml:space="preserve">Date: </w:t>
          </w:r>
          <w:r w:rsidR="00FB60D9">
            <w:rPr>
              <w:sz w:val="20"/>
            </w:rPr>
            <w:t xml:space="preserve"> 30</w:t>
          </w:r>
          <w:r w:rsidR="003B1702">
            <w:rPr>
              <w:sz w:val="20"/>
            </w:rPr>
            <w:t xml:space="preserve"> </w:t>
          </w:r>
          <w:r w:rsidR="00FB60D9">
            <w:rPr>
              <w:sz w:val="20"/>
            </w:rPr>
            <w:t>March</w:t>
          </w:r>
          <w:r w:rsidR="00DA575D">
            <w:rPr>
              <w:sz w:val="20"/>
            </w:rPr>
            <w:t xml:space="preserve"> </w:t>
          </w:r>
          <w:r w:rsidR="00F9166C">
            <w:rPr>
              <w:sz w:val="20"/>
            </w:rPr>
            <w:t>20</w:t>
          </w:r>
          <w:r w:rsidR="00DC01C5">
            <w:rPr>
              <w:sz w:val="20"/>
            </w:rPr>
            <w:t>23</w:t>
          </w:r>
        </w:p>
      </w:tc>
      <w:tc>
        <w:tcPr>
          <w:tcW w:w="3100" w:type="dxa"/>
        </w:tcPr>
        <w:p w:rsidR="008E6BAB" w:rsidRPr="00511AFF" w:rsidRDefault="000F437D" w:rsidP="008F2049">
          <w:pPr>
            <w:pStyle w:val="Footer"/>
            <w:tabs>
              <w:tab w:val="center" w:pos="1433"/>
              <w:tab w:val="right" w:pos="2866"/>
              <w:tab w:val="right" w:pos="9090"/>
            </w:tabs>
            <w:jc w:val="center"/>
            <w:rPr>
              <w:b/>
              <w:sz w:val="20"/>
            </w:rPr>
          </w:pPr>
          <w:r w:rsidRPr="00511AFF">
            <w:rPr>
              <w:b/>
              <w:sz w:val="20"/>
            </w:rPr>
            <w:t>Version:</w:t>
          </w:r>
          <w:r w:rsidR="00DA575D">
            <w:rPr>
              <w:sz w:val="20"/>
            </w:rPr>
            <w:t xml:space="preserve"> 1a</w:t>
          </w:r>
        </w:p>
      </w:tc>
      <w:tc>
        <w:tcPr>
          <w:tcW w:w="3101" w:type="dxa"/>
        </w:tcPr>
        <w:p w:rsidR="008E6BAB" w:rsidRPr="00511AFF" w:rsidRDefault="000F437D" w:rsidP="008F2049">
          <w:pPr>
            <w:pStyle w:val="Footer"/>
            <w:tabs>
              <w:tab w:val="clear" w:pos="4513"/>
              <w:tab w:val="center" w:pos="4500"/>
              <w:tab w:val="right" w:pos="9090"/>
            </w:tabs>
            <w:jc w:val="center"/>
            <w:rPr>
              <w:b/>
              <w:sz w:val="20"/>
            </w:rPr>
          </w:pPr>
          <w:r w:rsidRPr="00511AFF">
            <w:rPr>
              <w:b/>
              <w:sz w:val="20"/>
            </w:rPr>
            <w:t xml:space="preserve">Page: </w:t>
          </w:r>
          <w:r w:rsidRPr="00511AFF">
            <w:rPr>
              <w:rStyle w:val="PageNumber"/>
              <w:sz w:val="20"/>
            </w:rPr>
            <w:fldChar w:fldCharType="begin"/>
          </w:r>
          <w:r w:rsidRPr="00511AFF">
            <w:rPr>
              <w:rStyle w:val="PageNumber"/>
              <w:sz w:val="20"/>
            </w:rPr>
            <w:instrText xml:space="preserve"> PAGE </w:instrText>
          </w:r>
          <w:r w:rsidRPr="00511AFF">
            <w:rPr>
              <w:rStyle w:val="PageNumber"/>
              <w:sz w:val="20"/>
            </w:rPr>
            <w:fldChar w:fldCharType="separate"/>
          </w:r>
          <w:r w:rsidR="00942578">
            <w:rPr>
              <w:rStyle w:val="PageNumber"/>
              <w:noProof/>
              <w:sz w:val="20"/>
            </w:rPr>
            <w:t>5</w:t>
          </w:r>
          <w:r w:rsidRPr="00511AFF">
            <w:rPr>
              <w:rStyle w:val="PageNumber"/>
              <w:sz w:val="20"/>
            </w:rPr>
            <w:fldChar w:fldCharType="end"/>
          </w:r>
          <w:r w:rsidRPr="00511AFF">
            <w:rPr>
              <w:rStyle w:val="PageNumber"/>
              <w:sz w:val="20"/>
            </w:rPr>
            <w:t xml:space="preserve"> of </w:t>
          </w:r>
          <w:r w:rsidRPr="00511AFF">
            <w:rPr>
              <w:rStyle w:val="PageNumber"/>
              <w:sz w:val="20"/>
            </w:rPr>
            <w:fldChar w:fldCharType="begin"/>
          </w:r>
          <w:r w:rsidRPr="00511AFF">
            <w:rPr>
              <w:rStyle w:val="PageNumber"/>
              <w:sz w:val="20"/>
            </w:rPr>
            <w:instrText xml:space="preserve"> NUMPAGES </w:instrText>
          </w:r>
          <w:r w:rsidRPr="00511AFF">
            <w:rPr>
              <w:rStyle w:val="PageNumber"/>
              <w:sz w:val="20"/>
            </w:rPr>
            <w:fldChar w:fldCharType="separate"/>
          </w:r>
          <w:r w:rsidR="00942578">
            <w:rPr>
              <w:rStyle w:val="PageNumber"/>
              <w:noProof/>
              <w:sz w:val="20"/>
            </w:rPr>
            <w:t>6</w:t>
          </w:r>
          <w:r w:rsidRPr="00511AFF">
            <w:rPr>
              <w:rStyle w:val="PageNumber"/>
              <w:sz w:val="20"/>
            </w:rPr>
            <w:fldChar w:fldCharType="end"/>
          </w:r>
        </w:p>
      </w:tc>
    </w:tr>
  </w:tbl>
  <w:p w:rsidR="008E6BAB" w:rsidRPr="00FA7943" w:rsidRDefault="00942578">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53D" w:rsidRDefault="002E753D" w:rsidP="00883874">
      <w:pPr>
        <w:spacing w:after="0" w:line="240" w:lineRule="auto"/>
      </w:pPr>
      <w:r>
        <w:separator/>
      </w:r>
    </w:p>
  </w:footnote>
  <w:footnote w:type="continuationSeparator" w:id="0">
    <w:p w:rsidR="002E753D" w:rsidRDefault="002E753D" w:rsidP="008838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111C5"/>
    <w:multiLevelType w:val="hybridMultilevel"/>
    <w:tmpl w:val="B51C9322"/>
    <w:lvl w:ilvl="0" w:tplc="143214A6">
      <w:numFmt w:val="bullet"/>
      <w:lvlText w:val=""/>
      <w:lvlJc w:val="left"/>
      <w:pPr>
        <w:ind w:left="928" w:hanging="361"/>
      </w:pPr>
      <w:rPr>
        <w:rFonts w:ascii="Symbol" w:eastAsia="Symbol" w:hAnsi="Symbol" w:cs="Symbol" w:hint="default"/>
        <w:w w:val="100"/>
        <w:sz w:val="22"/>
        <w:szCs w:val="22"/>
        <w:lang w:val="en-US" w:eastAsia="en-US" w:bidi="ar-SA"/>
      </w:rPr>
    </w:lvl>
    <w:lvl w:ilvl="1" w:tplc="AD3093BE">
      <w:numFmt w:val="bullet"/>
      <w:lvlText w:val="•"/>
      <w:lvlJc w:val="left"/>
      <w:pPr>
        <w:ind w:left="2220" w:hanging="361"/>
      </w:pPr>
      <w:rPr>
        <w:rFonts w:hint="default"/>
        <w:lang w:val="en-US" w:eastAsia="en-US" w:bidi="ar-SA"/>
      </w:rPr>
    </w:lvl>
    <w:lvl w:ilvl="2" w:tplc="6A1C1082">
      <w:numFmt w:val="bullet"/>
      <w:lvlText w:val="•"/>
      <w:lvlJc w:val="left"/>
      <w:pPr>
        <w:ind w:left="3514" w:hanging="361"/>
      </w:pPr>
      <w:rPr>
        <w:rFonts w:hint="default"/>
        <w:lang w:val="en-US" w:eastAsia="en-US" w:bidi="ar-SA"/>
      </w:rPr>
    </w:lvl>
    <w:lvl w:ilvl="3" w:tplc="D21C0A76">
      <w:numFmt w:val="bullet"/>
      <w:lvlText w:val="•"/>
      <w:lvlJc w:val="left"/>
      <w:pPr>
        <w:ind w:left="4807" w:hanging="361"/>
      </w:pPr>
      <w:rPr>
        <w:rFonts w:hint="default"/>
        <w:lang w:val="en-US" w:eastAsia="en-US" w:bidi="ar-SA"/>
      </w:rPr>
    </w:lvl>
    <w:lvl w:ilvl="4" w:tplc="A0DA5740">
      <w:numFmt w:val="bullet"/>
      <w:lvlText w:val="•"/>
      <w:lvlJc w:val="left"/>
      <w:pPr>
        <w:ind w:left="6101" w:hanging="361"/>
      </w:pPr>
      <w:rPr>
        <w:rFonts w:hint="default"/>
        <w:lang w:val="en-US" w:eastAsia="en-US" w:bidi="ar-SA"/>
      </w:rPr>
    </w:lvl>
    <w:lvl w:ilvl="5" w:tplc="9E92BFB2">
      <w:numFmt w:val="bullet"/>
      <w:lvlText w:val="•"/>
      <w:lvlJc w:val="left"/>
      <w:pPr>
        <w:ind w:left="7395" w:hanging="361"/>
      </w:pPr>
      <w:rPr>
        <w:rFonts w:hint="default"/>
        <w:lang w:val="en-US" w:eastAsia="en-US" w:bidi="ar-SA"/>
      </w:rPr>
    </w:lvl>
    <w:lvl w:ilvl="6" w:tplc="C8CCE60C">
      <w:numFmt w:val="bullet"/>
      <w:lvlText w:val="•"/>
      <w:lvlJc w:val="left"/>
      <w:pPr>
        <w:ind w:left="8688" w:hanging="361"/>
      </w:pPr>
      <w:rPr>
        <w:rFonts w:hint="default"/>
        <w:lang w:val="en-US" w:eastAsia="en-US" w:bidi="ar-SA"/>
      </w:rPr>
    </w:lvl>
    <w:lvl w:ilvl="7" w:tplc="F59C0CC4">
      <w:numFmt w:val="bullet"/>
      <w:lvlText w:val="•"/>
      <w:lvlJc w:val="left"/>
      <w:pPr>
        <w:ind w:left="9982" w:hanging="361"/>
      </w:pPr>
      <w:rPr>
        <w:rFonts w:hint="default"/>
        <w:lang w:val="en-US" w:eastAsia="en-US" w:bidi="ar-SA"/>
      </w:rPr>
    </w:lvl>
    <w:lvl w:ilvl="8" w:tplc="3F8C664A">
      <w:numFmt w:val="bullet"/>
      <w:lvlText w:val="•"/>
      <w:lvlJc w:val="left"/>
      <w:pPr>
        <w:ind w:left="11275" w:hanging="361"/>
      </w:pPr>
      <w:rPr>
        <w:rFonts w:hint="default"/>
        <w:lang w:val="en-US" w:eastAsia="en-US" w:bidi="ar-SA"/>
      </w:rPr>
    </w:lvl>
  </w:abstractNum>
  <w:abstractNum w:abstractNumId="1" w15:restartNumberingAfterBreak="0">
    <w:nsid w:val="150176E6"/>
    <w:multiLevelType w:val="hybridMultilevel"/>
    <w:tmpl w:val="F880E5F2"/>
    <w:lvl w:ilvl="0" w:tplc="3388329C">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6709F2"/>
    <w:multiLevelType w:val="hybridMultilevel"/>
    <w:tmpl w:val="2DC2DA8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8966823"/>
    <w:multiLevelType w:val="hybridMultilevel"/>
    <w:tmpl w:val="0862D0AA"/>
    <w:lvl w:ilvl="0" w:tplc="5C022A00">
      <w:numFmt w:val="bullet"/>
      <w:lvlText w:val=""/>
      <w:lvlJc w:val="left"/>
      <w:pPr>
        <w:ind w:left="920" w:hanging="360"/>
      </w:pPr>
      <w:rPr>
        <w:rFonts w:ascii="Symbol" w:eastAsia="Symbol" w:hAnsi="Symbol" w:cs="Symbol" w:hint="default"/>
        <w:w w:val="99"/>
        <w:sz w:val="20"/>
        <w:szCs w:val="20"/>
        <w:lang w:val="en-US" w:eastAsia="en-US" w:bidi="ar-SA"/>
      </w:rPr>
    </w:lvl>
    <w:lvl w:ilvl="1" w:tplc="5C022A00">
      <w:numFmt w:val="bullet"/>
      <w:lvlText w:val=""/>
      <w:lvlJc w:val="left"/>
      <w:pPr>
        <w:ind w:left="1640" w:hanging="360"/>
      </w:pPr>
      <w:rPr>
        <w:rFonts w:ascii="Symbol" w:eastAsia="Symbol" w:hAnsi="Symbol" w:cs="Symbol" w:hint="default"/>
        <w:w w:val="99"/>
        <w:sz w:val="20"/>
        <w:szCs w:val="20"/>
        <w:lang w:val="en-US" w:eastAsia="en-US" w:bidi="ar-SA"/>
      </w:rPr>
    </w:lvl>
    <w:lvl w:ilvl="2" w:tplc="08090005">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4" w15:restartNumberingAfterBreak="0">
    <w:nsid w:val="1DBD017E"/>
    <w:multiLevelType w:val="hybridMultilevel"/>
    <w:tmpl w:val="F7FC38B6"/>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36A5C06"/>
    <w:multiLevelType w:val="hybridMultilevel"/>
    <w:tmpl w:val="2070E65C"/>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6" w15:restartNumberingAfterBreak="0">
    <w:nsid w:val="24423D2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215917"/>
    <w:multiLevelType w:val="hybridMultilevel"/>
    <w:tmpl w:val="3B7ED72A"/>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 w15:restartNumberingAfterBreak="0">
    <w:nsid w:val="32C57AB9"/>
    <w:multiLevelType w:val="hybridMultilevel"/>
    <w:tmpl w:val="C602C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BF6030"/>
    <w:multiLevelType w:val="hybridMultilevel"/>
    <w:tmpl w:val="1CD68E04"/>
    <w:lvl w:ilvl="0" w:tplc="95321616">
      <w:numFmt w:val="bullet"/>
      <w:lvlText w:val=""/>
      <w:lvlJc w:val="left"/>
      <w:pPr>
        <w:ind w:left="521" w:hanging="361"/>
      </w:pPr>
      <w:rPr>
        <w:rFonts w:ascii="Symbol" w:eastAsia="Symbol" w:hAnsi="Symbol" w:cs="Symbol" w:hint="default"/>
        <w:w w:val="100"/>
        <w:sz w:val="22"/>
        <w:szCs w:val="22"/>
        <w:lang w:val="en-US" w:eastAsia="en-US" w:bidi="ar-SA"/>
      </w:rPr>
    </w:lvl>
    <w:lvl w:ilvl="1" w:tplc="97344FD0">
      <w:numFmt w:val="bullet"/>
      <w:lvlText w:val="•"/>
      <w:lvlJc w:val="left"/>
      <w:pPr>
        <w:ind w:left="1813" w:hanging="361"/>
      </w:pPr>
      <w:rPr>
        <w:rFonts w:hint="default"/>
        <w:lang w:val="en-US" w:eastAsia="en-US" w:bidi="ar-SA"/>
      </w:rPr>
    </w:lvl>
    <w:lvl w:ilvl="2" w:tplc="6BFC0062">
      <w:numFmt w:val="bullet"/>
      <w:lvlText w:val="•"/>
      <w:lvlJc w:val="left"/>
      <w:pPr>
        <w:ind w:left="3107" w:hanging="361"/>
      </w:pPr>
      <w:rPr>
        <w:rFonts w:hint="default"/>
        <w:lang w:val="en-US" w:eastAsia="en-US" w:bidi="ar-SA"/>
      </w:rPr>
    </w:lvl>
    <w:lvl w:ilvl="3" w:tplc="1722D69C">
      <w:numFmt w:val="bullet"/>
      <w:lvlText w:val="•"/>
      <w:lvlJc w:val="left"/>
      <w:pPr>
        <w:ind w:left="4400" w:hanging="361"/>
      </w:pPr>
      <w:rPr>
        <w:rFonts w:hint="default"/>
        <w:lang w:val="en-US" w:eastAsia="en-US" w:bidi="ar-SA"/>
      </w:rPr>
    </w:lvl>
    <w:lvl w:ilvl="4" w:tplc="BC4E9902">
      <w:numFmt w:val="bullet"/>
      <w:lvlText w:val="•"/>
      <w:lvlJc w:val="left"/>
      <w:pPr>
        <w:ind w:left="5694" w:hanging="361"/>
      </w:pPr>
      <w:rPr>
        <w:rFonts w:hint="default"/>
        <w:lang w:val="en-US" w:eastAsia="en-US" w:bidi="ar-SA"/>
      </w:rPr>
    </w:lvl>
    <w:lvl w:ilvl="5" w:tplc="5F4C4F8A">
      <w:numFmt w:val="bullet"/>
      <w:lvlText w:val="•"/>
      <w:lvlJc w:val="left"/>
      <w:pPr>
        <w:ind w:left="6988" w:hanging="361"/>
      </w:pPr>
      <w:rPr>
        <w:rFonts w:hint="default"/>
        <w:lang w:val="en-US" w:eastAsia="en-US" w:bidi="ar-SA"/>
      </w:rPr>
    </w:lvl>
    <w:lvl w:ilvl="6" w:tplc="DF48831A">
      <w:numFmt w:val="bullet"/>
      <w:lvlText w:val="•"/>
      <w:lvlJc w:val="left"/>
      <w:pPr>
        <w:ind w:left="8281" w:hanging="361"/>
      </w:pPr>
      <w:rPr>
        <w:rFonts w:hint="default"/>
        <w:lang w:val="en-US" w:eastAsia="en-US" w:bidi="ar-SA"/>
      </w:rPr>
    </w:lvl>
    <w:lvl w:ilvl="7" w:tplc="11241890">
      <w:numFmt w:val="bullet"/>
      <w:lvlText w:val="•"/>
      <w:lvlJc w:val="left"/>
      <w:pPr>
        <w:ind w:left="9575" w:hanging="361"/>
      </w:pPr>
      <w:rPr>
        <w:rFonts w:hint="default"/>
        <w:lang w:val="en-US" w:eastAsia="en-US" w:bidi="ar-SA"/>
      </w:rPr>
    </w:lvl>
    <w:lvl w:ilvl="8" w:tplc="B85C4B3E">
      <w:numFmt w:val="bullet"/>
      <w:lvlText w:val="•"/>
      <w:lvlJc w:val="left"/>
      <w:pPr>
        <w:ind w:left="10868" w:hanging="361"/>
      </w:pPr>
      <w:rPr>
        <w:rFonts w:hint="default"/>
        <w:lang w:val="en-US" w:eastAsia="en-US" w:bidi="ar-SA"/>
      </w:rPr>
    </w:lvl>
  </w:abstractNum>
  <w:abstractNum w:abstractNumId="10" w15:restartNumberingAfterBreak="0">
    <w:nsid w:val="3D01041F"/>
    <w:multiLevelType w:val="hybridMultilevel"/>
    <w:tmpl w:val="8060436E"/>
    <w:lvl w:ilvl="0" w:tplc="CC6858E2">
      <w:numFmt w:val="bullet"/>
      <w:lvlText w:val="•"/>
      <w:lvlJc w:val="left"/>
      <w:pPr>
        <w:ind w:left="720" w:hanging="360"/>
      </w:pPr>
      <w:rPr>
        <w:rFonts w:ascii="Calibri" w:hAnsi="Calibri" w:cs="Calibri" w:hint="default"/>
        <w:color w:val="auto"/>
        <w:w w:val="100"/>
        <w:sz w:val="24"/>
        <w:szCs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FB969CB"/>
    <w:multiLevelType w:val="hybridMultilevel"/>
    <w:tmpl w:val="A8569BB4"/>
    <w:lvl w:ilvl="0" w:tplc="CC6858E2">
      <w:numFmt w:val="bullet"/>
      <w:lvlText w:val="•"/>
      <w:lvlJc w:val="left"/>
      <w:pPr>
        <w:ind w:left="360" w:hanging="360"/>
      </w:pPr>
      <w:rPr>
        <w:rFonts w:ascii="Calibri" w:hAnsi="Calibri" w:cs="Calibri" w:hint="default"/>
        <w:color w:val="auto"/>
        <w:w w:val="10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FED3A8A"/>
    <w:multiLevelType w:val="hybridMultilevel"/>
    <w:tmpl w:val="1916B798"/>
    <w:lvl w:ilvl="0" w:tplc="5C022A00">
      <w:numFmt w:val="bullet"/>
      <w:lvlText w:val=""/>
      <w:lvlJc w:val="left"/>
      <w:pPr>
        <w:ind w:left="920" w:hanging="360"/>
      </w:pPr>
      <w:rPr>
        <w:rFonts w:ascii="Symbol" w:eastAsia="Symbol" w:hAnsi="Symbol" w:cs="Symbol" w:hint="default"/>
        <w:w w:val="99"/>
        <w:sz w:val="20"/>
        <w:szCs w:val="20"/>
        <w:lang w:val="en-US" w:eastAsia="en-US" w:bidi="ar-SA"/>
      </w:rPr>
    </w:lvl>
    <w:lvl w:ilvl="1" w:tplc="08090009">
      <w:start w:val="1"/>
      <w:numFmt w:val="bullet"/>
      <w:lvlText w:val=""/>
      <w:lvlJc w:val="left"/>
      <w:pPr>
        <w:ind w:left="1640" w:hanging="360"/>
      </w:pPr>
      <w:rPr>
        <w:rFonts w:ascii="Wingdings" w:hAnsi="Wingdings" w:hint="default"/>
        <w:w w:val="99"/>
        <w:sz w:val="20"/>
        <w:szCs w:val="20"/>
        <w:lang w:val="en-US" w:eastAsia="en-US" w:bidi="ar-SA"/>
      </w:rPr>
    </w:lvl>
    <w:lvl w:ilvl="2" w:tplc="08090005">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13" w15:restartNumberingAfterBreak="0">
    <w:nsid w:val="405D6227"/>
    <w:multiLevelType w:val="hybridMultilevel"/>
    <w:tmpl w:val="55ECC60C"/>
    <w:lvl w:ilvl="0" w:tplc="0809000B">
      <w:start w:val="1"/>
      <w:numFmt w:val="bullet"/>
      <w:lvlText w:val=""/>
      <w:lvlJc w:val="left"/>
      <w:pPr>
        <w:ind w:left="1077" w:hanging="360"/>
      </w:pPr>
      <w:rPr>
        <w:rFonts w:ascii="Wingdings" w:hAnsi="Wingdings"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abstractNum w:abstractNumId="14" w15:restartNumberingAfterBreak="0">
    <w:nsid w:val="42CB1578"/>
    <w:multiLevelType w:val="hybridMultilevel"/>
    <w:tmpl w:val="7E343516"/>
    <w:lvl w:ilvl="0" w:tplc="08090001">
      <w:start w:val="1"/>
      <w:numFmt w:val="bullet"/>
      <w:lvlText w:val=""/>
      <w:lvlJc w:val="left"/>
      <w:pPr>
        <w:ind w:left="1287" w:hanging="360"/>
      </w:pPr>
      <w:rPr>
        <w:rFonts w:ascii="Symbol" w:hAnsi="Symbol" w:hint="default"/>
        <w:w w:val="99"/>
        <w:sz w:val="22"/>
        <w:szCs w:val="2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43FB3646"/>
    <w:multiLevelType w:val="hybridMultilevel"/>
    <w:tmpl w:val="CA1ABDFE"/>
    <w:lvl w:ilvl="0" w:tplc="DCF4277C">
      <w:numFmt w:val="bullet"/>
      <w:lvlText w:val=""/>
      <w:lvlJc w:val="left"/>
      <w:pPr>
        <w:ind w:left="1287" w:hanging="360"/>
      </w:pPr>
      <w:rPr>
        <w:rFonts w:ascii="Symbol" w:hAnsi="Symbol" w:cs="Symbol" w:hint="default"/>
        <w:w w:val="99"/>
        <w:sz w:val="22"/>
        <w:szCs w:val="2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B981189"/>
    <w:multiLevelType w:val="hybridMultilevel"/>
    <w:tmpl w:val="C4AEE1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01A132D"/>
    <w:multiLevelType w:val="hybridMultilevel"/>
    <w:tmpl w:val="A76444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F777AA1"/>
    <w:multiLevelType w:val="multilevel"/>
    <w:tmpl w:val="64B26336"/>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9" w15:restartNumberingAfterBreak="0">
    <w:nsid w:val="74C31C45"/>
    <w:multiLevelType w:val="hybridMultilevel"/>
    <w:tmpl w:val="4FC22050"/>
    <w:lvl w:ilvl="0" w:tplc="9490BB20">
      <w:start w:val="30"/>
      <w:numFmt w:val="bullet"/>
      <w:lvlText w:val=""/>
      <w:lvlJc w:val="left"/>
      <w:pPr>
        <w:ind w:left="720" w:hanging="360"/>
      </w:pPr>
      <w:rPr>
        <w:rFonts w:ascii="Symbol" w:eastAsia="Verdana" w:hAnsi="Symbol" w:cstheme="minorBid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400D88"/>
    <w:multiLevelType w:val="hybridMultilevel"/>
    <w:tmpl w:val="BD226596"/>
    <w:lvl w:ilvl="0" w:tplc="CC6858E2">
      <w:numFmt w:val="bullet"/>
      <w:lvlText w:val="•"/>
      <w:lvlJc w:val="left"/>
      <w:pPr>
        <w:ind w:left="360" w:hanging="360"/>
      </w:pPr>
      <w:rPr>
        <w:rFonts w:ascii="Calibri" w:hAnsi="Calibri" w:cs="Calibri" w:hint="default"/>
        <w:color w:val="auto"/>
        <w:w w:val="100"/>
        <w:sz w:val="24"/>
        <w:szCs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17"/>
  </w:num>
  <w:num w:numId="3">
    <w:abstractNumId w:val="18"/>
  </w:num>
  <w:num w:numId="4">
    <w:abstractNumId w:val="11"/>
  </w:num>
  <w:num w:numId="5">
    <w:abstractNumId w:val="20"/>
  </w:num>
  <w:num w:numId="6">
    <w:abstractNumId w:val="19"/>
  </w:num>
  <w:num w:numId="7">
    <w:abstractNumId w:val="13"/>
  </w:num>
  <w:num w:numId="8">
    <w:abstractNumId w:val="5"/>
  </w:num>
  <w:num w:numId="9">
    <w:abstractNumId w:val="16"/>
  </w:num>
  <w:num w:numId="10">
    <w:abstractNumId w:val="3"/>
  </w:num>
  <w:num w:numId="11">
    <w:abstractNumId w:val="10"/>
  </w:num>
  <w:num w:numId="12">
    <w:abstractNumId w:val="1"/>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2"/>
  </w:num>
  <w:num w:numId="16">
    <w:abstractNumId w:val="2"/>
  </w:num>
  <w:num w:numId="17">
    <w:abstractNumId w:val="7"/>
  </w:num>
  <w:num w:numId="18">
    <w:abstractNumId w:val="4"/>
  </w:num>
  <w:num w:numId="19">
    <w:abstractNumId w:val="0"/>
  </w:num>
  <w:num w:numId="20">
    <w:abstractNumId w:val="8"/>
  </w:num>
  <w:num w:numId="21">
    <w:abstractNumId w:val="15"/>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ADC"/>
    <w:rsid w:val="0002249E"/>
    <w:rsid w:val="00034A01"/>
    <w:rsid w:val="00087F54"/>
    <w:rsid w:val="00091ABE"/>
    <w:rsid w:val="0009383C"/>
    <w:rsid w:val="00096513"/>
    <w:rsid w:val="000A2ADC"/>
    <w:rsid w:val="000C25F4"/>
    <w:rsid w:val="000D0917"/>
    <w:rsid w:val="000F437D"/>
    <w:rsid w:val="0011265E"/>
    <w:rsid w:val="00134A94"/>
    <w:rsid w:val="001406DC"/>
    <w:rsid w:val="00152F37"/>
    <w:rsid w:val="00165452"/>
    <w:rsid w:val="00190CE2"/>
    <w:rsid w:val="001B7CA8"/>
    <w:rsid w:val="001C6BE0"/>
    <w:rsid w:val="001D320B"/>
    <w:rsid w:val="001F5F0E"/>
    <w:rsid w:val="00203B76"/>
    <w:rsid w:val="002124E2"/>
    <w:rsid w:val="00232439"/>
    <w:rsid w:val="0029016D"/>
    <w:rsid w:val="00297FB6"/>
    <w:rsid w:val="002A7FBA"/>
    <w:rsid w:val="002B182A"/>
    <w:rsid w:val="002C226B"/>
    <w:rsid w:val="002E753D"/>
    <w:rsid w:val="00336207"/>
    <w:rsid w:val="00350702"/>
    <w:rsid w:val="00365579"/>
    <w:rsid w:val="0036622A"/>
    <w:rsid w:val="00384048"/>
    <w:rsid w:val="003A3F6D"/>
    <w:rsid w:val="003B1702"/>
    <w:rsid w:val="003F1A57"/>
    <w:rsid w:val="003F3E30"/>
    <w:rsid w:val="00401278"/>
    <w:rsid w:val="00402FE9"/>
    <w:rsid w:val="00403711"/>
    <w:rsid w:val="004137DE"/>
    <w:rsid w:val="004172E1"/>
    <w:rsid w:val="00423278"/>
    <w:rsid w:val="00423E4B"/>
    <w:rsid w:val="004553E3"/>
    <w:rsid w:val="00464E10"/>
    <w:rsid w:val="004C092E"/>
    <w:rsid w:val="004D2C2A"/>
    <w:rsid w:val="004F3D6C"/>
    <w:rsid w:val="00502636"/>
    <w:rsid w:val="00531587"/>
    <w:rsid w:val="00531AA6"/>
    <w:rsid w:val="0054352B"/>
    <w:rsid w:val="00576A06"/>
    <w:rsid w:val="005932EA"/>
    <w:rsid w:val="005B6249"/>
    <w:rsid w:val="005B72D4"/>
    <w:rsid w:val="005C71DB"/>
    <w:rsid w:val="005E23C5"/>
    <w:rsid w:val="00603EE9"/>
    <w:rsid w:val="006101B0"/>
    <w:rsid w:val="0065340E"/>
    <w:rsid w:val="00666A0D"/>
    <w:rsid w:val="00681A85"/>
    <w:rsid w:val="006853DE"/>
    <w:rsid w:val="006A33A9"/>
    <w:rsid w:val="006D7182"/>
    <w:rsid w:val="00711DF9"/>
    <w:rsid w:val="00731CD9"/>
    <w:rsid w:val="007A5F6D"/>
    <w:rsid w:val="007C61B6"/>
    <w:rsid w:val="007F57CB"/>
    <w:rsid w:val="00802B06"/>
    <w:rsid w:val="0083723B"/>
    <w:rsid w:val="00840BDB"/>
    <w:rsid w:val="00854D09"/>
    <w:rsid w:val="00883874"/>
    <w:rsid w:val="00887587"/>
    <w:rsid w:val="00893069"/>
    <w:rsid w:val="008D501B"/>
    <w:rsid w:val="008E4F7D"/>
    <w:rsid w:val="00904783"/>
    <w:rsid w:val="009200D4"/>
    <w:rsid w:val="00930D2D"/>
    <w:rsid w:val="00941653"/>
    <w:rsid w:val="00942578"/>
    <w:rsid w:val="0097058E"/>
    <w:rsid w:val="00971F26"/>
    <w:rsid w:val="00995393"/>
    <w:rsid w:val="00997461"/>
    <w:rsid w:val="009975E9"/>
    <w:rsid w:val="009A54F7"/>
    <w:rsid w:val="009B0876"/>
    <w:rsid w:val="009F0189"/>
    <w:rsid w:val="009F1168"/>
    <w:rsid w:val="00A07766"/>
    <w:rsid w:val="00A15C18"/>
    <w:rsid w:val="00A230EF"/>
    <w:rsid w:val="00A46A72"/>
    <w:rsid w:val="00A6394D"/>
    <w:rsid w:val="00A7234F"/>
    <w:rsid w:val="00A91FD8"/>
    <w:rsid w:val="00A96CF1"/>
    <w:rsid w:val="00AB38EF"/>
    <w:rsid w:val="00AC3B62"/>
    <w:rsid w:val="00AD49B2"/>
    <w:rsid w:val="00AF7919"/>
    <w:rsid w:val="00B33BEC"/>
    <w:rsid w:val="00B735F6"/>
    <w:rsid w:val="00B83427"/>
    <w:rsid w:val="00BC3E9E"/>
    <w:rsid w:val="00BD57A6"/>
    <w:rsid w:val="00BF3F8C"/>
    <w:rsid w:val="00C24332"/>
    <w:rsid w:val="00C3537A"/>
    <w:rsid w:val="00C52823"/>
    <w:rsid w:val="00C75D84"/>
    <w:rsid w:val="00C81C32"/>
    <w:rsid w:val="00CA0B1C"/>
    <w:rsid w:val="00CA76C2"/>
    <w:rsid w:val="00CB331C"/>
    <w:rsid w:val="00CD221F"/>
    <w:rsid w:val="00CD3167"/>
    <w:rsid w:val="00CD34E2"/>
    <w:rsid w:val="00CD7A9C"/>
    <w:rsid w:val="00CE10BD"/>
    <w:rsid w:val="00CE325D"/>
    <w:rsid w:val="00D05B78"/>
    <w:rsid w:val="00D564EE"/>
    <w:rsid w:val="00D657BF"/>
    <w:rsid w:val="00D72510"/>
    <w:rsid w:val="00D7492D"/>
    <w:rsid w:val="00D81977"/>
    <w:rsid w:val="00D835C7"/>
    <w:rsid w:val="00D93196"/>
    <w:rsid w:val="00DA575D"/>
    <w:rsid w:val="00DB2F70"/>
    <w:rsid w:val="00DB7005"/>
    <w:rsid w:val="00DC01C5"/>
    <w:rsid w:val="00DC72A8"/>
    <w:rsid w:val="00DE4457"/>
    <w:rsid w:val="00E10F82"/>
    <w:rsid w:val="00E25CF9"/>
    <w:rsid w:val="00E272A4"/>
    <w:rsid w:val="00E556DE"/>
    <w:rsid w:val="00E93FA5"/>
    <w:rsid w:val="00E970F4"/>
    <w:rsid w:val="00EB4230"/>
    <w:rsid w:val="00EC0BCE"/>
    <w:rsid w:val="00ED31F4"/>
    <w:rsid w:val="00EE59B4"/>
    <w:rsid w:val="00F0646F"/>
    <w:rsid w:val="00F106F4"/>
    <w:rsid w:val="00F80DE3"/>
    <w:rsid w:val="00F9166C"/>
    <w:rsid w:val="00F92CB2"/>
    <w:rsid w:val="00FB60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C2544"/>
  <w15:chartTrackingRefBased/>
  <w15:docId w15:val="{34A044EC-3B55-4E1A-A1FE-5EE74969E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A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A2A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ADC"/>
  </w:style>
  <w:style w:type="character" w:styleId="PageNumber">
    <w:name w:val="page number"/>
    <w:basedOn w:val="DefaultParagraphFont"/>
    <w:rsid w:val="000A2ADC"/>
  </w:style>
  <w:style w:type="table" w:customStyle="1" w:styleId="TableGrid4">
    <w:name w:val="Table Grid4"/>
    <w:basedOn w:val="TableNormal"/>
    <w:next w:val="TableGrid"/>
    <w:uiPriority w:val="59"/>
    <w:rsid w:val="000A2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A2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38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874"/>
  </w:style>
  <w:style w:type="character" w:styleId="Hyperlink">
    <w:name w:val="Hyperlink"/>
    <w:basedOn w:val="DefaultParagraphFont"/>
    <w:uiPriority w:val="99"/>
    <w:unhideWhenUsed/>
    <w:rsid w:val="003B1702"/>
    <w:rPr>
      <w:color w:val="0000FF"/>
      <w:u w:val="single"/>
    </w:rPr>
  </w:style>
  <w:style w:type="paragraph" w:styleId="ListParagraph">
    <w:name w:val="List Paragraph"/>
    <w:aliases w:val="Dot pt,List Paragraph Char Char Char,Indicator Text,Numbered Para 1,List Paragraph1,Bullet Points,MAIN CONTENT,Bullet 1,List Paragraph11,List Paragraph12,F5 List Paragraph,Colorful List - Accent 11,Bullet Style,OBC Bullet,No Spacing1,列出段落"/>
    <w:basedOn w:val="Normal"/>
    <w:link w:val="ListParagraphChar"/>
    <w:uiPriority w:val="34"/>
    <w:qFormat/>
    <w:rsid w:val="00731CD9"/>
    <w:pPr>
      <w:ind w:left="720"/>
      <w:contextualSpacing/>
    </w:pPr>
  </w:style>
  <w:style w:type="character" w:styleId="CommentReference">
    <w:name w:val="annotation reference"/>
    <w:basedOn w:val="DefaultParagraphFont"/>
    <w:uiPriority w:val="99"/>
    <w:semiHidden/>
    <w:unhideWhenUsed/>
    <w:rsid w:val="00CB331C"/>
    <w:rPr>
      <w:sz w:val="16"/>
      <w:szCs w:val="16"/>
    </w:rPr>
  </w:style>
  <w:style w:type="paragraph" w:styleId="CommentText">
    <w:name w:val="annotation text"/>
    <w:basedOn w:val="Normal"/>
    <w:link w:val="CommentTextChar"/>
    <w:uiPriority w:val="99"/>
    <w:semiHidden/>
    <w:unhideWhenUsed/>
    <w:rsid w:val="00CB331C"/>
    <w:pPr>
      <w:spacing w:line="240" w:lineRule="auto"/>
    </w:pPr>
    <w:rPr>
      <w:sz w:val="20"/>
      <w:szCs w:val="20"/>
    </w:rPr>
  </w:style>
  <w:style w:type="character" w:customStyle="1" w:styleId="CommentTextChar">
    <w:name w:val="Comment Text Char"/>
    <w:basedOn w:val="DefaultParagraphFont"/>
    <w:link w:val="CommentText"/>
    <w:uiPriority w:val="99"/>
    <w:semiHidden/>
    <w:rsid w:val="00CB331C"/>
    <w:rPr>
      <w:sz w:val="20"/>
      <w:szCs w:val="20"/>
    </w:rPr>
  </w:style>
  <w:style w:type="paragraph" w:styleId="CommentSubject">
    <w:name w:val="annotation subject"/>
    <w:basedOn w:val="CommentText"/>
    <w:next w:val="CommentText"/>
    <w:link w:val="CommentSubjectChar"/>
    <w:uiPriority w:val="99"/>
    <w:semiHidden/>
    <w:unhideWhenUsed/>
    <w:rsid w:val="00CB331C"/>
    <w:rPr>
      <w:b/>
      <w:bCs/>
    </w:rPr>
  </w:style>
  <w:style w:type="character" w:customStyle="1" w:styleId="CommentSubjectChar">
    <w:name w:val="Comment Subject Char"/>
    <w:basedOn w:val="CommentTextChar"/>
    <w:link w:val="CommentSubject"/>
    <w:uiPriority w:val="99"/>
    <w:semiHidden/>
    <w:rsid w:val="00CB331C"/>
    <w:rPr>
      <w:b/>
      <w:bCs/>
      <w:sz w:val="20"/>
      <w:szCs w:val="20"/>
    </w:rPr>
  </w:style>
  <w:style w:type="paragraph" w:styleId="BalloonText">
    <w:name w:val="Balloon Text"/>
    <w:basedOn w:val="Normal"/>
    <w:link w:val="BalloonTextChar"/>
    <w:uiPriority w:val="99"/>
    <w:semiHidden/>
    <w:unhideWhenUsed/>
    <w:rsid w:val="00CB33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31C"/>
    <w:rPr>
      <w:rFonts w:ascii="Segoe UI" w:hAnsi="Segoe UI" w:cs="Segoe UI"/>
      <w:sz w:val="18"/>
      <w:szCs w:val="18"/>
    </w:rPr>
  </w:style>
  <w:style w:type="character" w:customStyle="1" w:styleId="ListParagraphChar">
    <w:name w:val="List Paragraph Char"/>
    <w:aliases w:val="Dot pt Char,List Paragraph Char Char Char Char,Indicator Text Char,Numbered Para 1 Char,List Paragraph1 Char,Bullet Points Char,MAIN CONTENT Char,Bullet 1 Char,List Paragraph11 Char,List Paragraph12 Char,F5 List Paragraph Char"/>
    <w:basedOn w:val="DefaultParagraphFont"/>
    <w:link w:val="ListParagraph"/>
    <w:uiPriority w:val="34"/>
    <w:qFormat/>
    <w:locked/>
    <w:rsid w:val="007A5F6D"/>
  </w:style>
  <w:style w:type="paragraph" w:customStyle="1" w:styleId="TableParagraph">
    <w:name w:val="Table Paragraph"/>
    <w:basedOn w:val="Normal"/>
    <w:uiPriority w:val="1"/>
    <w:qFormat/>
    <w:rsid w:val="0083723B"/>
    <w:pPr>
      <w:widowControl w:val="0"/>
      <w:autoSpaceDE w:val="0"/>
      <w:autoSpaceDN w:val="0"/>
      <w:spacing w:after="0" w:line="240" w:lineRule="auto"/>
      <w:jc w:val="center"/>
    </w:pPr>
    <w:rPr>
      <w:rFonts w:ascii="Calibri" w:eastAsia="Calibri" w:hAnsi="Calibri" w:cs="Calibri"/>
      <w:lang w:val="en-US"/>
    </w:rPr>
  </w:style>
  <w:style w:type="paragraph" w:customStyle="1" w:styleId="Default">
    <w:name w:val="Default"/>
    <w:rsid w:val="00E10F82"/>
    <w:pPr>
      <w:autoSpaceDE w:val="0"/>
      <w:autoSpaceDN w:val="0"/>
      <w:adjustRightInd w:val="0"/>
      <w:spacing w:after="0" w:line="240" w:lineRule="auto"/>
    </w:pPr>
    <w:rPr>
      <w:rFonts w:ascii="Verdana" w:hAnsi="Verdana" w:cs="Verdana"/>
      <w:color w:val="000000"/>
      <w:sz w:val="24"/>
      <w:szCs w:val="24"/>
    </w:rPr>
  </w:style>
  <w:style w:type="paragraph" w:styleId="BodyText">
    <w:name w:val="Body Text"/>
    <w:basedOn w:val="Normal"/>
    <w:link w:val="BodyTextChar"/>
    <w:uiPriority w:val="1"/>
    <w:qFormat/>
    <w:rsid w:val="00C81C32"/>
    <w:pPr>
      <w:widowControl w:val="0"/>
      <w:autoSpaceDE w:val="0"/>
      <w:autoSpaceDN w:val="0"/>
      <w:spacing w:after="0" w:line="240" w:lineRule="auto"/>
    </w:pPr>
    <w:rPr>
      <w:rFonts w:ascii="Calibri" w:eastAsia="Calibri" w:hAnsi="Calibri" w:cs="Calibri"/>
      <w:sz w:val="20"/>
      <w:szCs w:val="20"/>
      <w:lang w:val="en-US"/>
    </w:rPr>
  </w:style>
  <w:style w:type="character" w:customStyle="1" w:styleId="BodyTextChar">
    <w:name w:val="Body Text Char"/>
    <w:basedOn w:val="DefaultParagraphFont"/>
    <w:link w:val="BodyText"/>
    <w:uiPriority w:val="1"/>
    <w:rsid w:val="00C81C32"/>
    <w:rPr>
      <w:rFonts w:ascii="Calibri" w:eastAsia="Calibri" w:hAnsi="Calibri" w:cs="Calibri"/>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170844">
      <w:bodyDiv w:val="1"/>
      <w:marLeft w:val="0"/>
      <w:marRight w:val="0"/>
      <w:marTop w:val="0"/>
      <w:marBottom w:val="0"/>
      <w:divBdr>
        <w:top w:val="none" w:sz="0" w:space="0" w:color="auto"/>
        <w:left w:val="none" w:sz="0" w:space="0" w:color="auto"/>
        <w:bottom w:val="none" w:sz="0" w:space="0" w:color="auto"/>
        <w:right w:val="none" w:sz="0" w:space="0" w:color="auto"/>
      </w:divBdr>
    </w:div>
    <w:div w:id="426926175">
      <w:bodyDiv w:val="1"/>
      <w:marLeft w:val="0"/>
      <w:marRight w:val="0"/>
      <w:marTop w:val="0"/>
      <w:marBottom w:val="0"/>
      <w:divBdr>
        <w:top w:val="none" w:sz="0" w:space="0" w:color="auto"/>
        <w:left w:val="none" w:sz="0" w:space="0" w:color="auto"/>
        <w:bottom w:val="none" w:sz="0" w:space="0" w:color="auto"/>
        <w:right w:val="none" w:sz="0" w:space="0" w:color="auto"/>
      </w:divBdr>
    </w:div>
    <w:div w:id="730736876">
      <w:bodyDiv w:val="1"/>
      <w:marLeft w:val="0"/>
      <w:marRight w:val="0"/>
      <w:marTop w:val="0"/>
      <w:marBottom w:val="0"/>
      <w:divBdr>
        <w:top w:val="none" w:sz="0" w:space="0" w:color="auto"/>
        <w:left w:val="none" w:sz="0" w:space="0" w:color="auto"/>
        <w:bottom w:val="none" w:sz="0" w:space="0" w:color="auto"/>
        <w:right w:val="none" w:sz="0" w:space="0" w:color="auto"/>
      </w:divBdr>
    </w:div>
    <w:div w:id="897744559">
      <w:bodyDiv w:val="1"/>
      <w:marLeft w:val="0"/>
      <w:marRight w:val="0"/>
      <w:marTop w:val="0"/>
      <w:marBottom w:val="0"/>
      <w:divBdr>
        <w:top w:val="none" w:sz="0" w:space="0" w:color="auto"/>
        <w:left w:val="none" w:sz="0" w:space="0" w:color="auto"/>
        <w:bottom w:val="none" w:sz="0" w:space="0" w:color="auto"/>
        <w:right w:val="none" w:sz="0" w:space="0" w:color="auto"/>
      </w:divBdr>
    </w:div>
    <w:div w:id="1112557512">
      <w:bodyDiv w:val="1"/>
      <w:marLeft w:val="0"/>
      <w:marRight w:val="0"/>
      <w:marTop w:val="0"/>
      <w:marBottom w:val="0"/>
      <w:divBdr>
        <w:top w:val="none" w:sz="0" w:space="0" w:color="auto"/>
        <w:left w:val="none" w:sz="0" w:space="0" w:color="auto"/>
        <w:bottom w:val="none" w:sz="0" w:space="0" w:color="auto"/>
        <w:right w:val="none" w:sz="0" w:space="0" w:color="auto"/>
      </w:divBdr>
    </w:div>
    <w:div w:id="1155537188">
      <w:bodyDiv w:val="1"/>
      <w:marLeft w:val="0"/>
      <w:marRight w:val="0"/>
      <w:marTop w:val="0"/>
      <w:marBottom w:val="0"/>
      <w:divBdr>
        <w:top w:val="none" w:sz="0" w:space="0" w:color="auto"/>
        <w:left w:val="none" w:sz="0" w:space="0" w:color="auto"/>
        <w:bottom w:val="none" w:sz="0" w:space="0" w:color="auto"/>
        <w:right w:val="none" w:sz="0" w:space="0" w:color="auto"/>
      </w:divBdr>
    </w:div>
    <w:div w:id="1587685562">
      <w:bodyDiv w:val="1"/>
      <w:marLeft w:val="0"/>
      <w:marRight w:val="0"/>
      <w:marTop w:val="0"/>
      <w:marBottom w:val="0"/>
      <w:divBdr>
        <w:top w:val="none" w:sz="0" w:space="0" w:color="auto"/>
        <w:left w:val="none" w:sz="0" w:space="0" w:color="auto"/>
        <w:bottom w:val="none" w:sz="0" w:space="0" w:color="auto"/>
        <w:right w:val="none" w:sz="0" w:space="0" w:color="auto"/>
      </w:divBdr>
    </w:div>
    <w:div w:id="210976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inter-readiness-dashboard-test.azurewebsites.net/" TargetMode="External"/><Relationship Id="rId18" Type="http://schemas.openxmlformats.org/officeDocument/2006/relationships/hyperlink" Target="https://phw-tableau.cymru.nhs.uk/t/CorporateAnalyticsPreProduction/views/RecoveryDashboardLandingPage/LandingPage?:linktarget=_self&amp;:embed=yes"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s://phw-tableau.cymru.nhs.uk/t/CorporateAnalyticsPreProduction/views/RecoveryDashboardLandingPage/LandingPage?:linktarget=_self&amp;:embed=yes" TargetMode="External"/><Relationship Id="rId17" Type="http://schemas.openxmlformats.org/officeDocument/2006/relationships/hyperlink" Target="https://phw.nhs.wales/topics/immunisation-and-vaccines/cover-national-childhood-immunisation-uptake-data/cover-archive-folder/quarterly-reports/cover-145-wales-october-to-december-202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hyperlink" Target="https://phw-tableau.cymru.nhs.uk/#/site/CorporateAnalyticsPreProduction/views/RecoveryDashboardLandingPage/LandingPage?:iid=1" TargetMode="External"/><Relationship Id="rId23" Type="http://schemas.openxmlformats.org/officeDocument/2006/relationships/image" Target="media/image6.png"/><Relationship Id="rId10" Type="http://schemas.openxmlformats.org/officeDocument/2006/relationships/hyperlink" Target="http://www.wales.nhs.uk/governance-emanual/how-the-health-and-care-standards-are-st" TargetMode="External"/><Relationship Id="rId19" Type="http://schemas.openxmlformats.org/officeDocument/2006/relationships/hyperlink" Target="https://winter-readiness-dashboard-test.azurewebsites.net/" TargetMode="External"/><Relationship Id="rId4" Type="http://schemas.openxmlformats.org/officeDocument/2006/relationships/settings" Target="settings.xml"/><Relationship Id="rId9" Type="http://schemas.openxmlformats.org/officeDocument/2006/relationships/hyperlink" Target="http://howis.wales.nhs.uk/sitesplus/888/page/64548" TargetMode="External"/><Relationship Id="rId14" Type="http://schemas.openxmlformats.org/officeDocument/2006/relationships/hyperlink" Target="https://phw-tableau.cymru.nhs.uk/t/CorporateAnalyticsPreProduction/views/RecoveryDashboardLandingPage/LandingPage?:linktarget=_self&amp;:embed=yes" TargetMode="External"/><Relationship Id="rId22" Type="http://schemas.openxmlformats.org/officeDocument/2006/relationships/image" Target="media/image5.png"/><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017E5D2C7864C97BA82E637C6FB9B24"/>
        <w:category>
          <w:name w:val="General"/>
          <w:gallery w:val="placeholder"/>
        </w:category>
        <w:types>
          <w:type w:val="bbPlcHdr"/>
        </w:types>
        <w:behaviors>
          <w:behavior w:val="content"/>
        </w:behaviors>
        <w:guid w:val="{AA3C5C35-8486-4E89-966B-6274447BB73F}"/>
      </w:docPartPr>
      <w:docPartBody>
        <w:p w:rsidR="007E6B5B" w:rsidRDefault="0063685B" w:rsidP="0063685B">
          <w:pPr>
            <w:pStyle w:val="0017E5D2C7864C97BA82E637C6FB9B24"/>
          </w:pPr>
          <w:r w:rsidRPr="007D79E4">
            <w:rPr>
              <w:rStyle w:val="PlaceholderText"/>
              <w:szCs w:val="24"/>
            </w:rPr>
            <w:t>Choose an item.</w:t>
          </w:r>
        </w:p>
      </w:docPartBody>
    </w:docPart>
    <w:docPart>
      <w:docPartPr>
        <w:name w:val="D178AE7801394721A436DF684BE50CBB"/>
        <w:category>
          <w:name w:val="General"/>
          <w:gallery w:val="placeholder"/>
        </w:category>
        <w:types>
          <w:type w:val="bbPlcHdr"/>
        </w:types>
        <w:behaviors>
          <w:behavior w:val="content"/>
        </w:behaviors>
        <w:guid w:val="{D6B1F327-1F53-48E7-AB41-08DDDCA21EFC}"/>
      </w:docPartPr>
      <w:docPartBody>
        <w:p w:rsidR="007E6B5B" w:rsidRDefault="0063685B" w:rsidP="0063685B">
          <w:pPr>
            <w:pStyle w:val="D178AE7801394721A436DF684BE50CBB"/>
          </w:pPr>
          <w:r w:rsidRPr="0013075E">
            <w:rPr>
              <w:rStyle w:val="PlaceholderText"/>
              <w:szCs w:val="24"/>
            </w:rPr>
            <w:t>Choose an item.</w:t>
          </w:r>
        </w:p>
      </w:docPartBody>
    </w:docPart>
    <w:docPart>
      <w:docPartPr>
        <w:name w:val="FE97394D53524DD7833A54A90B84E4E7"/>
        <w:category>
          <w:name w:val="General"/>
          <w:gallery w:val="placeholder"/>
        </w:category>
        <w:types>
          <w:type w:val="bbPlcHdr"/>
        </w:types>
        <w:behaviors>
          <w:behavior w:val="content"/>
        </w:behaviors>
        <w:guid w:val="{4F5C5C77-727A-4645-AC20-E3ADFCB4538F}"/>
      </w:docPartPr>
      <w:docPartBody>
        <w:p w:rsidR="007E6B5B" w:rsidRDefault="0063685B" w:rsidP="0063685B">
          <w:pPr>
            <w:pStyle w:val="FE97394D53524DD7833A54A90B84E4E7"/>
          </w:pPr>
          <w:r w:rsidRPr="001C60B5">
            <w:rPr>
              <w:rStyle w:val="PlaceholderText"/>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85B"/>
    <w:rsid w:val="0063685B"/>
    <w:rsid w:val="007E6B5B"/>
    <w:rsid w:val="009B69F1"/>
    <w:rsid w:val="00A65E3D"/>
    <w:rsid w:val="00C43965"/>
    <w:rsid w:val="00DE43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85B"/>
    <w:rPr>
      <w:color w:val="808080"/>
    </w:rPr>
  </w:style>
  <w:style w:type="paragraph" w:customStyle="1" w:styleId="0017E5D2C7864C97BA82E637C6FB9B24">
    <w:name w:val="0017E5D2C7864C97BA82E637C6FB9B24"/>
    <w:rsid w:val="0063685B"/>
  </w:style>
  <w:style w:type="paragraph" w:customStyle="1" w:styleId="D178AE7801394721A436DF684BE50CBB">
    <w:name w:val="D178AE7801394721A436DF684BE50CBB"/>
    <w:rsid w:val="0063685B"/>
  </w:style>
  <w:style w:type="paragraph" w:customStyle="1" w:styleId="FE97394D53524DD7833A54A90B84E4E7">
    <w:name w:val="FE97394D53524DD7833A54A90B84E4E7"/>
    <w:rsid w:val="006368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9884B-E3CF-4CEB-8161-E1FA8BCEF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1943</Words>
  <Characters>11078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Public Health Wales NHS Trust</Company>
  <LinksUpToDate>false</LinksUpToDate>
  <CharactersWithSpaces>12996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 Francis</dc:creator>
  <cp:keywords/>
  <dc:description/>
  <cp:lastModifiedBy>Liz Blayney (Public Health Wales - No. 2 Capital Quarter)</cp:lastModifiedBy>
  <cp:revision>3</cp:revision>
  <dcterms:created xsi:type="dcterms:W3CDTF">2023-03-23T17:55:00Z</dcterms:created>
  <dcterms:modified xsi:type="dcterms:W3CDTF">2023-03-23T20:01:00Z</dcterms:modified>
</cp:coreProperties>
</file>