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58F4" w14:textId="67FB1A0F" w:rsidR="00A2469E" w:rsidRDefault="002E3757" w:rsidP="00564898">
      <w:r>
        <w:rPr>
          <w:noProof/>
          <w:lang w:eastAsia="en-GB"/>
        </w:rPr>
        <mc:AlternateContent>
          <mc:Choice Requires="wpg">
            <w:drawing>
              <wp:anchor distT="0" distB="0" distL="114300" distR="114300" simplePos="0" relativeHeight="251659264" behindDoc="1" locked="0" layoutInCell="1" allowOverlap="1" wp14:anchorId="2723A5ED" wp14:editId="3F9BF9ED">
                <wp:simplePos x="0" y="0"/>
                <wp:positionH relativeFrom="page">
                  <wp:posOffset>-25400</wp:posOffset>
                </wp:positionH>
                <wp:positionV relativeFrom="page">
                  <wp:posOffset>11853</wp:posOffset>
                </wp:positionV>
                <wp:extent cx="7560310" cy="1323340"/>
                <wp:effectExtent l="0" t="0" r="2540" b="0"/>
                <wp:wrapNone/>
                <wp:docPr id="3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docshapegroup15" style="position:absolute;margin-left:-2pt;margin-top:.95pt;width:595.3pt;height:104.2pt;z-index:-251657216;mso-position-horizontal-relative:page;mso-position-vertical-relative:page" coordsize="11906,2084" o:spid="_x0000_s1026" w14:anchorId="25E4B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16" style="position:absolute;width:11906;height:208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o:title="" r:id="rId13"/>
                  <v:path arrowok="t"/>
                  <o:lock v:ext="edit" aspectratio="f"/>
                </v:shape>
                <v:shape id="docshape17" style="position:absolute;left:830;top:602;width:1428;height:80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o:title="" r:id="rId14"/>
                  <v:path arrowok="t"/>
                  <o:lock v:ext="edit" aspectratio="f"/>
                </v:shape>
                <v:shape id="docshape18" style="position:absolute;left:2367;top:690;width:1274;height:66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o:title="" r:id="rId15"/>
                  <v:path arrowok="t"/>
                  <o:lock v:ext="edit" aspectratio="f"/>
                </v:shape>
                <w10:wrap anchorx="page" anchory="page"/>
              </v:group>
            </w:pict>
          </mc:Fallback>
        </mc:AlternateContent>
      </w:r>
    </w:p>
    <w:p w14:paraId="0A8B8654" w14:textId="298F6EEE" w:rsidR="007B1B31" w:rsidRDefault="007B1B31" w:rsidP="00564898"/>
    <w:p w14:paraId="29CD92CA" w14:textId="77777777" w:rsidR="0063220D" w:rsidRDefault="0063220D" w:rsidP="00564898"/>
    <w:p w14:paraId="63EA7421" w14:textId="77777777" w:rsidR="0063220D" w:rsidRDefault="0063220D" w:rsidP="00564898"/>
    <w:p w14:paraId="3476057C" w14:textId="77777777" w:rsidR="0063220D" w:rsidRPr="002E3757" w:rsidRDefault="0063220D" w:rsidP="0063220D">
      <w:pPr>
        <w:jc w:val="center"/>
        <w:rPr>
          <w:b/>
          <w:sz w:val="40"/>
          <w:szCs w:val="40"/>
        </w:rPr>
      </w:pPr>
      <w:r w:rsidRPr="002E3757">
        <w:rPr>
          <w:b/>
          <w:sz w:val="40"/>
          <w:szCs w:val="40"/>
        </w:rPr>
        <w:t xml:space="preserve">DIRECTORATE REPORT TO </w:t>
      </w:r>
    </w:p>
    <w:p w14:paraId="2EBD2450" w14:textId="77777777" w:rsidR="0063220D" w:rsidRDefault="0063220D" w:rsidP="0063220D">
      <w:pPr>
        <w:jc w:val="center"/>
        <w:rPr>
          <w:b/>
          <w:sz w:val="40"/>
          <w:szCs w:val="40"/>
        </w:rPr>
      </w:pPr>
      <w:r w:rsidRPr="002E3757">
        <w:rPr>
          <w:b/>
          <w:sz w:val="40"/>
          <w:szCs w:val="40"/>
        </w:rPr>
        <w:t xml:space="preserve">BUSINESS EXECUTIVE TEAM AND BOARD </w:t>
      </w:r>
    </w:p>
    <w:p w14:paraId="25AD0BA0" w14:textId="430F86E8" w:rsidR="007B1B31" w:rsidRDefault="007B1B31" w:rsidP="00564898"/>
    <w:tbl>
      <w:tblPr>
        <w:tblStyle w:val="TableGrid"/>
        <w:tblW w:w="0" w:type="auto"/>
        <w:tblLook w:val="04A0" w:firstRow="1" w:lastRow="0" w:firstColumn="1" w:lastColumn="0" w:noHBand="0" w:noVBand="1"/>
      </w:tblPr>
      <w:tblGrid>
        <w:gridCol w:w="3339"/>
        <w:gridCol w:w="5677"/>
      </w:tblGrid>
      <w:tr w:rsidR="00961B74" w:rsidRPr="002E3757" w14:paraId="62C098C2" w14:textId="77777777" w:rsidTr="002E3757">
        <w:tc>
          <w:tcPr>
            <w:tcW w:w="3339" w:type="dxa"/>
            <w:shd w:val="clear" w:color="auto" w:fill="DEEAF6" w:themeFill="accent1" w:themeFillTint="33"/>
          </w:tcPr>
          <w:p w14:paraId="7AA3BB0F" w14:textId="77777777" w:rsidR="00961B74" w:rsidRPr="002E3757" w:rsidRDefault="00961B74" w:rsidP="00961B74">
            <w:r w:rsidRPr="002E3757">
              <w:t>Directorate:</w:t>
            </w:r>
          </w:p>
        </w:tc>
        <w:tc>
          <w:tcPr>
            <w:tcW w:w="5677" w:type="dxa"/>
          </w:tcPr>
          <w:p w14:paraId="764C28A7" w14:textId="4FD24D20" w:rsidR="00961B74" w:rsidRPr="002E3757" w:rsidRDefault="00961B74" w:rsidP="00961B74">
            <w:r w:rsidRPr="001304C8">
              <w:t>Policy and International Health, WHO CC</w:t>
            </w:r>
          </w:p>
        </w:tc>
      </w:tr>
      <w:tr w:rsidR="00961B74" w:rsidRPr="002E3757" w14:paraId="0AFB029D" w14:textId="77777777" w:rsidTr="002E3757">
        <w:tc>
          <w:tcPr>
            <w:tcW w:w="3339" w:type="dxa"/>
            <w:shd w:val="clear" w:color="auto" w:fill="DEEAF6" w:themeFill="accent1" w:themeFillTint="33"/>
          </w:tcPr>
          <w:p w14:paraId="11B141B1" w14:textId="77777777" w:rsidR="00961B74" w:rsidRPr="002E3757" w:rsidRDefault="00961B74" w:rsidP="00961B74">
            <w:r w:rsidRPr="002E3757">
              <w:t xml:space="preserve">Executive Lead: </w:t>
            </w:r>
          </w:p>
        </w:tc>
        <w:tc>
          <w:tcPr>
            <w:tcW w:w="5677" w:type="dxa"/>
          </w:tcPr>
          <w:p w14:paraId="5831D667" w14:textId="51E5AC53" w:rsidR="00961B74" w:rsidRPr="002E3757" w:rsidRDefault="00961B74" w:rsidP="00961B74">
            <w:r w:rsidRPr="001304C8">
              <w:t>Sumina Azam</w:t>
            </w:r>
          </w:p>
        </w:tc>
      </w:tr>
      <w:tr w:rsidR="00961B74" w:rsidRPr="002E3757" w14:paraId="71AA8351" w14:textId="77777777" w:rsidTr="002E3757">
        <w:tc>
          <w:tcPr>
            <w:tcW w:w="3339" w:type="dxa"/>
            <w:shd w:val="clear" w:color="auto" w:fill="DEEAF6" w:themeFill="accent1" w:themeFillTint="33"/>
          </w:tcPr>
          <w:p w14:paraId="5AA008AA" w14:textId="1CE1FD15" w:rsidR="00961B74" w:rsidRPr="002E3757" w:rsidRDefault="00961B74" w:rsidP="00961B74">
            <w:r w:rsidRPr="002E3757">
              <w:t>Reporting Month:</w:t>
            </w:r>
          </w:p>
        </w:tc>
        <w:tc>
          <w:tcPr>
            <w:tcW w:w="5677" w:type="dxa"/>
          </w:tcPr>
          <w:p w14:paraId="48795479" w14:textId="2C47EFF0" w:rsidR="00961B74" w:rsidRPr="002E3757" w:rsidRDefault="00961B74" w:rsidP="00961B74">
            <w:r w:rsidRPr="001304C8">
              <w:t xml:space="preserve">August 2023 </w:t>
            </w:r>
          </w:p>
        </w:tc>
      </w:tr>
      <w:tr w:rsidR="007B1B31" w:rsidRPr="002E3757" w14:paraId="4282B3FC" w14:textId="77777777" w:rsidTr="002E3757">
        <w:tc>
          <w:tcPr>
            <w:tcW w:w="3339" w:type="dxa"/>
            <w:shd w:val="clear" w:color="auto" w:fill="DEEAF6" w:themeFill="accent1" w:themeFillTint="33"/>
          </w:tcPr>
          <w:p w14:paraId="357CA0B4" w14:textId="6BFCF1E9" w:rsidR="007B1B31" w:rsidRPr="002E3757" w:rsidRDefault="00B10356" w:rsidP="00564898">
            <w:r w:rsidRPr="002E3757">
              <w:t>Business Executive Team Meeting Date</w:t>
            </w:r>
            <w:r w:rsidR="007B1B31" w:rsidRPr="002E3757">
              <w:t xml:space="preserve">: </w:t>
            </w:r>
          </w:p>
        </w:tc>
        <w:tc>
          <w:tcPr>
            <w:tcW w:w="5677" w:type="dxa"/>
          </w:tcPr>
          <w:p w14:paraId="092DF0FC" w14:textId="4BC10404" w:rsidR="007B1B31" w:rsidRPr="002E3757" w:rsidRDefault="001D3E18" w:rsidP="00564898">
            <w:r>
              <w:t>20 September 2023</w:t>
            </w:r>
          </w:p>
        </w:tc>
      </w:tr>
      <w:tr w:rsidR="007B1B31" w:rsidRPr="002E3757" w14:paraId="61BB61CB" w14:textId="77777777" w:rsidTr="002E3757">
        <w:tc>
          <w:tcPr>
            <w:tcW w:w="3339" w:type="dxa"/>
            <w:shd w:val="clear" w:color="auto" w:fill="DEEAF6" w:themeFill="accent1" w:themeFillTint="33"/>
          </w:tcPr>
          <w:p w14:paraId="2B3FAC7B" w14:textId="25FDE5E3" w:rsidR="007B1B31" w:rsidRPr="002E3757" w:rsidRDefault="00E40B03" w:rsidP="00564898">
            <w:r w:rsidRPr="002E3757">
              <w:t>Board Meeting Date</w:t>
            </w:r>
            <w:r w:rsidR="007B1B31" w:rsidRPr="002E3757">
              <w:t>:</w:t>
            </w:r>
          </w:p>
        </w:tc>
        <w:tc>
          <w:tcPr>
            <w:tcW w:w="5677" w:type="dxa"/>
          </w:tcPr>
          <w:p w14:paraId="44C8ADAB" w14:textId="62B94734" w:rsidR="007B1B31" w:rsidRPr="002E3757" w:rsidRDefault="001D3E18" w:rsidP="00564898">
            <w:r>
              <w:t>28 September 2023</w:t>
            </w:r>
          </w:p>
        </w:tc>
      </w:tr>
    </w:tbl>
    <w:p w14:paraId="31F2C837" w14:textId="2CC1F83B" w:rsidR="00B10356" w:rsidRPr="002E3757" w:rsidRDefault="00B10356" w:rsidP="00564898"/>
    <w:tbl>
      <w:tblPr>
        <w:tblStyle w:val="TableGrid"/>
        <w:tblW w:w="0" w:type="auto"/>
        <w:tblLook w:val="04A0" w:firstRow="1" w:lastRow="0" w:firstColumn="1" w:lastColumn="0" w:noHBand="0" w:noVBand="1"/>
      </w:tblPr>
      <w:tblGrid>
        <w:gridCol w:w="9016"/>
      </w:tblGrid>
      <w:tr w:rsidR="00B10356" w:rsidRPr="002E3757" w14:paraId="17636BA9" w14:textId="77777777" w:rsidTr="75B0EBEA">
        <w:tc>
          <w:tcPr>
            <w:tcW w:w="9016" w:type="dxa"/>
            <w:shd w:val="clear" w:color="auto" w:fill="DEEAF6" w:themeFill="accent1" w:themeFillTint="33"/>
          </w:tcPr>
          <w:p w14:paraId="1AD924BF" w14:textId="74BCB40A" w:rsidR="00B10356" w:rsidRPr="002E3757" w:rsidRDefault="00B10356" w:rsidP="00564898">
            <w:r w:rsidRPr="002E3757">
              <w:t>Overview of Key Activities During the Month</w:t>
            </w:r>
          </w:p>
        </w:tc>
      </w:tr>
      <w:tr w:rsidR="00B10356" w:rsidRPr="002E3757" w14:paraId="374EF266" w14:textId="77777777" w:rsidTr="75B0EBEA">
        <w:tc>
          <w:tcPr>
            <w:tcW w:w="9016" w:type="dxa"/>
          </w:tcPr>
          <w:p w14:paraId="2717D323" w14:textId="3D48B7F2" w:rsidR="00564898" w:rsidRPr="00307875" w:rsidRDefault="00564898" w:rsidP="00564898">
            <w:pPr>
              <w:pStyle w:val="Heading2"/>
              <w:rPr>
                <w:rFonts w:ascii="Ubuntu" w:hAnsi="Ubuntu" w:cs="Calibri"/>
                <w:sz w:val="24"/>
                <w:szCs w:val="24"/>
              </w:rPr>
            </w:pPr>
            <w:r w:rsidRPr="00307875">
              <w:rPr>
                <w:rFonts w:ascii="Ubuntu" w:hAnsi="Ubuntu" w:cs="Calibri"/>
                <w:sz w:val="24"/>
                <w:szCs w:val="24"/>
              </w:rPr>
              <w:t xml:space="preserve">Trauma Framework: Accessible version: </w:t>
            </w:r>
          </w:p>
          <w:p w14:paraId="580BB463" w14:textId="6347709E" w:rsidR="00564898" w:rsidRPr="00307875" w:rsidRDefault="000F6D41" w:rsidP="00307875">
            <w:pPr>
              <w:jc w:val="both"/>
              <w:rPr>
                <w:rFonts w:cs="Calibri"/>
              </w:rPr>
            </w:pPr>
            <w:r w:rsidRPr="00307875">
              <w:rPr>
                <w:rFonts w:cs="Calibri"/>
              </w:rPr>
              <w:t>An accessible version of the Trauma Framework was developed to ensure it meets all the required standards regarding accessibility and that it conforms to the national ‘reading age’ in English and Welsh with supporting materials and further versions in other languages.</w:t>
            </w:r>
          </w:p>
          <w:p w14:paraId="54142F87" w14:textId="0582D7BE" w:rsidR="00564898" w:rsidRPr="00307875" w:rsidRDefault="00564898" w:rsidP="00307875">
            <w:pPr>
              <w:jc w:val="both"/>
              <w:rPr>
                <w:rFonts w:cs="Calibri"/>
              </w:rPr>
            </w:pPr>
            <w:r w:rsidRPr="00307875">
              <w:rPr>
                <w:rFonts w:cs="Calibri"/>
              </w:rPr>
              <w:t xml:space="preserve"> </w:t>
            </w:r>
            <w:hyperlink r:id="rId16" w:history="1">
              <w:r w:rsidRPr="00307875">
                <w:rPr>
                  <w:rStyle w:val="Hyperlink"/>
                  <w:rFonts w:cs="Calibri"/>
                </w:rPr>
                <w:t>https://traumaframeworkcymru.com/wp-content/uploads/2022/07/Trauma-Informed-Wales-Framework.pdf</w:t>
              </w:r>
            </w:hyperlink>
            <w:r w:rsidRPr="00307875">
              <w:rPr>
                <w:rFonts w:cs="Calibri"/>
              </w:rPr>
              <w:t xml:space="preserve"> </w:t>
            </w:r>
          </w:p>
          <w:p w14:paraId="257027A9" w14:textId="77777777" w:rsidR="00564898" w:rsidRPr="00307875" w:rsidRDefault="00564898" w:rsidP="00564898">
            <w:pPr>
              <w:rPr>
                <w:rFonts w:cs="Calibri"/>
              </w:rPr>
            </w:pPr>
          </w:p>
          <w:p w14:paraId="0B0BD7A9" w14:textId="3ED8024A" w:rsidR="00564898" w:rsidRPr="00307875" w:rsidRDefault="007349A1" w:rsidP="005256EC">
            <w:pPr>
              <w:pStyle w:val="Heading2"/>
              <w:rPr>
                <w:rFonts w:ascii="Ubuntu" w:hAnsi="Ubuntu" w:cs="Calibri"/>
                <w:sz w:val="24"/>
                <w:szCs w:val="24"/>
              </w:rPr>
            </w:pPr>
            <w:r w:rsidRPr="00307875">
              <w:rPr>
                <w:rFonts w:ascii="Ubuntu" w:hAnsi="Ubuntu" w:cs="Calibri"/>
                <w:sz w:val="24"/>
                <w:szCs w:val="24"/>
              </w:rPr>
              <w:t>Improving accessibility of</w:t>
            </w:r>
            <w:r w:rsidR="00564898" w:rsidRPr="00307875">
              <w:rPr>
                <w:rFonts w:ascii="Ubuntu" w:hAnsi="Ubuntu" w:cs="Calibri"/>
                <w:sz w:val="24"/>
                <w:szCs w:val="24"/>
              </w:rPr>
              <w:t xml:space="preserve"> behavioural science resources: </w:t>
            </w:r>
          </w:p>
          <w:p w14:paraId="52DDBAE7" w14:textId="247C6D36" w:rsidR="00564898" w:rsidRPr="00307875" w:rsidRDefault="000C2445" w:rsidP="00307875">
            <w:pPr>
              <w:jc w:val="both"/>
              <w:rPr>
                <w:rFonts w:cs="Calibri"/>
              </w:rPr>
            </w:pPr>
            <w:r w:rsidRPr="00307875">
              <w:rPr>
                <w:rFonts w:cs="Calibri"/>
              </w:rPr>
              <w:t>The Be</w:t>
            </w:r>
            <w:r w:rsidR="007349A1" w:rsidRPr="00307875">
              <w:rPr>
                <w:rFonts w:cs="Calibri"/>
              </w:rPr>
              <w:t xml:space="preserve">havioural </w:t>
            </w:r>
            <w:r w:rsidRPr="00307875">
              <w:rPr>
                <w:rFonts w:cs="Calibri"/>
              </w:rPr>
              <w:t>Sci</w:t>
            </w:r>
            <w:r w:rsidR="007349A1" w:rsidRPr="00307875">
              <w:rPr>
                <w:rFonts w:cs="Calibri"/>
              </w:rPr>
              <w:t>ence</w:t>
            </w:r>
            <w:r w:rsidRPr="00307875">
              <w:rPr>
                <w:rFonts w:cs="Calibri"/>
              </w:rPr>
              <w:t xml:space="preserve"> Unit </w:t>
            </w:r>
            <w:r w:rsidR="007349A1" w:rsidRPr="00307875">
              <w:rPr>
                <w:rFonts w:cs="Calibri"/>
              </w:rPr>
              <w:t xml:space="preserve">has </w:t>
            </w:r>
            <w:r w:rsidRPr="00307875">
              <w:rPr>
                <w:rFonts w:cs="Calibri"/>
              </w:rPr>
              <w:t xml:space="preserve">provided access to curated behavioural science resources from across the globe, including those produced by </w:t>
            </w:r>
            <w:r w:rsidR="007349A1" w:rsidRPr="00307875">
              <w:rPr>
                <w:rFonts w:cs="Calibri"/>
              </w:rPr>
              <w:t>Public Health Wales</w:t>
            </w:r>
            <w:r w:rsidRPr="00307875">
              <w:rPr>
                <w:rFonts w:cs="Calibri"/>
              </w:rPr>
              <w:t>, to support the routine application of behavioural science across the public health system in Wales. The resources include theories, models, techniques, guides, tools and frameworks which can be used in practice for applying behavioural science to services, policy, improvement or communication designed to influence behaviour.</w:t>
            </w:r>
          </w:p>
          <w:p w14:paraId="1F580DA8" w14:textId="10DC9437" w:rsidR="00564898" w:rsidRPr="00307875" w:rsidRDefault="00564898" w:rsidP="00307875">
            <w:pPr>
              <w:jc w:val="both"/>
              <w:rPr>
                <w:rFonts w:cs="Calibri"/>
              </w:rPr>
            </w:pPr>
            <w:r w:rsidRPr="00307875">
              <w:rPr>
                <w:rFonts w:cs="Calibri"/>
              </w:rPr>
              <w:t xml:space="preserve"> </w:t>
            </w:r>
            <w:hyperlink r:id="rId17" w:history="1">
              <w:r w:rsidR="005256EC" w:rsidRPr="00307875">
                <w:rPr>
                  <w:rStyle w:val="Hyperlink"/>
                  <w:rFonts w:cs="Calibri"/>
                </w:rPr>
                <w:t>https://phwwhocc.co.uk/bsu/resources/</w:t>
              </w:r>
            </w:hyperlink>
            <w:r w:rsidR="005256EC" w:rsidRPr="00307875">
              <w:rPr>
                <w:rFonts w:cs="Calibri"/>
              </w:rPr>
              <w:t xml:space="preserve"> </w:t>
            </w:r>
          </w:p>
          <w:p w14:paraId="5C25F5AE" w14:textId="72AA80D4" w:rsidR="0019503B" w:rsidRPr="00307875" w:rsidRDefault="0019503B" w:rsidP="007349A1"/>
        </w:tc>
      </w:tr>
      <w:tr w:rsidR="00B10356" w:rsidRPr="002E3757" w14:paraId="61340BBD" w14:textId="77777777" w:rsidTr="75B0EBEA">
        <w:tc>
          <w:tcPr>
            <w:tcW w:w="9016" w:type="dxa"/>
            <w:shd w:val="clear" w:color="auto" w:fill="DEEAF6" w:themeFill="accent1" w:themeFillTint="33"/>
          </w:tcPr>
          <w:p w14:paraId="6AB5F2E4" w14:textId="2D4AE596" w:rsidR="00B10356" w:rsidRPr="002E3757" w:rsidRDefault="00B10356" w:rsidP="00564898">
            <w:r w:rsidRPr="002E3757">
              <w:t xml:space="preserve">Successes  </w:t>
            </w:r>
          </w:p>
        </w:tc>
      </w:tr>
      <w:tr w:rsidR="00B10356" w:rsidRPr="002E3757" w14:paraId="0A1CADB7" w14:textId="77777777" w:rsidTr="75B0EBEA">
        <w:tc>
          <w:tcPr>
            <w:tcW w:w="9016" w:type="dxa"/>
          </w:tcPr>
          <w:p w14:paraId="5953E2EA" w14:textId="77777777" w:rsidR="007349A1" w:rsidRPr="00307875" w:rsidRDefault="007349A1" w:rsidP="00307875">
            <w:pPr>
              <w:pStyle w:val="Heading2"/>
              <w:jc w:val="both"/>
              <w:rPr>
                <w:rFonts w:ascii="Ubuntu" w:hAnsi="Ubuntu" w:cs="Calibri"/>
                <w:sz w:val="24"/>
                <w:szCs w:val="24"/>
              </w:rPr>
            </w:pPr>
            <w:r w:rsidRPr="00307875">
              <w:rPr>
                <w:rFonts w:ascii="Ubuntu" w:hAnsi="Ubuntu" w:cs="Calibri"/>
                <w:sz w:val="24"/>
                <w:szCs w:val="24"/>
              </w:rPr>
              <w:lastRenderedPageBreak/>
              <w:t xml:space="preserve">Our Well-being Statement 2023: </w:t>
            </w:r>
          </w:p>
          <w:p w14:paraId="0234FDCF" w14:textId="6D2F09A2" w:rsidR="007349A1" w:rsidRPr="00307875" w:rsidRDefault="007349A1" w:rsidP="00307875">
            <w:pPr>
              <w:jc w:val="both"/>
              <w:rPr>
                <w:rFonts w:cs="Calibri"/>
              </w:rPr>
            </w:pPr>
            <w:r w:rsidRPr="00307875">
              <w:rPr>
                <w:rFonts w:cs="Calibri"/>
              </w:rPr>
              <w:t>The Health and Sustainability Hub, working with colleagues from across the organisation refreshed Public</w:t>
            </w:r>
            <w:r w:rsidR="00783562" w:rsidRPr="00307875">
              <w:rPr>
                <w:rFonts w:cs="Calibri"/>
              </w:rPr>
              <w:t xml:space="preserve"> </w:t>
            </w:r>
            <w:r w:rsidRPr="00307875">
              <w:rPr>
                <w:rFonts w:cs="Calibri"/>
              </w:rPr>
              <w:t>Health Wales’ Well-being statement to accompany the revised Long Term Strategy (LTS), as a legal response to the Well-being of Future Generations Act (2015). The Statement will be published alongside the Long Term Strategy and outlines:</w:t>
            </w:r>
          </w:p>
          <w:p w14:paraId="45F996A9" w14:textId="77777777" w:rsidR="007349A1" w:rsidRPr="00307875" w:rsidRDefault="007349A1" w:rsidP="00307875">
            <w:pPr>
              <w:pStyle w:val="ListParagraph"/>
              <w:numPr>
                <w:ilvl w:val="0"/>
                <w:numId w:val="5"/>
              </w:numPr>
              <w:jc w:val="both"/>
              <w:rPr>
                <w:rFonts w:cs="Calibri"/>
              </w:rPr>
            </w:pPr>
            <w:r w:rsidRPr="00307875">
              <w:rPr>
                <w:rFonts w:cs="Calibri"/>
              </w:rPr>
              <w:t>How we have developed our Long-term strategy and set our objectives to maximise our contribution to the National Well-being Goals.</w:t>
            </w:r>
          </w:p>
          <w:p w14:paraId="1315AE89" w14:textId="77777777" w:rsidR="007349A1" w:rsidRPr="00307875" w:rsidRDefault="007349A1" w:rsidP="00307875">
            <w:pPr>
              <w:pStyle w:val="ListParagraph"/>
              <w:numPr>
                <w:ilvl w:val="0"/>
                <w:numId w:val="5"/>
              </w:numPr>
              <w:jc w:val="both"/>
              <w:rPr>
                <w:rFonts w:cs="Calibri"/>
              </w:rPr>
            </w:pPr>
            <w:r w:rsidRPr="00307875">
              <w:rPr>
                <w:rFonts w:cs="Calibri"/>
              </w:rPr>
              <w:t>How we are applying the Sustainable Development Principle and highlighting good practice across the organisation.</w:t>
            </w:r>
          </w:p>
          <w:p w14:paraId="41D57FC8" w14:textId="77777777" w:rsidR="007349A1" w:rsidRPr="00307875" w:rsidRDefault="007349A1" w:rsidP="00307875">
            <w:pPr>
              <w:pStyle w:val="ListParagraph"/>
              <w:numPr>
                <w:ilvl w:val="0"/>
                <w:numId w:val="5"/>
              </w:numPr>
              <w:jc w:val="both"/>
              <w:rPr>
                <w:rFonts w:cs="Calibri"/>
              </w:rPr>
            </w:pPr>
            <w:r w:rsidRPr="00307875">
              <w:rPr>
                <w:rFonts w:cs="Calibri"/>
              </w:rPr>
              <w:t>How we will monitor and measure our impact and contribution as an organisation and to the health and well-being of people in Wales.</w:t>
            </w:r>
          </w:p>
          <w:p w14:paraId="18DD1F61" w14:textId="77777777" w:rsidR="007349A1" w:rsidRPr="00307875" w:rsidRDefault="0019503B" w:rsidP="00307875">
            <w:pPr>
              <w:jc w:val="both"/>
              <w:rPr>
                <w:rStyle w:val="Hyperlink"/>
                <w:rFonts w:cs="Calibri"/>
              </w:rPr>
            </w:pPr>
            <w:hyperlink r:id="rId18" w:history="1">
              <w:r w:rsidR="007349A1" w:rsidRPr="00307875">
                <w:rPr>
                  <w:rStyle w:val="Hyperlink"/>
                  <w:rFonts w:cs="Calibri"/>
                </w:rPr>
                <w:t>https://phw.nhs.wales/about-us/working-together-for-a-healthier-wales/wellbeing-statement/</w:t>
              </w:r>
            </w:hyperlink>
          </w:p>
          <w:p w14:paraId="4046B808" w14:textId="77777777" w:rsidR="007349A1" w:rsidRPr="00307875" w:rsidRDefault="007349A1" w:rsidP="00307875">
            <w:pPr>
              <w:jc w:val="both"/>
              <w:rPr>
                <w:rStyle w:val="Hyperlink"/>
                <w:rFonts w:cs="Calibri"/>
              </w:rPr>
            </w:pPr>
          </w:p>
          <w:p w14:paraId="2B458450" w14:textId="77777777" w:rsidR="007349A1" w:rsidRPr="00307875" w:rsidRDefault="007349A1" w:rsidP="00307875">
            <w:pPr>
              <w:pStyle w:val="Heading2"/>
              <w:jc w:val="both"/>
              <w:rPr>
                <w:rFonts w:ascii="Ubuntu" w:hAnsi="Ubuntu" w:cs="Calibri"/>
                <w:sz w:val="24"/>
                <w:szCs w:val="24"/>
              </w:rPr>
            </w:pPr>
            <w:r w:rsidRPr="00307875">
              <w:rPr>
                <w:rFonts w:ascii="Ubuntu" w:hAnsi="Ubuntu" w:cs="Calibri"/>
                <w:sz w:val="24"/>
                <w:szCs w:val="24"/>
              </w:rPr>
              <w:t xml:space="preserve">Implementation plan for the 'Wales Without Violence: A Shared Framework for Preventing Violence among Children and Young People' to support focus of local areas in developing their approach to violence prevention for the Serious Violence Duty: </w:t>
            </w:r>
          </w:p>
          <w:p w14:paraId="24F1CCB4" w14:textId="77777777" w:rsidR="007349A1" w:rsidRPr="00307875" w:rsidRDefault="007349A1" w:rsidP="00307875">
            <w:pPr>
              <w:jc w:val="both"/>
              <w:rPr>
                <w:rFonts w:cs="Calibri"/>
              </w:rPr>
            </w:pPr>
            <w:r w:rsidRPr="00307875">
              <w:rPr>
                <w:rFonts w:cs="Calibri"/>
              </w:rPr>
              <w:t>The Framework, launched in April 2022, will be used by partners to support local areas in developing their approach to violence prevention for the Serious Violence Duty. The implementation plan sets out the actions that will be undertaken by the Wales Violence Prevention Unit (VPU) in 2023/24. The plan comprises nine strategic themes which represent the strategies set out in the Wales Without Violence Framework. Together, these themes represent a whole system approach to the prevention of violence among children and young people.  </w:t>
            </w:r>
          </w:p>
          <w:p w14:paraId="166C54A0" w14:textId="77777777" w:rsidR="007349A1" w:rsidRPr="00307875" w:rsidRDefault="0019503B" w:rsidP="00307875">
            <w:pPr>
              <w:jc w:val="both"/>
              <w:rPr>
                <w:rFonts w:cs="Calibri"/>
              </w:rPr>
            </w:pPr>
            <w:hyperlink r:id="rId19" w:history="1">
              <w:r w:rsidR="007349A1" w:rsidRPr="00307875">
                <w:rPr>
                  <w:rStyle w:val="Hyperlink"/>
                  <w:rFonts w:cs="Calibri"/>
                </w:rPr>
                <w:t>https://waleswithoutviolence.com/wp-content/uploads/2023/04/WWV-Framework-Digital-English.pdf</w:t>
              </w:r>
            </w:hyperlink>
          </w:p>
          <w:p w14:paraId="24B3359E" w14:textId="16F8529A" w:rsidR="00B10356" w:rsidRPr="00307875" w:rsidRDefault="00B10356" w:rsidP="00307875">
            <w:pPr>
              <w:jc w:val="both"/>
              <w:rPr>
                <w:rFonts w:cs="Calibri"/>
              </w:rPr>
            </w:pPr>
          </w:p>
        </w:tc>
      </w:tr>
      <w:tr w:rsidR="00B10356" w:rsidRPr="002E3757" w14:paraId="1F67607A" w14:textId="77777777" w:rsidTr="75B0EBEA">
        <w:tc>
          <w:tcPr>
            <w:tcW w:w="9016" w:type="dxa"/>
            <w:shd w:val="clear" w:color="auto" w:fill="DEEAF6" w:themeFill="accent1" w:themeFillTint="33"/>
          </w:tcPr>
          <w:p w14:paraId="09410B9E" w14:textId="11DC4AA1" w:rsidR="00B10356" w:rsidRPr="002E3757" w:rsidRDefault="00751697" w:rsidP="00564898">
            <w:r w:rsidRPr="002E3757">
              <w:t>Any Concerns being managed:</w:t>
            </w:r>
            <w:r w:rsidR="003C76E8" w:rsidRPr="002E3757">
              <w:t xml:space="preserve"> </w:t>
            </w:r>
          </w:p>
        </w:tc>
      </w:tr>
      <w:tr w:rsidR="00B10356" w:rsidRPr="002E3757" w14:paraId="2A1A82E0" w14:textId="77777777" w:rsidTr="75B0EBEA">
        <w:tc>
          <w:tcPr>
            <w:tcW w:w="9016" w:type="dxa"/>
          </w:tcPr>
          <w:p w14:paraId="05A8711F" w14:textId="69D3224F" w:rsidR="000026B2" w:rsidRPr="00307875" w:rsidRDefault="007349A1" w:rsidP="00307875">
            <w:pPr>
              <w:jc w:val="both"/>
              <w:rPr>
                <w:rFonts w:cs="Calibri"/>
              </w:rPr>
            </w:pPr>
            <w:r w:rsidRPr="00307875">
              <w:rPr>
                <w:rFonts w:cs="Calibri"/>
              </w:rPr>
              <w:t xml:space="preserve">Public Health Wales have </w:t>
            </w:r>
            <w:r w:rsidR="00783562" w:rsidRPr="00307875">
              <w:rPr>
                <w:rFonts w:cs="Calibri"/>
              </w:rPr>
              <w:t>received a</w:t>
            </w:r>
            <w:r w:rsidRPr="00307875">
              <w:rPr>
                <w:rFonts w:cs="Calibri"/>
              </w:rPr>
              <w:t xml:space="preserve"> </w:t>
            </w:r>
            <w:r w:rsidR="00194614" w:rsidRPr="00307875">
              <w:rPr>
                <w:rFonts w:cs="Calibri"/>
              </w:rPr>
              <w:t>request</w:t>
            </w:r>
            <w:r w:rsidR="00783562" w:rsidRPr="00307875">
              <w:rPr>
                <w:rFonts w:cs="Calibri"/>
              </w:rPr>
              <w:t xml:space="preserve"> from</w:t>
            </w:r>
            <w:r w:rsidR="00194614" w:rsidRPr="00307875">
              <w:rPr>
                <w:rFonts w:cs="Calibri"/>
              </w:rPr>
              <w:t xml:space="preserve"> Welsh Government to support the implementation of the forthcoming regulations relating to Health Impact Assessments</w:t>
            </w:r>
            <w:r w:rsidR="00783562" w:rsidRPr="00307875">
              <w:rPr>
                <w:rFonts w:cs="Calibri"/>
              </w:rPr>
              <w:t>,</w:t>
            </w:r>
            <w:r w:rsidR="00194614" w:rsidRPr="00307875">
              <w:rPr>
                <w:rFonts w:cs="Calibri"/>
              </w:rPr>
              <w:t xml:space="preserve"> as part of the Public Health (Wales) Act 2017. This requires the organisation to:  </w:t>
            </w:r>
          </w:p>
          <w:p w14:paraId="2EC07889" w14:textId="77777777" w:rsidR="00194614" w:rsidRPr="00307875" w:rsidRDefault="00194614" w:rsidP="00307875">
            <w:pPr>
              <w:pStyle w:val="Default"/>
              <w:numPr>
                <w:ilvl w:val="0"/>
                <w:numId w:val="6"/>
              </w:numPr>
              <w:jc w:val="both"/>
              <w:rPr>
                <w:rFonts w:ascii="Ubuntu" w:hAnsi="Ubuntu" w:cs="Calibri"/>
              </w:rPr>
            </w:pPr>
            <w:r w:rsidRPr="00307875">
              <w:rPr>
                <w:rFonts w:ascii="Ubuntu" w:hAnsi="Ubuntu" w:cs="Calibri"/>
              </w:rPr>
              <w:t xml:space="preserve">produce </w:t>
            </w:r>
            <w:r w:rsidRPr="00307875">
              <w:rPr>
                <w:rFonts w:ascii="Ubuntu" w:hAnsi="Ubuntu" w:cs="Calibri"/>
                <w:iCs/>
              </w:rPr>
              <w:t>guidance for public bodies</w:t>
            </w:r>
            <w:r w:rsidRPr="00307875">
              <w:rPr>
                <w:rFonts w:ascii="Ubuntu" w:hAnsi="Ubuntu" w:cs="Calibri"/>
              </w:rPr>
              <w:t xml:space="preserve">; </w:t>
            </w:r>
          </w:p>
          <w:p w14:paraId="79CBDE1B" w14:textId="7FBEA297" w:rsidR="00194614" w:rsidRPr="00307875" w:rsidRDefault="00194614" w:rsidP="00307875">
            <w:pPr>
              <w:pStyle w:val="Default"/>
              <w:numPr>
                <w:ilvl w:val="0"/>
                <w:numId w:val="6"/>
              </w:numPr>
              <w:jc w:val="both"/>
              <w:rPr>
                <w:rFonts w:ascii="Ubuntu" w:hAnsi="Ubuntu" w:cs="Calibri"/>
              </w:rPr>
            </w:pPr>
            <w:r w:rsidRPr="00307875">
              <w:rPr>
                <w:rFonts w:ascii="Ubuntu" w:hAnsi="Ubuntu" w:cs="Calibri"/>
              </w:rPr>
              <w:t xml:space="preserve">produce </w:t>
            </w:r>
            <w:r w:rsidRPr="00307875">
              <w:rPr>
                <w:rFonts w:ascii="Ubuntu" w:hAnsi="Ubuntu" w:cs="Calibri"/>
                <w:iCs/>
              </w:rPr>
              <w:t>an annual plan on how it will support public bodies to comply with their duties in relation to HIAs</w:t>
            </w:r>
            <w:r w:rsidRPr="00307875">
              <w:rPr>
                <w:rFonts w:ascii="Ubuntu" w:hAnsi="Ubuntu" w:cs="Calibri"/>
              </w:rPr>
              <w:t xml:space="preserve">. </w:t>
            </w:r>
          </w:p>
          <w:p w14:paraId="5A7663E5" w14:textId="77777777" w:rsidR="0019503B" w:rsidRDefault="00194614" w:rsidP="0019503B">
            <w:pPr>
              <w:jc w:val="both"/>
              <w:rPr>
                <w:rFonts w:cs="Calibri"/>
              </w:rPr>
            </w:pPr>
            <w:r w:rsidRPr="00307875">
              <w:rPr>
                <w:rFonts w:cs="Calibri"/>
              </w:rPr>
              <w:t xml:space="preserve">Work is underway to understand resource </w:t>
            </w:r>
            <w:r w:rsidR="00433B0D" w:rsidRPr="00307875">
              <w:rPr>
                <w:rFonts w:cs="Calibri"/>
              </w:rPr>
              <w:t xml:space="preserve">requirements for this, and the capacity of the Wales Health Impact Assessment Support Unit (WHIASU) to support. </w:t>
            </w:r>
          </w:p>
          <w:p w14:paraId="5BECE503" w14:textId="2541701A" w:rsidR="0019503B" w:rsidRPr="00307875" w:rsidRDefault="0019503B" w:rsidP="0019503B">
            <w:pPr>
              <w:jc w:val="both"/>
            </w:pPr>
          </w:p>
        </w:tc>
      </w:tr>
      <w:tr w:rsidR="00B10356" w:rsidRPr="002E3757" w14:paraId="62D76681" w14:textId="77777777" w:rsidTr="75B0EBEA">
        <w:tc>
          <w:tcPr>
            <w:tcW w:w="9016" w:type="dxa"/>
            <w:shd w:val="clear" w:color="auto" w:fill="DEEAF6" w:themeFill="accent1" w:themeFillTint="33"/>
          </w:tcPr>
          <w:p w14:paraId="27EA4EA2" w14:textId="4C60E68A" w:rsidR="00B10356" w:rsidRPr="002E3757" w:rsidRDefault="00B10356" w:rsidP="00564898">
            <w:r w:rsidRPr="002E3757">
              <w:t xml:space="preserve">Forward Look of key activities for next month </w:t>
            </w:r>
          </w:p>
        </w:tc>
      </w:tr>
      <w:tr w:rsidR="00B10356" w:rsidRPr="002E3757" w14:paraId="71ADD84F" w14:textId="77777777" w:rsidTr="75B0EBEA">
        <w:tc>
          <w:tcPr>
            <w:tcW w:w="9016" w:type="dxa"/>
          </w:tcPr>
          <w:p w14:paraId="1503508E" w14:textId="77777777" w:rsidR="00FB688E" w:rsidRPr="00307875" w:rsidRDefault="00FB688E" w:rsidP="00307875">
            <w:pPr>
              <w:pStyle w:val="Heading2"/>
              <w:jc w:val="both"/>
              <w:rPr>
                <w:rFonts w:ascii="Ubuntu" w:hAnsi="Ubuntu" w:cs="Calibri"/>
                <w:sz w:val="24"/>
                <w:szCs w:val="24"/>
              </w:rPr>
            </w:pPr>
            <w:r w:rsidRPr="00307875">
              <w:rPr>
                <w:rFonts w:ascii="Ubuntu" w:hAnsi="Ubuntu" w:cs="Calibri"/>
                <w:sz w:val="24"/>
                <w:szCs w:val="24"/>
              </w:rPr>
              <w:t xml:space="preserve">Children and the cost of living crisis in Wales: </w:t>
            </w:r>
          </w:p>
          <w:p w14:paraId="3B362284" w14:textId="77777777" w:rsidR="00FB688E" w:rsidRPr="00307875" w:rsidRDefault="00FB688E" w:rsidP="00307875">
            <w:pPr>
              <w:jc w:val="both"/>
              <w:rPr>
                <w:rFonts w:cs="Calibri"/>
              </w:rPr>
            </w:pPr>
            <w:r w:rsidRPr="00307875">
              <w:rPr>
                <w:rFonts w:cs="Calibri"/>
              </w:rPr>
              <w:t xml:space="preserve">Building on the report published in November 2022, </w:t>
            </w:r>
            <w:hyperlink r:id="rId20" w:history="1">
              <w:r w:rsidRPr="00307875">
                <w:rPr>
                  <w:rStyle w:val="Hyperlink"/>
                  <w:rFonts w:cs="Calibri"/>
                </w:rPr>
                <w:t>Cost of living crisis in Wales: A public health lens</w:t>
              </w:r>
            </w:hyperlink>
            <w:r w:rsidRPr="00307875">
              <w:rPr>
                <w:rFonts w:cs="Calibri"/>
              </w:rPr>
              <w:t xml:space="preserve">, this new report focusing on children will summarise the findings from a literature review of the impact of the cost of living crisis on children’s health and well-being and draw on the findings to make policy recommendations. The report is being developed and shared in order to inform the development of the Welsh Government's revised Child Poverty Strategy for Wales. </w:t>
            </w:r>
          </w:p>
          <w:p w14:paraId="592F73E9" w14:textId="6634C04B" w:rsidR="00564898" w:rsidRPr="00307875" w:rsidRDefault="00FB688E" w:rsidP="00307875">
            <w:pPr>
              <w:pStyle w:val="Heading2"/>
              <w:jc w:val="both"/>
              <w:rPr>
                <w:rFonts w:ascii="Ubuntu" w:hAnsi="Ubuntu" w:cs="Calibri"/>
                <w:sz w:val="24"/>
                <w:szCs w:val="24"/>
              </w:rPr>
            </w:pPr>
            <w:r w:rsidRPr="00307875">
              <w:rPr>
                <w:rFonts w:ascii="Ubuntu" w:hAnsi="Ubuntu" w:cs="Calibri"/>
                <w:sz w:val="24"/>
                <w:szCs w:val="24"/>
              </w:rPr>
              <w:t xml:space="preserve"> </w:t>
            </w:r>
          </w:p>
          <w:p w14:paraId="2A154A9D" w14:textId="58D8E016" w:rsidR="00564898" w:rsidRPr="00307875" w:rsidRDefault="00564898" w:rsidP="00307875">
            <w:pPr>
              <w:pStyle w:val="Heading2"/>
              <w:jc w:val="both"/>
              <w:rPr>
                <w:rFonts w:ascii="Ubuntu" w:hAnsi="Ubuntu" w:cs="Calibri"/>
                <w:sz w:val="24"/>
                <w:szCs w:val="24"/>
              </w:rPr>
            </w:pPr>
            <w:r w:rsidRPr="00307875">
              <w:rPr>
                <w:rFonts w:ascii="Ubuntu" w:hAnsi="Ubuntu" w:cs="Calibri"/>
                <w:sz w:val="24"/>
                <w:szCs w:val="24"/>
              </w:rPr>
              <w:t xml:space="preserve">Time to Talk Population Panel - Aug-2023 Survey: </w:t>
            </w:r>
          </w:p>
          <w:p w14:paraId="44D272E5" w14:textId="4CC9609B" w:rsidR="00564898" w:rsidRPr="00307875" w:rsidRDefault="00D773D5" w:rsidP="00307875">
            <w:pPr>
              <w:jc w:val="both"/>
              <w:rPr>
                <w:rFonts w:cs="Calibri"/>
              </w:rPr>
            </w:pPr>
            <w:r w:rsidRPr="00307875">
              <w:rPr>
                <w:rFonts w:cs="Calibri"/>
              </w:rPr>
              <w:t>The latest</w:t>
            </w:r>
            <w:r w:rsidR="00564898" w:rsidRPr="00307875">
              <w:rPr>
                <w:rFonts w:cs="Calibri"/>
              </w:rPr>
              <w:t xml:space="preserve"> report </w:t>
            </w:r>
            <w:r w:rsidRPr="00307875">
              <w:rPr>
                <w:rFonts w:cs="Calibri"/>
              </w:rPr>
              <w:t>will provide</w:t>
            </w:r>
            <w:r w:rsidR="00564898" w:rsidRPr="00307875">
              <w:rPr>
                <w:rFonts w:cs="Calibri"/>
              </w:rPr>
              <w:t xml:space="preserve"> a brief overview of the findings from the Time to Talk Public Health (TTPH) August 2023 survey. The survey covered six topics: emergency departments, campaigns, cost of living, dental health, bowel screening and post-natal weight management. </w:t>
            </w:r>
          </w:p>
          <w:p w14:paraId="588E82BF" w14:textId="4819680E" w:rsidR="00564898" w:rsidRPr="00307875" w:rsidRDefault="00564898" w:rsidP="00307875">
            <w:pPr>
              <w:jc w:val="both"/>
              <w:rPr>
                <w:rFonts w:cs="Calibri"/>
              </w:rPr>
            </w:pPr>
            <w:r w:rsidRPr="00307875">
              <w:rPr>
                <w:rFonts w:cs="Calibri"/>
              </w:rPr>
              <w:t>Two topics of interest emerged from the TTPH June 20</w:t>
            </w:r>
            <w:r w:rsidR="00D773D5" w:rsidRPr="00307875">
              <w:rPr>
                <w:rFonts w:cs="Calibri"/>
              </w:rPr>
              <w:t>23 survey;</w:t>
            </w:r>
            <w:r w:rsidRPr="00307875">
              <w:rPr>
                <w:rFonts w:cs="Calibri"/>
              </w:rPr>
              <w:t xml:space="preserve"> emergency departments and dental health. </w:t>
            </w:r>
            <w:r w:rsidR="00FB688E" w:rsidRPr="00307875">
              <w:rPr>
                <w:rFonts w:cs="Calibri"/>
              </w:rPr>
              <w:t>Further q</w:t>
            </w:r>
            <w:r w:rsidRPr="00307875">
              <w:rPr>
                <w:rFonts w:cs="Calibri"/>
              </w:rPr>
              <w:t xml:space="preserve">uestions on emergency departments are in development at the request of Welsh Government </w:t>
            </w:r>
            <w:r w:rsidR="00D773D5" w:rsidRPr="00307875">
              <w:rPr>
                <w:rFonts w:cs="Calibri"/>
              </w:rPr>
              <w:t xml:space="preserve">in order </w:t>
            </w:r>
            <w:r w:rsidRPr="00307875">
              <w:rPr>
                <w:rFonts w:cs="Calibri"/>
              </w:rPr>
              <w:t>to inform a quality statement on emergency departments to be published in late 2023 and engagement was made with the dental lead in Public Health Wales in order to design dental health questions. </w:t>
            </w:r>
          </w:p>
          <w:p w14:paraId="6E3AC522" w14:textId="335DBCAC" w:rsidR="00564898" w:rsidRPr="00307875" w:rsidRDefault="00564898" w:rsidP="00307875">
            <w:pPr>
              <w:jc w:val="both"/>
              <w:rPr>
                <w:rFonts w:cs="Calibri"/>
              </w:rPr>
            </w:pPr>
            <w:r w:rsidRPr="00307875">
              <w:rPr>
                <w:rFonts w:cs="Calibri"/>
              </w:rPr>
              <w:t>Cross-organisation working ha</w:t>
            </w:r>
            <w:r w:rsidR="00FB688E" w:rsidRPr="00307875">
              <w:rPr>
                <w:rFonts w:cs="Calibri"/>
              </w:rPr>
              <w:t>s facilitated the inclusion of</w:t>
            </w:r>
            <w:r w:rsidRPr="00307875">
              <w:rPr>
                <w:rFonts w:cs="Calibri"/>
              </w:rPr>
              <w:t xml:space="preserve"> </w:t>
            </w:r>
            <w:r w:rsidR="00FB688E" w:rsidRPr="00307875">
              <w:rPr>
                <w:rFonts w:cs="Calibri"/>
              </w:rPr>
              <w:t>a range of</w:t>
            </w:r>
            <w:r w:rsidRPr="00307875">
              <w:rPr>
                <w:rFonts w:cs="Calibri"/>
              </w:rPr>
              <w:t xml:space="preserve"> topic areas</w:t>
            </w:r>
            <w:r w:rsidR="00FB688E" w:rsidRPr="00307875">
              <w:rPr>
                <w:rFonts w:cs="Calibri"/>
              </w:rPr>
              <w:t xml:space="preserve"> to date</w:t>
            </w:r>
            <w:r w:rsidRPr="00307875">
              <w:rPr>
                <w:rFonts w:cs="Calibri"/>
              </w:rPr>
              <w:t>.  Additional stakeholder engagement has been undertaken throughout August to reach out to different organisations across Wales on the utility of the panel as well asking organisations to circulate TTPH materials amongst their networks and encourage members of the public to sign up to the panel. </w:t>
            </w:r>
          </w:p>
          <w:p w14:paraId="4008B52D" w14:textId="77777777" w:rsidR="00564898" w:rsidRPr="00307875" w:rsidRDefault="00564898" w:rsidP="00307875">
            <w:pPr>
              <w:jc w:val="both"/>
              <w:rPr>
                <w:rFonts w:cs="Calibri"/>
              </w:rPr>
            </w:pPr>
          </w:p>
          <w:p w14:paraId="752898AD" w14:textId="4125DE04" w:rsidR="00564898" w:rsidRPr="00307875" w:rsidRDefault="00564898" w:rsidP="00307875">
            <w:pPr>
              <w:pStyle w:val="Heading2"/>
              <w:jc w:val="both"/>
              <w:rPr>
                <w:rFonts w:ascii="Ubuntu" w:hAnsi="Ubuntu" w:cs="Calibri"/>
                <w:sz w:val="24"/>
                <w:szCs w:val="24"/>
              </w:rPr>
            </w:pPr>
            <w:r w:rsidRPr="00307875">
              <w:rPr>
                <w:rFonts w:ascii="Ubuntu" w:hAnsi="Ubuntu" w:cs="Calibri"/>
                <w:sz w:val="24"/>
                <w:szCs w:val="24"/>
              </w:rPr>
              <w:t xml:space="preserve">The rising cost of living and health and wellbeing in Wales: A national survey: </w:t>
            </w:r>
          </w:p>
          <w:p w14:paraId="58CCDF21" w14:textId="2F0260FB" w:rsidR="00564898" w:rsidRPr="00307875" w:rsidRDefault="00E472D5" w:rsidP="00307875">
            <w:pPr>
              <w:jc w:val="both"/>
              <w:rPr>
                <w:rFonts w:cs="Calibri"/>
              </w:rPr>
            </w:pPr>
            <w:r w:rsidRPr="00307875">
              <w:rPr>
                <w:rFonts w:cs="Calibri"/>
              </w:rPr>
              <w:t>'The rising cost of living and health and wellbeing in Wales' report will present the findings including behavioural impacts, decision-making, and awareness of and access to financial support and schemes during the rising cost of living. The findings will help inform sustainable and equitable public health responses to the cost of living in Wales. The survey was carried out between November 2022 and March 2023</w:t>
            </w:r>
            <w:r w:rsidR="00564898" w:rsidRPr="00307875">
              <w:rPr>
                <w:rFonts w:cs="Calibri"/>
              </w:rPr>
              <w:t xml:space="preserve">. </w:t>
            </w:r>
          </w:p>
          <w:p w14:paraId="4D3CEE4C" w14:textId="77777777" w:rsidR="00564898" w:rsidRPr="00307875" w:rsidRDefault="00564898" w:rsidP="00307875">
            <w:pPr>
              <w:jc w:val="both"/>
              <w:rPr>
                <w:rFonts w:cs="Calibri"/>
              </w:rPr>
            </w:pPr>
          </w:p>
          <w:p w14:paraId="661F81B9" w14:textId="26E1AC4F" w:rsidR="00564898" w:rsidRPr="00307875" w:rsidRDefault="00564898" w:rsidP="00307875">
            <w:pPr>
              <w:pStyle w:val="Heading2"/>
              <w:jc w:val="both"/>
              <w:rPr>
                <w:rFonts w:ascii="Ubuntu" w:hAnsi="Ubuntu" w:cs="Calibri"/>
                <w:sz w:val="24"/>
                <w:szCs w:val="24"/>
              </w:rPr>
            </w:pPr>
            <w:r w:rsidRPr="00307875">
              <w:rPr>
                <w:rFonts w:ascii="Ubuntu" w:hAnsi="Ubuntu" w:cs="Calibri"/>
                <w:sz w:val="24"/>
                <w:szCs w:val="24"/>
              </w:rPr>
              <w:t xml:space="preserve">International Horizon Scanning Report - Sept 2023 - Health Inequities: </w:t>
            </w:r>
          </w:p>
          <w:p w14:paraId="4B0FD946" w14:textId="45B420DB" w:rsidR="00564898" w:rsidRPr="00307875" w:rsidRDefault="00E472D5" w:rsidP="00307875">
            <w:pPr>
              <w:jc w:val="both"/>
              <w:rPr>
                <w:rFonts w:cs="Calibri"/>
              </w:rPr>
            </w:pPr>
            <w:r w:rsidRPr="00307875">
              <w:rPr>
                <w:rFonts w:cs="Calibri"/>
              </w:rPr>
              <w:t>This</w:t>
            </w:r>
            <w:r w:rsidR="00564898" w:rsidRPr="00307875">
              <w:rPr>
                <w:rFonts w:cs="Calibri"/>
              </w:rPr>
              <w:t xml:space="preserve"> report will introduce the ‘five essential conditions’ for a health life and highlight international examples of best practice to address health inequities. In particular, the report will share innovative and effective international approaches, specific frameworks used, and solutions to reduce health inequities. This will link with the WHESRi Solutions Platform and inform </w:t>
            </w:r>
            <w:r w:rsidR="00FB688E" w:rsidRPr="00307875">
              <w:rPr>
                <w:rFonts w:cs="Calibri"/>
              </w:rPr>
              <w:t>a</w:t>
            </w:r>
            <w:r w:rsidR="00564898" w:rsidRPr="00307875">
              <w:rPr>
                <w:rFonts w:cs="Calibri"/>
              </w:rPr>
              <w:t xml:space="preserve"> Policy Dialogue meeting</w:t>
            </w:r>
            <w:r w:rsidR="00FB688E" w:rsidRPr="00307875">
              <w:rPr>
                <w:rFonts w:cs="Calibri"/>
              </w:rPr>
              <w:t xml:space="preserve"> on the Well-being Economy</w:t>
            </w:r>
            <w:r w:rsidR="00564898" w:rsidRPr="00307875">
              <w:rPr>
                <w:rFonts w:cs="Calibri"/>
              </w:rPr>
              <w:t>. </w:t>
            </w:r>
          </w:p>
          <w:p w14:paraId="3A0F2D3E" w14:textId="77777777" w:rsidR="00564898" w:rsidRPr="00307875" w:rsidRDefault="00564898" w:rsidP="00307875">
            <w:pPr>
              <w:jc w:val="both"/>
              <w:rPr>
                <w:rFonts w:cs="Calibri"/>
              </w:rPr>
            </w:pPr>
            <w:r w:rsidRPr="00307875">
              <w:rPr>
                <w:rFonts w:cs="Calibri"/>
              </w:rPr>
              <w:t xml:space="preserve"> </w:t>
            </w:r>
          </w:p>
          <w:p w14:paraId="425A9C75" w14:textId="5858A4DB" w:rsidR="00564898" w:rsidRPr="00307875" w:rsidRDefault="00564898" w:rsidP="00307875">
            <w:pPr>
              <w:pStyle w:val="Heading2"/>
              <w:jc w:val="both"/>
              <w:rPr>
                <w:rFonts w:ascii="Ubuntu" w:hAnsi="Ubuntu" w:cs="Calibri"/>
                <w:sz w:val="24"/>
                <w:szCs w:val="24"/>
              </w:rPr>
            </w:pPr>
            <w:r w:rsidRPr="00307875">
              <w:rPr>
                <w:rFonts w:ascii="Ubuntu" w:hAnsi="Ubuntu" w:cs="Calibri"/>
                <w:sz w:val="24"/>
                <w:szCs w:val="24"/>
              </w:rPr>
              <w:t xml:space="preserve">Trauma Framework: Animation: </w:t>
            </w:r>
          </w:p>
          <w:p w14:paraId="07424CBF" w14:textId="537B827A" w:rsidR="00564898" w:rsidRPr="00307875" w:rsidRDefault="00E472D5" w:rsidP="00307875">
            <w:pPr>
              <w:jc w:val="both"/>
              <w:rPr>
                <w:rFonts w:cs="Calibri"/>
              </w:rPr>
            </w:pPr>
            <w:r w:rsidRPr="00307875">
              <w:rPr>
                <w:rFonts w:cs="Calibri"/>
              </w:rPr>
              <w:t>An animation is being developed to bring the Trauma Framework to life and will be published as part of the implementation phase.  The animation will be used on social media, at events and in training sessions to support organisations and will be hosted on the Trauma Framework website.</w:t>
            </w:r>
            <w:r w:rsidR="00564898" w:rsidRPr="00307875">
              <w:rPr>
                <w:rFonts w:cs="Calibri"/>
              </w:rPr>
              <w:t xml:space="preserve"> </w:t>
            </w:r>
          </w:p>
          <w:p w14:paraId="1474389B" w14:textId="77777777" w:rsidR="00564898" w:rsidRPr="00307875" w:rsidRDefault="00564898" w:rsidP="00307875">
            <w:pPr>
              <w:jc w:val="both"/>
              <w:rPr>
                <w:rFonts w:cs="Calibri"/>
              </w:rPr>
            </w:pPr>
          </w:p>
          <w:p w14:paraId="4BB7E5E8" w14:textId="77777777" w:rsidR="00FB688E" w:rsidRPr="00307875" w:rsidRDefault="00FB688E" w:rsidP="00307875">
            <w:pPr>
              <w:pStyle w:val="Heading2"/>
              <w:jc w:val="both"/>
              <w:rPr>
                <w:rFonts w:ascii="Ubuntu" w:hAnsi="Ubuntu" w:cs="Calibri"/>
                <w:sz w:val="24"/>
                <w:szCs w:val="24"/>
              </w:rPr>
            </w:pPr>
            <w:r w:rsidRPr="00307875">
              <w:rPr>
                <w:rFonts w:ascii="Ubuntu" w:hAnsi="Ubuntu" w:cs="Calibri"/>
                <w:sz w:val="24"/>
                <w:szCs w:val="24"/>
              </w:rPr>
              <w:t xml:space="preserve">Trade and Well-Being Future Generations Infographic: </w:t>
            </w:r>
          </w:p>
          <w:p w14:paraId="68FBE3F3" w14:textId="47A2F2CF" w:rsidR="00FB688E" w:rsidRPr="00307875" w:rsidRDefault="00FB688E" w:rsidP="00307875">
            <w:pPr>
              <w:pStyle w:val="Heading2"/>
              <w:jc w:val="both"/>
              <w:rPr>
                <w:rFonts w:ascii="Ubuntu" w:hAnsi="Ubuntu" w:cs="Calibri"/>
                <w:sz w:val="24"/>
                <w:szCs w:val="24"/>
              </w:rPr>
            </w:pPr>
            <w:r w:rsidRPr="00307875">
              <w:rPr>
                <w:rFonts w:ascii="Ubuntu" w:eastAsiaTheme="minorHAnsi" w:hAnsi="Ubuntu" w:cs="Calibri"/>
                <w:b w:val="0"/>
                <w:bCs w:val="0"/>
                <w:color w:val="auto"/>
                <w:sz w:val="24"/>
                <w:szCs w:val="24"/>
              </w:rPr>
              <w:t>An infographic is being developed to show how international trade agreements negotiated by the UK government may help or hinder the achievement of Wales's well-being goals, as set out in the Well-being of Future Generations Act.  The infographic and supporting materials summarise the potential impacts of the Comprehensive and Progressive Agreement for Trans-Pacific Partnership (CPTPP) using evidence from the Comprehensive and Progressive Agreement for Trans-Pacific Partnership Health Impact Assessment (HIA) Report. The infographic will be used to frame further discussions about what trade agreements would look like in a well-being economy, in order to develop recommendations for UK and Welsh governments on how to improve the negotiating process and content of future trade agreements so that they better protect and promote health and well-being.</w:t>
            </w:r>
          </w:p>
          <w:p w14:paraId="3EE1A619" w14:textId="1E26E26C" w:rsidR="00364146" w:rsidRPr="00E67FED" w:rsidRDefault="00364146" w:rsidP="00564898"/>
        </w:tc>
      </w:tr>
    </w:tbl>
    <w:p w14:paraId="285CB305" w14:textId="77777777" w:rsidR="00B10356" w:rsidRPr="002E3757" w:rsidRDefault="00B10356" w:rsidP="00564898"/>
    <w:p w14:paraId="0D6E12A2" w14:textId="77777777" w:rsidR="007B1B31" w:rsidRPr="002E3757" w:rsidRDefault="007B1B31" w:rsidP="00564898"/>
    <w:sectPr w:rsidR="007B1B31" w:rsidRPr="002E3757" w:rsidSect="00803B8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D67FC" w14:textId="77777777" w:rsidR="00F9303D" w:rsidRDefault="00F9303D" w:rsidP="00564898">
      <w:r>
        <w:separator/>
      </w:r>
    </w:p>
  </w:endnote>
  <w:endnote w:type="continuationSeparator" w:id="0">
    <w:p w14:paraId="7B95A250" w14:textId="77777777" w:rsidR="00F9303D" w:rsidRDefault="00F9303D" w:rsidP="0056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buntu">
    <w:altName w:val="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3B9C" w14:textId="77777777" w:rsidR="001D3E18" w:rsidRDefault="001D3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05"/>
      <w:gridCol w:w="3006"/>
    </w:tblGrid>
    <w:tr w:rsidR="002E3757" w:rsidRPr="00511AFF" w14:paraId="26ECE682" w14:textId="77777777" w:rsidTr="0031648E">
      <w:tc>
        <w:tcPr>
          <w:tcW w:w="3100" w:type="dxa"/>
        </w:tcPr>
        <w:p w14:paraId="33731921" w14:textId="7973F0C4" w:rsidR="002E3757" w:rsidRPr="00511AFF" w:rsidRDefault="002E3757" w:rsidP="00564898">
          <w:pPr>
            <w:pStyle w:val="Footer"/>
            <w:rPr>
              <w:b/>
            </w:rPr>
          </w:pPr>
        </w:p>
      </w:tc>
      <w:tc>
        <w:tcPr>
          <w:tcW w:w="3100" w:type="dxa"/>
        </w:tcPr>
        <w:p w14:paraId="6197D0F1" w14:textId="71C3A3E8" w:rsidR="002E3757" w:rsidRPr="00511AFF" w:rsidRDefault="002E3757" w:rsidP="00564898">
          <w:pPr>
            <w:pStyle w:val="Footer"/>
            <w:rPr>
              <w:b/>
            </w:rPr>
          </w:pPr>
        </w:p>
      </w:tc>
      <w:tc>
        <w:tcPr>
          <w:tcW w:w="3101" w:type="dxa"/>
        </w:tcPr>
        <w:p w14:paraId="1837921B" w14:textId="0DA0ED7E" w:rsidR="002E3757" w:rsidRPr="00511AFF" w:rsidRDefault="002E3757" w:rsidP="00564898">
          <w:pPr>
            <w:pStyle w:val="Footer"/>
            <w:rPr>
              <w:b/>
            </w:rPr>
          </w:pPr>
        </w:p>
      </w:tc>
    </w:tr>
  </w:tbl>
  <w:p w14:paraId="5493F022" w14:textId="77777777" w:rsidR="007B1B31" w:rsidRDefault="007B1B31" w:rsidP="005648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2645" w14:textId="77777777" w:rsidR="001D3E18" w:rsidRDefault="001D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ACC2" w14:textId="77777777" w:rsidR="00F9303D" w:rsidRDefault="00F9303D" w:rsidP="00564898">
      <w:r>
        <w:separator/>
      </w:r>
    </w:p>
  </w:footnote>
  <w:footnote w:type="continuationSeparator" w:id="0">
    <w:p w14:paraId="79F00075" w14:textId="77777777" w:rsidR="00F9303D" w:rsidRDefault="00F9303D" w:rsidP="00564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9E36" w14:textId="77777777" w:rsidR="001D3E18" w:rsidRDefault="001D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B0AB" w14:textId="77777777" w:rsidR="001D3E18" w:rsidRDefault="001D3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9F70" w14:textId="77777777" w:rsidR="001D3E18" w:rsidRDefault="001D3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506E0"/>
    <w:multiLevelType w:val="hybridMultilevel"/>
    <w:tmpl w:val="EF2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4F228F"/>
    <w:multiLevelType w:val="hybridMultilevel"/>
    <w:tmpl w:val="BCA8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4753E"/>
    <w:multiLevelType w:val="hybridMultilevel"/>
    <w:tmpl w:val="5DDE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545544">
    <w:abstractNumId w:val="2"/>
  </w:num>
  <w:num w:numId="2" w16cid:durableId="384574441">
    <w:abstractNumId w:val="0"/>
  </w:num>
  <w:num w:numId="3" w16cid:durableId="688485860">
    <w:abstractNumId w:val="5"/>
  </w:num>
  <w:num w:numId="4" w16cid:durableId="2036542716">
    <w:abstractNumId w:val="1"/>
  </w:num>
  <w:num w:numId="5" w16cid:durableId="819879938">
    <w:abstractNumId w:val="3"/>
  </w:num>
  <w:num w:numId="6" w16cid:durableId="1386219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C2445"/>
    <w:rsid w:val="000F6D41"/>
    <w:rsid w:val="00126766"/>
    <w:rsid w:val="00194614"/>
    <w:rsid w:val="0019503B"/>
    <w:rsid w:val="001A2B05"/>
    <w:rsid w:val="001A3FEE"/>
    <w:rsid w:val="001D3E18"/>
    <w:rsid w:val="00201E33"/>
    <w:rsid w:val="002E3757"/>
    <w:rsid w:val="00307875"/>
    <w:rsid w:val="00352F04"/>
    <w:rsid w:val="00364146"/>
    <w:rsid w:val="00382079"/>
    <w:rsid w:val="003C76E8"/>
    <w:rsid w:val="003E4797"/>
    <w:rsid w:val="003E7807"/>
    <w:rsid w:val="00427E98"/>
    <w:rsid w:val="00433B0D"/>
    <w:rsid w:val="00483A04"/>
    <w:rsid w:val="00504D75"/>
    <w:rsid w:val="005256EC"/>
    <w:rsid w:val="00545ED6"/>
    <w:rsid w:val="00553B2B"/>
    <w:rsid w:val="00564898"/>
    <w:rsid w:val="00567DAC"/>
    <w:rsid w:val="005A68A2"/>
    <w:rsid w:val="005A7605"/>
    <w:rsid w:val="00607099"/>
    <w:rsid w:val="0063220D"/>
    <w:rsid w:val="006501E1"/>
    <w:rsid w:val="006720F0"/>
    <w:rsid w:val="00720A6B"/>
    <w:rsid w:val="007349A1"/>
    <w:rsid w:val="00751697"/>
    <w:rsid w:val="00783562"/>
    <w:rsid w:val="007A4FCA"/>
    <w:rsid w:val="007B1B31"/>
    <w:rsid w:val="00803B8F"/>
    <w:rsid w:val="008535B2"/>
    <w:rsid w:val="00961B74"/>
    <w:rsid w:val="00A2469E"/>
    <w:rsid w:val="00A917AD"/>
    <w:rsid w:val="00B10356"/>
    <w:rsid w:val="00B32562"/>
    <w:rsid w:val="00BE5D9D"/>
    <w:rsid w:val="00C02BA6"/>
    <w:rsid w:val="00C07E3B"/>
    <w:rsid w:val="00D773D5"/>
    <w:rsid w:val="00D9184C"/>
    <w:rsid w:val="00DF727A"/>
    <w:rsid w:val="00E40B03"/>
    <w:rsid w:val="00E472D5"/>
    <w:rsid w:val="00E67FED"/>
    <w:rsid w:val="00F62B2A"/>
    <w:rsid w:val="00F9303D"/>
    <w:rsid w:val="00FB688E"/>
    <w:rsid w:val="75B0E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14AD"/>
  <w15:chartTrackingRefBased/>
  <w15:docId w15:val="{769752E3-747B-4335-A531-A1851AF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898"/>
    <w:pPr>
      <w:spacing w:after="0" w:line="240" w:lineRule="auto"/>
    </w:pPr>
    <w:rPr>
      <w:rFonts w:ascii="Ubuntu" w:hAnsi="Ubuntu"/>
      <w:sz w:val="24"/>
      <w:szCs w:val="24"/>
    </w:rPr>
  </w:style>
  <w:style w:type="paragraph" w:styleId="Heading1">
    <w:name w:val="heading 1"/>
    <w:basedOn w:val="Normal"/>
    <w:next w:val="Normal"/>
    <w:link w:val="Heading1Char"/>
    <w:uiPriority w:val="9"/>
    <w:qFormat/>
    <w:rsid w:val="00E67F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7FED"/>
    <w:pPr>
      <w:keepNext/>
      <w:keepLines/>
      <w:spacing w:before="4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E67FE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unhideWhenUsed/>
    <w:rsid w:val="00E40B03"/>
    <w:rPr>
      <w:sz w:val="20"/>
      <w:szCs w:val="20"/>
    </w:rPr>
  </w:style>
  <w:style w:type="character" w:customStyle="1" w:styleId="CommentTextChar">
    <w:name w:val="Comment Text Char"/>
    <w:basedOn w:val="DefaultParagraphFont"/>
    <w:link w:val="CommentText"/>
    <w:uiPriority w:val="99"/>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character" w:customStyle="1" w:styleId="Heading2Char">
    <w:name w:val="Heading 2 Char"/>
    <w:basedOn w:val="DefaultParagraphFont"/>
    <w:link w:val="Heading2"/>
    <w:uiPriority w:val="9"/>
    <w:rsid w:val="00E67FED"/>
    <w:rPr>
      <w:rFonts w:asciiTheme="majorHAnsi" w:eastAsiaTheme="majorEastAsia" w:hAnsiTheme="majorHAnsi" w:cstheme="majorBidi"/>
      <w:b/>
      <w:bCs/>
      <w:color w:val="2E74B5" w:themeColor="accent1" w:themeShade="BF"/>
      <w:sz w:val="26"/>
      <w:szCs w:val="26"/>
    </w:rPr>
  </w:style>
  <w:style w:type="character" w:customStyle="1" w:styleId="Heading1Char">
    <w:name w:val="Heading 1 Char"/>
    <w:basedOn w:val="DefaultParagraphFont"/>
    <w:link w:val="Heading1"/>
    <w:uiPriority w:val="9"/>
    <w:rsid w:val="00E67F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67F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67FED"/>
    <w:rPr>
      <w:color w:val="0563C1" w:themeColor="hyperlink"/>
      <w:u w:val="single"/>
    </w:rPr>
  </w:style>
  <w:style w:type="character" w:customStyle="1" w:styleId="UnresolvedMention1">
    <w:name w:val="Unresolved Mention1"/>
    <w:basedOn w:val="DefaultParagraphFont"/>
    <w:uiPriority w:val="99"/>
    <w:semiHidden/>
    <w:unhideWhenUsed/>
    <w:rsid w:val="00E67FED"/>
    <w:rPr>
      <w:color w:val="605E5C"/>
      <w:shd w:val="clear" w:color="auto" w:fill="E1DFDD"/>
    </w:rPr>
  </w:style>
  <w:style w:type="character" w:customStyle="1" w:styleId="Mention1">
    <w:name w:val="Mention1"/>
    <w:basedOn w:val="DefaultParagraphFont"/>
    <w:uiPriority w:val="99"/>
    <w:unhideWhenUsed/>
    <w:rsid w:val="001A2B05"/>
    <w:rPr>
      <w:color w:val="2B579A"/>
      <w:shd w:val="clear" w:color="auto" w:fill="E1DFDD"/>
    </w:rPr>
  </w:style>
  <w:style w:type="paragraph" w:customStyle="1" w:styleId="Default">
    <w:name w:val="Default"/>
    <w:rsid w:val="001946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phw.nhs.wales/about-us/working-together-for-a-healthier-wales/wellbeing-state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hwwhocc.co.uk/bsu/resourc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traumaframeworkcymru.com/wp-content/uploads/2022/07/Trauma-Informed-Wales-Framework.pdf" TargetMode="External"/><Relationship Id="rId20" Type="http://schemas.openxmlformats.org/officeDocument/2006/relationships/hyperlink" Target="https://phwwhocc.co.uk/resources/cost-of-living-crisis-in-wales-a-public-health-le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aleswithoutviolence.com/wp-content/uploads/2023/04/WWV-Framework-Digital-Englis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5d599f-0d70-42f9-bb26-1bdcfa13e79d">
      <UserInfo>
        <DisplayName>Sumina Azam (Public Health Wales - No. 2 Capital Quarter)</DisplayName>
        <AccountId>8</AccountId>
        <AccountType/>
      </UserInfo>
      <UserInfo>
        <DisplayName>Tracy Black (Public Health Wales - No. 2 Capital Quarter)</DisplayName>
        <AccountId>6</AccountId>
        <AccountType/>
      </UserInfo>
    </SharedWithUsers>
    <Status xmlns="74117dde-b119-4746-8562-4584e64c254c">Final</Status>
    <Notes xmlns="74117dde-b119-4746-8562-4584e64c254c" xsi:nil="true"/>
    <Open_x002f_Private xmlns="74117dde-b119-4746-8562-4584e64c254c">Open</Open_x002f_Private>
    <MeetingSubCategory xmlns="74117dde-b119-4746-8562-4584e64c254c">Board</MeetingSubCategory>
    <RetentionDate xmlns="74117dde-b119-4746-8562-4584e64c254c" xsi:nil="true"/>
    <DocumentType xmlns="74117dde-b119-4746-8562-4584e64c254c">Report</DocumentType>
    <MeetingDate xmlns="74117dde-b119-4746-8562-4584e64c254c">2023-09-27T23:00:00+00:00</MeetingDate>
    <EinancialYear xmlns="74117dde-b119-4746-8562-4584e64c254c">2023/2024</EinancialYear>
    <Reason xmlns="74117dde-b119-4746-8562-4584e64c25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17" ma:contentTypeDescription="Create a new document." ma:contentTypeScope="" ma:versionID="bfe413115365367794552e21dff3a217">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1adcfbe1d828deeca89495f9a12530fe"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Board"/>
          <xsd:enumeration value="Board (Private)"/>
          <xsd:enumeration value="Board Development"/>
          <xsd:enumeration value="ACGC"/>
          <xsd:enumeration value="KRIC"/>
          <xsd:enumeration value="KRIC (Private)"/>
          <xsd:enumeration value="POD"/>
          <xsd:enumeration value="POD (Private)"/>
          <xsd:enumeration value="QSIC"/>
          <xsd:enumeration value="QSIC (Private)"/>
          <xsd:enumeration value="BET"/>
          <xsd:enumeration value="SBET"/>
          <xsd:enumeration value="LT"/>
          <xsd:enumeration value="Chair's Meeting"/>
          <xsd:enumeration value="Board Business Unit Meeting"/>
          <xsd:enumeration value="AGM"/>
          <xsd:enumeration value="Board Briefing"/>
          <xsd:enumeration value="Covid-19 PI Sub-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enumeration value="Choice 3"/>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Legally Privileged "/>
                    <xsd:enumeration value="Summary of Private Committee / Sub Group Meetings ‐ subject matter confidential"/>
                    <xsd:enumeration value="Undue concern or harm to the public"/>
                    <xsd:enumeration value="Choice 8"/>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Report"/>
          <xsd:enumeration value="Attachment"/>
          <xsd:enumeration value="Presentation"/>
          <xsd:enumeration value="Correspondance"/>
          <xsd:enumeration value="Plan or Register"/>
          <xsd:enumeration value="Agenda"/>
          <xsd:enumeration value="Minutes"/>
          <xsd:enumeration value="Action Log"/>
        </xsd:restriction>
      </xsd:simpleType>
    </xsd:element>
    <xsd:element name="Status" ma:index="13" nillable="true" ma:displayName="Status" ma:format="Dropdown" ma:internalName="Status">
      <xsd:simpleType>
        <xsd:restriction base="dms:Choice">
          <xsd:enumeration value="Final"/>
          <xsd:enumeration value="Draft"/>
          <xsd:enumeration value="Working Draft"/>
          <xsd:enumeration value="Unconfirmed Minutes"/>
          <xsd:enumeration value="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Financial Year" ma:format="RadioButtons" ma:internalName="EinancialYear">
      <xsd:simpleType>
        <xsd:restriction base="dms:Choice">
          <xsd:enumeration value="2022/2023"/>
          <xsd:enumeration value="2023/2024"/>
        </xsd:restriction>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0B7F2-C8CC-43F3-8EED-6698EBFA4599}">
  <ds:schemaRefs>
    <ds:schemaRef ds:uri="http://schemas.microsoft.com/office/2006/metadata/properties"/>
    <ds:schemaRef ds:uri="http://schemas.microsoft.com/office/infopath/2007/PartnerControls"/>
    <ds:schemaRef ds:uri="885d599f-0d70-42f9-bb26-1bdcfa13e79d"/>
    <ds:schemaRef ds:uri="74117dde-b119-4746-8562-4584e64c254c"/>
  </ds:schemaRefs>
</ds:datastoreItem>
</file>

<file path=customXml/itemProps2.xml><?xml version="1.0" encoding="utf-8"?>
<ds:datastoreItem xmlns:ds="http://schemas.openxmlformats.org/officeDocument/2006/customXml" ds:itemID="{25C06827-4201-4387-BF2C-6CE964EBD0A5}">
  <ds:schemaRefs>
    <ds:schemaRef ds:uri="http://schemas.microsoft.com/sharepoint/v3/contenttype/forms"/>
  </ds:schemaRefs>
</ds:datastoreItem>
</file>

<file path=customXml/itemProps3.xml><?xml version="1.0" encoding="utf-8"?>
<ds:datastoreItem xmlns:ds="http://schemas.openxmlformats.org/officeDocument/2006/customXml" ds:itemID="{1D607889-DA1E-4B5B-84AE-70C1F514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Bushell (Public Health Wales - No. 2 Capital Quarter)</dc:creator>
  <cp:keywords/>
  <dc:description/>
  <cp:lastModifiedBy>Liz Blayney (Public Health Wales - No. 2 Capital Quarter)</cp:lastModifiedBy>
  <cp:revision>9</cp:revision>
  <dcterms:created xsi:type="dcterms:W3CDTF">2023-09-06T11:18:00Z</dcterms:created>
  <dcterms:modified xsi:type="dcterms:W3CDTF">2023-09-20T16:45:00Z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