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840"/>
        <w:gridCol w:w="838"/>
        <w:gridCol w:w="824"/>
        <w:gridCol w:w="1818"/>
      </w:tblGrid>
      <w:tr w:rsidR="0013075E" w:rsidRPr="008F1F7E" w14:paraId="5F74B8E9" w14:textId="77777777" w:rsidTr="001C560D">
        <w:tc>
          <w:tcPr>
            <w:tcW w:w="6374" w:type="dxa"/>
            <w:gridSpan w:val="5"/>
            <w:vMerge w:val="restart"/>
          </w:tcPr>
          <w:p w14:paraId="5F74B8E6" w14:textId="77777777" w:rsidR="0013075E" w:rsidRPr="001C560D" w:rsidRDefault="0013075E" w:rsidP="007C7229">
            <w:pPr>
              <w:jc w:val="both"/>
            </w:pPr>
            <w:r w:rsidRPr="001C560D">
              <w:rPr>
                <w:b/>
                <w:noProof/>
                <w:lang w:eastAsia="en-GB"/>
              </w:rPr>
              <w:drawing>
                <wp:inline distT="0" distB="0" distL="0" distR="0" wp14:anchorId="5F74B989" wp14:editId="5F74B98A">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1"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2642" w:type="dxa"/>
            <w:gridSpan w:val="2"/>
            <w:tcBorders>
              <w:bottom w:val="nil"/>
            </w:tcBorders>
          </w:tcPr>
          <w:p w14:paraId="5F74B8E7" w14:textId="77777777" w:rsidR="0013075E" w:rsidRPr="001C560D" w:rsidRDefault="0013075E" w:rsidP="007C7229">
            <w:pPr>
              <w:jc w:val="both"/>
              <w:rPr>
                <w:b/>
                <w:szCs w:val="24"/>
              </w:rPr>
            </w:pPr>
            <w:r w:rsidRPr="001C560D">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szCs w:val="24"/>
              </w:rPr>
            </w:sdtEndPr>
            <w:sdtContent>
              <w:p w14:paraId="5F74B8E8" w14:textId="42E1FCF4" w:rsidR="0013075E" w:rsidRPr="001C560D" w:rsidRDefault="0027663B" w:rsidP="007C7229">
                <w:pPr>
                  <w:jc w:val="both"/>
                  <w:rPr>
                    <w:b/>
                    <w:szCs w:val="24"/>
                  </w:rPr>
                </w:pPr>
                <w:r w:rsidRPr="001C560D">
                  <w:rPr>
                    <w:rStyle w:val="Dropdown"/>
                  </w:rPr>
                  <w:t>Board</w:t>
                </w:r>
              </w:p>
            </w:sdtContent>
          </w:sdt>
        </w:tc>
      </w:tr>
      <w:tr w:rsidR="0013075E" w:rsidRPr="008F1F7E" w14:paraId="5F74B8ED" w14:textId="77777777" w:rsidTr="001C560D">
        <w:tc>
          <w:tcPr>
            <w:tcW w:w="6374" w:type="dxa"/>
            <w:gridSpan w:val="5"/>
            <w:vMerge/>
          </w:tcPr>
          <w:p w14:paraId="5F74B8EA" w14:textId="77777777" w:rsidR="0013075E" w:rsidRPr="001C560D" w:rsidRDefault="0013075E" w:rsidP="007C7229">
            <w:pPr>
              <w:jc w:val="both"/>
              <w:rPr>
                <w:b/>
                <w:noProof/>
                <w:lang w:eastAsia="en-GB"/>
              </w:rPr>
            </w:pPr>
          </w:p>
        </w:tc>
        <w:tc>
          <w:tcPr>
            <w:tcW w:w="2642" w:type="dxa"/>
            <w:gridSpan w:val="2"/>
            <w:tcBorders>
              <w:top w:val="nil"/>
              <w:bottom w:val="nil"/>
            </w:tcBorders>
          </w:tcPr>
          <w:p w14:paraId="5F74B8EB" w14:textId="77777777" w:rsidR="00D34F08" w:rsidRPr="001C560D" w:rsidRDefault="00D34F08" w:rsidP="007C7229">
            <w:pPr>
              <w:jc w:val="both"/>
              <w:rPr>
                <w:b/>
              </w:rPr>
            </w:pPr>
            <w:r w:rsidRPr="001C560D">
              <w:rPr>
                <w:b/>
              </w:rPr>
              <w:t>Date of Meeting</w:t>
            </w:r>
          </w:p>
          <w:p w14:paraId="5F74B8EC" w14:textId="3AE2B1D0" w:rsidR="0013075E" w:rsidRPr="001C560D" w:rsidRDefault="001C560D" w:rsidP="007C7229">
            <w:pPr>
              <w:jc w:val="both"/>
            </w:pPr>
            <w:r w:rsidRPr="001C560D">
              <w:t>17 December 2020</w:t>
            </w:r>
          </w:p>
        </w:tc>
      </w:tr>
      <w:tr w:rsidR="0013075E" w:rsidRPr="008F1F7E" w14:paraId="5F74B8F1" w14:textId="77777777" w:rsidTr="001C560D">
        <w:tc>
          <w:tcPr>
            <w:tcW w:w="6374" w:type="dxa"/>
            <w:gridSpan w:val="5"/>
            <w:vMerge/>
            <w:tcBorders>
              <w:bottom w:val="single" w:sz="4" w:space="0" w:color="auto"/>
            </w:tcBorders>
          </w:tcPr>
          <w:p w14:paraId="5F74B8EE" w14:textId="77777777" w:rsidR="0013075E" w:rsidRPr="001C560D" w:rsidRDefault="0013075E" w:rsidP="007C7229">
            <w:pPr>
              <w:jc w:val="both"/>
              <w:rPr>
                <w:b/>
                <w:noProof/>
                <w:lang w:eastAsia="en-GB"/>
              </w:rPr>
            </w:pPr>
          </w:p>
        </w:tc>
        <w:tc>
          <w:tcPr>
            <w:tcW w:w="2642" w:type="dxa"/>
            <w:gridSpan w:val="2"/>
            <w:tcBorders>
              <w:top w:val="nil"/>
              <w:bottom w:val="single" w:sz="4" w:space="0" w:color="auto"/>
            </w:tcBorders>
          </w:tcPr>
          <w:p w14:paraId="5F74B8EF" w14:textId="77777777" w:rsidR="0013075E" w:rsidRPr="001C560D" w:rsidRDefault="0013075E" w:rsidP="007C7229">
            <w:pPr>
              <w:jc w:val="both"/>
              <w:rPr>
                <w:b/>
              </w:rPr>
            </w:pPr>
            <w:r w:rsidRPr="001C560D">
              <w:rPr>
                <w:b/>
              </w:rPr>
              <w:t>Agenda item:</w:t>
            </w:r>
          </w:p>
          <w:p w14:paraId="5F74B8F0" w14:textId="2D8ADCEB" w:rsidR="0013075E" w:rsidRPr="001C560D" w:rsidRDefault="001C560D" w:rsidP="007C7229">
            <w:pPr>
              <w:jc w:val="both"/>
              <w:rPr>
                <w:i/>
              </w:rPr>
            </w:pPr>
            <w:r w:rsidRPr="001C560D">
              <w:rPr>
                <w:i/>
              </w:rPr>
              <w:t>3.2</w:t>
            </w:r>
          </w:p>
        </w:tc>
      </w:tr>
      <w:tr w:rsidR="00EE7097" w:rsidRPr="008F1F7E" w14:paraId="5F74B8F5" w14:textId="77777777" w:rsidTr="001C560D">
        <w:tc>
          <w:tcPr>
            <w:tcW w:w="9016" w:type="dxa"/>
            <w:gridSpan w:val="7"/>
            <w:tcBorders>
              <w:left w:val="nil"/>
              <w:right w:val="nil"/>
            </w:tcBorders>
            <w:vAlign w:val="center"/>
          </w:tcPr>
          <w:p w14:paraId="5F74B8F2" w14:textId="77777777" w:rsidR="003B7B09" w:rsidRPr="001C560D" w:rsidRDefault="003B7B09" w:rsidP="007C7229">
            <w:pPr>
              <w:jc w:val="both"/>
              <w:rPr>
                <w:b/>
                <w:sz w:val="28"/>
              </w:rPr>
            </w:pPr>
          </w:p>
          <w:p w14:paraId="5F74B8F4" w14:textId="77777777" w:rsidR="00D34F08" w:rsidRPr="001C560D" w:rsidRDefault="00D34F08" w:rsidP="007C7229">
            <w:pPr>
              <w:jc w:val="both"/>
              <w:rPr>
                <w:b/>
                <w:sz w:val="28"/>
              </w:rPr>
            </w:pPr>
          </w:p>
        </w:tc>
      </w:tr>
      <w:tr w:rsidR="00EE7097" w:rsidRPr="008F1F7E" w14:paraId="5F74B8F7" w14:textId="77777777" w:rsidTr="001C560D">
        <w:tc>
          <w:tcPr>
            <w:tcW w:w="9016" w:type="dxa"/>
            <w:gridSpan w:val="7"/>
            <w:vAlign w:val="center"/>
          </w:tcPr>
          <w:p w14:paraId="5F74B8F6" w14:textId="335E9EF8" w:rsidR="00EE7097" w:rsidRPr="00D34F08" w:rsidRDefault="00B47D9C" w:rsidP="007C7229">
            <w:pPr>
              <w:jc w:val="both"/>
              <w:rPr>
                <w:b/>
                <w:sz w:val="36"/>
                <w:szCs w:val="36"/>
              </w:rPr>
            </w:pPr>
            <w:r>
              <w:rPr>
                <w:b/>
                <w:sz w:val="36"/>
                <w:szCs w:val="36"/>
              </w:rPr>
              <w:t>COVID-19 Vaccination Programme - Update</w:t>
            </w:r>
          </w:p>
        </w:tc>
      </w:tr>
      <w:tr w:rsidR="00EE7097" w:rsidRPr="001C60B5" w14:paraId="5F74B8FA" w14:textId="77777777" w:rsidTr="001C560D">
        <w:tc>
          <w:tcPr>
            <w:tcW w:w="2802" w:type="dxa"/>
            <w:gridSpan w:val="2"/>
          </w:tcPr>
          <w:p w14:paraId="5F74B8F8" w14:textId="77777777" w:rsidR="00EE7097" w:rsidRPr="001C60B5" w:rsidRDefault="00EE7097" w:rsidP="007C7229">
            <w:pPr>
              <w:jc w:val="both"/>
              <w:rPr>
                <w:b/>
                <w:szCs w:val="24"/>
              </w:rPr>
            </w:pPr>
            <w:r w:rsidRPr="001C60B5">
              <w:rPr>
                <w:b/>
                <w:szCs w:val="24"/>
              </w:rPr>
              <w:t>Executive lead:</w:t>
            </w:r>
          </w:p>
        </w:tc>
        <w:tc>
          <w:tcPr>
            <w:tcW w:w="6214" w:type="dxa"/>
            <w:gridSpan w:val="5"/>
          </w:tcPr>
          <w:p w14:paraId="5F74B8F9" w14:textId="4FA5545A" w:rsidR="00EE7097" w:rsidRPr="00D147A1" w:rsidRDefault="00D147A1" w:rsidP="007C7229">
            <w:pPr>
              <w:jc w:val="both"/>
              <w:rPr>
                <w:szCs w:val="24"/>
              </w:rPr>
            </w:pPr>
            <w:r w:rsidRPr="00D147A1">
              <w:rPr>
                <w:szCs w:val="24"/>
              </w:rPr>
              <w:t xml:space="preserve">Andrew Jones, </w:t>
            </w:r>
            <w:r w:rsidR="00455F4E">
              <w:rPr>
                <w:szCs w:val="24"/>
              </w:rPr>
              <w:t xml:space="preserve">Interim </w:t>
            </w:r>
            <w:r w:rsidRPr="00D147A1">
              <w:rPr>
                <w:szCs w:val="24"/>
              </w:rPr>
              <w:t xml:space="preserve"> Executive Director Public Health Services </w:t>
            </w:r>
          </w:p>
        </w:tc>
      </w:tr>
      <w:tr w:rsidR="00EE7097" w:rsidRPr="001C60B5" w14:paraId="5F74B8FD" w14:textId="77777777" w:rsidTr="001C560D">
        <w:tc>
          <w:tcPr>
            <w:tcW w:w="2802" w:type="dxa"/>
            <w:gridSpan w:val="2"/>
          </w:tcPr>
          <w:p w14:paraId="5F74B8FB" w14:textId="77777777" w:rsidR="00EE7097" w:rsidRPr="001C60B5" w:rsidRDefault="00EE7097" w:rsidP="007C7229">
            <w:pPr>
              <w:jc w:val="both"/>
              <w:rPr>
                <w:b/>
                <w:szCs w:val="24"/>
              </w:rPr>
            </w:pPr>
            <w:r w:rsidRPr="001C60B5">
              <w:rPr>
                <w:b/>
                <w:szCs w:val="24"/>
              </w:rPr>
              <w:t>Author:</w:t>
            </w:r>
          </w:p>
        </w:tc>
        <w:tc>
          <w:tcPr>
            <w:tcW w:w="6214" w:type="dxa"/>
            <w:gridSpan w:val="5"/>
          </w:tcPr>
          <w:p w14:paraId="5F74B8FC" w14:textId="1BCA1753" w:rsidR="00EE7097" w:rsidRPr="00D147A1" w:rsidRDefault="00D147A1" w:rsidP="007C7229">
            <w:pPr>
              <w:jc w:val="both"/>
              <w:rPr>
                <w:szCs w:val="24"/>
              </w:rPr>
            </w:pPr>
            <w:r w:rsidRPr="00D147A1">
              <w:rPr>
                <w:szCs w:val="24"/>
              </w:rPr>
              <w:t xml:space="preserve">Dr Richard Roberts, Head, Vaccine Preventable Disease Programme </w:t>
            </w:r>
            <w:r w:rsidR="002F2FFC">
              <w:rPr>
                <w:szCs w:val="24"/>
              </w:rPr>
              <w:t>(VPDP)</w:t>
            </w:r>
          </w:p>
        </w:tc>
      </w:tr>
      <w:tr w:rsidR="00EE7097" w:rsidRPr="001C60B5" w14:paraId="5F74B900" w14:textId="77777777" w:rsidTr="001C560D">
        <w:trPr>
          <w:trHeight w:val="149"/>
        </w:trPr>
        <w:tc>
          <w:tcPr>
            <w:tcW w:w="2802" w:type="dxa"/>
            <w:gridSpan w:val="2"/>
            <w:tcBorders>
              <w:left w:val="nil"/>
              <w:right w:val="nil"/>
            </w:tcBorders>
          </w:tcPr>
          <w:p w14:paraId="5F74B8FE" w14:textId="77777777" w:rsidR="00EE7097" w:rsidRPr="005B4E75" w:rsidRDefault="00EE7097" w:rsidP="007C7229">
            <w:pPr>
              <w:jc w:val="both"/>
              <w:rPr>
                <w:b/>
                <w:sz w:val="12"/>
                <w:szCs w:val="12"/>
              </w:rPr>
            </w:pPr>
          </w:p>
        </w:tc>
        <w:tc>
          <w:tcPr>
            <w:tcW w:w="6214" w:type="dxa"/>
            <w:gridSpan w:val="5"/>
            <w:tcBorders>
              <w:left w:val="nil"/>
              <w:right w:val="nil"/>
            </w:tcBorders>
          </w:tcPr>
          <w:p w14:paraId="5F74B8FF" w14:textId="77777777" w:rsidR="00EE7097" w:rsidRPr="005B4E75" w:rsidRDefault="00EE7097" w:rsidP="007C7229">
            <w:pPr>
              <w:jc w:val="both"/>
              <w:rPr>
                <w:sz w:val="12"/>
                <w:szCs w:val="12"/>
              </w:rPr>
            </w:pPr>
          </w:p>
        </w:tc>
      </w:tr>
      <w:tr w:rsidR="00EE7097" w:rsidRPr="001C60B5" w14:paraId="5F74B903" w14:textId="77777777" w:rsidTr="001C560D">
        <w:tc>
          <w:tcPr>
            <w:tcW w:w="2802" w:type="dxa"/>
            <w:gridSpan w:val="2"/>
          </w:tcPr>
          <w:p w14:paraId="5F74B901" w14:textId="77777777" w:rsidR="00EE7097" w:rsidRPr="001C60B5" w:rsidRDefault="00EE7097" w:rsidP="007C7229">
            <w:pPr>
              <w:jc w:val="both"/>
              <w:rPr>
                <w:b/>
                <w:szCs w:val="24"/>
              </w:rPr>
            </w:pPr>
            <w:r w:rsidRPr="001C60B5">
              <w:rPr>
                <w:b/>
                <w:szCs w:val="24"/>
              </w:rPr>
              <w:t>Approval/Scrutiny route:</w:t>
            </w:r>
          </w:p>
        </w:tc>
        <w:tc>
          <w:tcPr>
            <w:tcW w:w="6214" w:type="dxa"/>
            <w:gridSpan w:val="5"/>
          </w:tcPr>
          <w:p w14:paraId="5F74B902" w14:textId="2017CAE6" w:rsidR="00EE7097" w:rsidRPr="00D34F08" w:rsidRDefault="00455F4E" w:rsidP="007C7229">
            <w:pPr>
              <w:jc w:val="both"/>
              <w:rPr>
                <w:color w:val="FF0000"/>
                <w:szCs w:val="24"/>
              </w:rPr>
            </w:pPr>
            <w:r w:rsidRPr="00847120">
              <w:rPr>
                <w:szCs w:val="24"/>
              </w:rPr>
              <w:t xml:space="preserve">Business Executive Team </w:t>
            </w:r>
          </w:p>
        </w:tc>
      </w:tr>
      <w:tr w:rsidR="006C4A51" w:rsidRPr="001C60B5" w14:paraId="5F74B905" w14:textId="77777777" w:rsidTr="001C560D">
        <w:tc>
          <w:tcPr>
            <w:tcW w:w="9016" w:type="dxa"/>
            <w:gridSpan w:val="7"/>
            <w:tcBorders>
              <w:left w:val="nil"/>
              <w:bottom w:val="single" w:sz="4" w:space="0" w:color="auto"/>
              <w:right w:val="nil"/>
            </w:tcBorders>
          </w:tcPr>
          <w:p w14:paraId="5F74B904" w14:textId="77777777" w:rsidR="006C4A51" w:rsidRPr="005B4E75" w:rsidRDefault="006C4A51" w:rsidP="007C7229">
            <w:pPr>
              <w:jc w:val="both"/>
              <w:rPr>
                <w:b/>
                <w:sz w:val="12"/>
                <w:szCs w:val="12"/>
              </w:rPr>
            </w:pPr>
          </w:p>
        </w:tc>
      </w:tr>
      <w:tr w:rsidR="005B4E75" w:rsidRPr="001C60B5" w14:paraId="5F74B907" w14:textId="77777777" w:rsidTr="001C560D">
        <w:tc>
          <w:tcPr>
            <w:tcW w:w="9016" w:type="dxa"/>
            <w:gridSpan w:val="7"/>
            <w:tcBorders>
              <w:left w:val="single" w:sz="4" w:space="0" w:color="auto"/>
              <w:right w:val="single" w:sz="4" w:space="0" w:color="auto"/>
            </w:tcBorders>
          </w:tcPr>
          <w:p w14:paraId="5F74B906" w14:textId="77777777" w:rsidR="005B4E75" w:rsidRPr="001C60B5" w:rsidRDefault="005B4E75" w:rsidP="007C7229">
            <w:pPr>
              <w:jc w:val="both"/>
              <w:rPr>
                <w:b/>
                <w:szCs w:val="24"/>
              </w:rPr>
            </w:pPr>
            <w:r>
              <w:rPr>
                <w:b/>
                <w:szCs w:val="24"/>
              </w:rPr>
              <w:t>Purpose</w:t>
            </w:r>
          </w:p>
        </w:tc>
      </w:tr>
      <w:tr w:rsidR="005B4E75" w:rsidRPr="001C60B5" w14:paraId="5F74B90A" w14:textId="77777777" w:rsidTr="001C560D">
        <w:tc>
          <w:tcPr>
            <w:tcW w:w="9016" w:type="dxa"/>
            <w:gridSpan w:val="7"/>
            <w:tcBorders>
              <w:left w:val="single" w:sz="4" w:space="0" w:color="auto"/>
              <w:right w:val="single" w:sz="4" w:space="0" w:color="auto"/>
            </w:tcBorders>
          </w:tcPr>
          <w:p w14:paraId="5F74B909" w14:textId="7A1B44AC" w:rsidR="0027663B" w:rsidRPr="001C560D" w:rsidRDefault="00455F4E" w:rsidP="007C7229">
            <w:pPr>
              <w:spacing w:after="200"/>
              <w:jc w:val="both"/>
              <w:rPr>
                <w:szCs w:val="24"/>
              </w:rPr>
            </w:pPr>
            <w:r>
              <w:rPr>
                <w:szCs w:val="24"/>
              </w:rPr>
              <w:t xml:space="preserve">This report provides an </w:t>
            </w:r>
            <w:r w:rsidR="00D147A1" w:rsidRPr="0027663B">
              <w:rPr>
                <w:szCs w:val="24"/>
              </w:rPr>
              <w:t xml:space="preserve"> update on the COVID-19 vaccination programme, outline</w:t>
            </w:r>
            <w:r>
              <w:rPr>
                <w:szCs w:val="24"/>
              </w:rPr>
              <w:t>s</w:t>
            </w:r>
            <w:r w:rsidR="00D147A1" w:rsidRPr="0027663B">
              <w:rPr>
                <w:szCs w:val="24"/>
              </w:rPr>
              <w:t xml:space="preserve"> NHS Wales</w:t>
            </w:r>
            <w:r w:rsidR="0027663B">
              <w:rPr>
                <w:szCs w:val="24"/>
              </w:rPr>
              <w:t>’</w:t>
            </w:r>
            <w:r w:rsidR="00D147A1" w:rsidRPr="0027663B">
              <w:rPr>
                <w:szCs w:val="24"/>
              </w:rPr>
              <w:t xml:space="preserve"> progress and P</w:t>
            </w:r>
            <w:r>
              <w:rPr>
                <w:szCs w:val="24"/>
              </w:rPr>
              <w:t>ublic Health Wales (PH</w:t>
            </w:r>
            <w:r w:rsidR="00D147A1" w:rsidRPr="0027663B">
              <w:rPr>
                <w:szCs w:val="24"/>
              </w:rPr>
              <w:t>W</w:t>
            </w:r>
            <w:r>
              <w:rPr>
                <w:szCs w:val="24"/>
              </w:rPr>
              <w:t>)</w:t>
            </w:r>
            <w:r w:rsidR="00D147A1" w:rsidRPr="0027663B">
              <w:rPr>
                <w:szCs w:val="24"/>
              </w:rPr>
              <w:t xml:space="preserve"> contribution</w:t>
            </w:r>
            <w:r w:rsidR="00847120">
              <w:rPr>
                <w:szCs w:val="24"/>
              </w:rPr>
              <w:t>s</w:t>
            </w:r>
          </w:p>
        </w:tc>
      </w:tr>
      <w:tr w:rsidR="005B4E75" w:rsidRPr="001C60B5" w14:paraId="5F74B90C" w14:textId="77777777" w:rsidTr="001C560D">
        <w:tc>
          <w:tcPr>
            <w:tcW w:w="9016" w:type="dxa"/>
            <w:gridSpan w:val="7"/>
            <w:tcBorders>
              <w:left w:val="nil"/>
              <w:right w:val="nil"/>
            </w:tcBorders>
          </w:tcPr>
          <w:p w14:paraId="5F74B90B" w14:textId="77777777" w:rsidR="005B4E75" w:rsidRPr="005B4E75" w:rsidRDefault="005B4E75" w:rsidP="007C7229">
            <w:pPr>
              <w:jc w:val="both"/>
              <w:rPr>
                <w:b/>
                <w:sz w:val="12"/>
                <w:szCs w:val="12"/>
              </w:rPr>
            </w:pPr>
          </w:p>
        </w:tc>
      </w:tr>
      <w:tr w:rsidR="00EE7097" w:rsidRPr="001C60B5" w14:paraId="5F74B90E" w14:textId="77777777" w:rsidTr="001C560D">
        <w:tc>
          <w:tcPr>
            <w:tcW w:w="9016" w:type="dxa"/>
            <w:gridSpan w:val="7"/>
          </w:tcPr>
          <w:p w14:paraId="5F74B90D" w14:textId="07936CFA" w:rsidR="00EE7097" w:rsidRPr="0013075E" w:rsidRDefault="0013075E" w:rsidP="007C7229">
            <w:pPr>
              <w:jc w:val="both"/>
              <w:rPr>
                <w:b/>
                <w:szCs w:val="24"/>
              </w:rPr>
            </w:pPr>
            <w:r>
              <w:rPr>
                <w:b/>
                <w:szCs w:val="24"/>
              </w:rPr>
              <w:t>Recommendation:</w:t>
            </w:r>
            <w:r w:rsidR="00E07F66">
              <w:rPr>
                <w:b/>
                <w:szCs w:val="24"/>
              </w:rPr>
              <w:t xml:space="preserve"> </w:t>
            </w:r>
          </w:p>
        </w:tc>
      </w:tr>
      <w:tr w:rsidR="005B4E75" w:rsidRPr="001C60B5" w14:paraId="5F74B919" w14:textId="77777777" w:rsidTr="001C560D">
        <w:tc>
          <w:tcPr>
            <w:tcW w:w="1848" w:type="dxa"/>
            <w:tcBorders>
              <w:bottom w:val="single" w:sz="4" w:space="0" w:color="auto"/>
            </w:tcBorders>
          </w:tcPr>
          <w:p w14:paraId="5F74B90F" w14:textId="77777777" w:rsidR="005B4E75" w:rsidRPr="007A47F5" w:rsidRDefault="005B4E75" w:rsidP="007C7229">
            <w:pPr>
              <w:jc w:val="both"/>
              <w:rPr>
                <w:szCs w:val="24"/>
              </w:rPr>
            </w:pPr>
            <w:r w:rsidRPr="007A47F5">
              <w:rPr>
                <w:szCs w:val="24"/>
              </w:rPr>
              <w:t>APPROVE</w:t>
            </w:r>
          </w:p>
          <w:p w14:paraId="5F74B910" w14:textId="77777777" w:rsidR="005B4E75" w:rsidRPr="007A47F5" w:rsidRDefault="007F7EA7" w:rsidP="007C7229">
            <w:pPr>
              <w:jc w:val="both"/>
              <w:rPr>
                <w:rFonts w:ascii="Wingdings" w:hAnsi="Wingdings"/>
                <w:szCs w:val="24"/>
              </w:rPr>
            </w:pPr>
            <w:r>
              <w:rPr>
                <w:rFonts w:ascii="Wingdings" w:hAnsi="Wingdings"/>
                <w:szCs w:val="24"/>
              </w:rPr>
              <w:fldChar w:fldCharType="begin">
                <w:ffData>
                  <w:name w:val="Check1"/>
                  <w:enabled/>
                  <w:calcOnExit w:val="0"/>
                  <w:checkBox>
                    <w:sizeAuto/>
                    <w:default w:val="0"/>
                  </w:checkBox>
                </w:ffData>
              </w:fldChar>
            </w:r>
            <w:bookmarkStart w:id="0" w:name="Check1"/>
            <w:r w:rsidR="005B4E75">
              <w:rPr>
                <w:rFonts w:ascii="Wingdings" w:hAnsi="Wingdings"/>
                <w:szCs w:val="24"/>
              </w:rPr>
              <w:instrText xml:space="preserve"> FORMCHECKBOX </w:instrText>
            </w:r>
            <w:r w:rsidR="000F3289">
              <w:rPr>
                <w:rFonts w:ascii="Wingdings" w:hAnsi="Wingdings"/>
                <w:szCs w:val="24"/>
              </w:rPr>
            </w:r>
            <w:r w:rsidR="000F3289">
              <w:rPr>
                <w:rFonts w:ascii="Wingdings" w:hAnsi="Wingdings"/>
                <w:szCs w:val="24"/>
              </w:rPr>
              <w:fldChar w:fldCharType="separate"/>
            </w:r>
            <w:r>
              <w:rPr>
                <w:rFonts w:ascii="Wingdings" w:hAnsi="Wingdings"/>
                <w:szCs w:val="24"/>
              </w:rPr>
              <w:fldChar w:fldCharType="end"/>
            </w:r>
            <w:bookmarkEnd w:id="0"/>
          </w:p>
        </w:tc>
        <w:tc>
          <w:tcPr>
            <w:tcW w:w="1848" w:type="dxa"/>
            <w:gridSpan w:val="2"/>
            <w:tcBorders>
              <w:bottom w:val="single" w:sz="4" w:space="0" w:color="auto"/>
            </w:tcBorders>
          </w:tcPr>
          <w:p w14:paraId="5F74B911" w14:textId="77777777" w:rsidR="005B4E75" w:rsidRDefault="005B4E75" w:rsidP="007C7229">
            <w:pPr>
              <w:jc w:val="both"/>
              <w:rPr>
                <w:szCs w:val="24"/>
              </w:rPr>
            </w:pPr>
            <w:r w:rsidRPr="007A47F5">
              <w:rPr>
                <w:szCs w:val="24"/>
              </w:rPr>
              <w:t>CONSIDER</w:t>
            </w:r>
          </w:p>
          <w:p w14:paraId="5F74B912" w14:textId="77777777" w:rsidR="005B4E75" w:rsidRPr="007A47F5" w:rsidRDefault="007F7EA7" w:rsidP="007C7229">
            <w:pPr>
              <w:jc w:val="both"/>
              <w:rPr>
                <w:szCs w:val="24"/>
              </w:rPr>
            </w:pPr>
            <w:r>
              <w:rPr>
                <w:szCs w:val="24"/>
              </w:rPr>
              <w:fldChar w:fldCharType="begin">
                <w:ffData>
                  <w:name w:val="Check2"/>
                  <w:enabled/>
                  <w:calcOnExit w:val="0"/>
                  <w:checkBox>
                    <w:sizeAuto/>
                    <w:default w:val="0"/>
                  </w:checkBox>
                </w:ffData>
              </w:fldChar>
            </w:r>
            <w:bookmarkStart w:id="1" w:name="Check2"/>
            <w:r w:rsidR="005B4E75">
              <w:rPr>
                <w:szCs w:val="24"/>
              </w:rPr>
              <w:instrText xml:space="preserve"> FORMCHECKBOX </w:instrText>
            </w:r>
            <w:r w:rsidR="000F3289">
              <w:rPr>
                <w:szCs w:val="24"/>
              </w:rPr>
            </w:r>
            <w:r w:rsidR="000F3289">
              <w:rPr>
                <w:szCs w:val="24"/>
              </w:rPr>
              <w:fldChar w:fldCharType="separate"/>
            </w:r>
            <w:r>
              <w:rPr>
                <w:szCs w:val="24"/>
              </w:rPr>
              <w:fldChar w:fldCharType="end"/>
            </w:r>
            <w:bookmarkEnd w:id="1"/>
          </w:p>
        </w:tc>
        <w:tc>
          <w:tcPr>
            <w:tcW w:w="1840" w:type="dxa"/>
            <w:tcBorders>
              <w:bottom w:val="single" w:sz="4" w:space="0" w:color="auto"/>
            </w:tcBorders>
          </w:tcPr>
          <w:p w14:paraId="5F74B913" w14:textId="77777777" w:rsidR="005B4E75" w:rsidRDefault="005B4E75" w:rsidP="007C7229">
            <w:pPr>
              <w:jc w:val="both"/>
              <w:rPr>
                <w:szCs w:val="24"/>
              </w:rPr>
            </w:pPr>
            <w:r w:rsidRPr="007A47F5">
              <w:rPr>
                <w:szCs w:val="24"/>
              </w:rPr>
              <w:t>RECOMMEND</w:t>
            </w:r>
          </w:p>
          <w:p w14:paraId="5F74B914" w14:textId="77777777" w:rsidR="005B4E75" w:rsidRPr="007A47F5" w:rsidRDefault="007F7EA7" w:rsidP="007C7229">
            <w:pPr>
              <w:jc w:val="both"/>
              <w:rPr>
                <w:szCs w:val="24"/>
              </w:rPr>
            </w:pPr>
            <w:r>
              <w:rPr>
                <w:szCs w:val="24"/>
              </w:rPr>
              <w:fldChar w:fldCharType="begin">
                <w:ffData>
                  <w:name w:val="Check3"/>
                  <w:enabled/>
                  <w:calcOnExit w:val="0"/>
                  <w:checkBox>
                    <w:sizeAuto/>
                    <w:default w:val="0"/>
                  </w:checkBox>
                </w:ffData>
              </w:fldChar>
            </w:r>
            <w:bookmarkStart w:id="2" w:name="Check3"/>
            <w:r w:rsidR="005B4E75">
              <w:rPr>
                <w:szCs w:val="24"/>
              </w:rPr>
              <w:instrText xml:space="preserve"> FORMCHECKBOX </w:instrText>
            </w:r>
            <w:r w:rsidR="000F3289">
              <w:rPr>
                <w:szCs w:val="24"/>
              </w:rPr>
            </w:r>
            <w:r w:rsidR="000F3289">
              <w:rPr>
                <w:szCs w:val="24"/>
              </w:rPr>
              <w:fldChar w:fldCharType="separate"/>
            </w:r>
            <w:r>
              <w:rPr>
                <w:szCs w:val="24"/>
              </w:rPr>
              <w:fldChar w:fldCharType="end"/>
            </w:r>
            <w:bookmarkEnd w:id="2"/>
          </w:p>
        </w:tc>
        <w:tc>
          <w:tcPr>
            <w:tcW w:w="1662" w:type="dxa"/>
            <w:gridSpan w:val="2"/>
            <w:tcBorders>
              <w:bottom w:val="single" w:sz="4" w:space="0" w:color="auto"/>
            </w:tcBorders>
          </w:tcPr>
          <w:p w14:paraId="5F74B915" w14:textId="77777777" w:rsidR="005B4E75" w:rsidRDefault="005B4E75" w:rsidP="007C7229">
            <w:pPr>
              <w:jc w:val="both"/>
              <w:rPr>
                <w:szCs w:val="24"/>
              </w:rPr>
            </w:pPr>
            <w:r w:rsidRPr="007A47F5">
              <w:rPr>
                <w:szCs w:val="24"/>
              </w:rPr>
              <w:t>ADOPT</w:t>
            </w:r>
          </w:p>
          <w:p w14:paraId="5F74B916" w14:textId="77777777" w:rsidR="005B4E75" w:rsidRPr="007A47F5" w:rsidRDefault="007F7EA7" w:rsidP="007C7229">
            <w:pPr>
              <w:jc w:val="both"/>
              <w:rPr>
                <w:szCs w:val="24"/>
              </w:rPr>
            </w:pPr>
            <w:r>
              <w:rPr>
                <w:szCs w:val="24"/>
              </w:rPr>
              <w:fldChar w:fldCharType="begin">
                <w:ffData>
                  <w:name w:val="Check4"/>
                  <w:enabled/>
                  <w:calcOnExit w:val="0"/>
                  <w:checkBox>
                    <w:sizeAuto/>
                    <w:default w:val="0"/>
                  </w:checkBox>
                </w:ffData>
              </w:fldChar>
            </w:r>
            <w:bookmarkStart w:id="3" w:name="Check4"/>
            <w:r w:rsidR="005B4E75">
              <w:rPr>
                <w:szCs w:val="24"/>
              </w:rPr>
              <w:instrText xml:space="preserve"> FORMCHECKBOX </w:instrText>
            </w:r>
            <w:r w:rsidR="000F3289">
              <w:rPr>
                <w:szCs w:val="24"/>
              </w:rPr>
            </w:r>
            <w:r w:rsidR="000F3289">
              <w:rPr>
                <w:szCs w:val="24"/>
              </w:rPr>
              <w:fldChar w:fldCharType="separate"/>
            </w:r>
            <w:r>
              <w:rPr>
                <w:szCs w:val="24"/>
              </w:rPr>
              <w:fldChar w:fldCharType="end"/>
            </w:r>
            <w:bookmarkEnd w:id="3"/>
          </w:p>
        </w:tc>
        <w:tc>
          <w:tcPr>
            <w:tcW w:w="1818" w:type="dxa"/>
            <w:tcBorders>
              <w:bottom w:val="single" w:sz="4" w:space="0" w:color="auto"/>
            </w:tcBorders>
          </w:tcPr>
          <w:p w14:paraId="5F74B917" w14:textId="77777777" w:rsidR="005B4E75" w:rsidRDefault="00141FC5" w:rsidP="007C7229">
            <w:pPr>
              <w:jc w:val="both"/>
              <w:rPr>
                <w:szCs w:val="24"/>
              </w:rPr>
            </w:pPr>
            <w:r>
              <w:rPr>
                <w:szCs w:val="24"/>
              </w:rPr>
              <w:t>ASSURANCE</w:t>
            </w:r>
          </w:p>
          <w:p w14:paraId="5F74B918" w14:textId="05FFF992" w:rsidR="005B4E75" w:rsidRPr="007A47F5" w:rsidRDefault="0027663B" w:rsidP="007C7229">
            <w:pPr>
              <w:jc w:val="both"/>
              <w:rPr>
                <w:szCs w:val="24"/>
              </w:rPr>
            </w:pPr>
            <w:r>
              <w:rPr>
                <w:szCs w:val="24"/>
              </w:rPr>
              <w:fldChar w:fldCharType="begin">
                <w:ffData>
                  <w:name w:val="Check5"/>
                  <w:enabled/>
                  <w:calcOnExit w:val="0"/>
                  <w:checkBox>
                    <w:sizeAuto/>
                    <w:default w:val="1"/>
                  </w:checkBox>
                </w:ffData>
              </w:fldChar>
            </w:r>
            <w:bookmarkStart w:id="4" w:name="Check5"/>
            <w:r>
              <w:rPr>
                <w:szCs w:val="24"/>
              </w:rPr>
              <w:instrText xml:space="preserve"> FORMCHECKBOX </w:instrText>
            </w:r>
            <w:r w:rsidR="000F3289">
              <w:rPr>
                <w:szCs w:val="24"/>
              </w:rPr>
            </w:r>
            <w:r w:rsidR="000F3289">
              <w:rPr>
                <w:szCs w:val="24"/>
              </w:rPr>
              <w:fldChar w:fldCharType="separate"/>
            </w:r>
            <w:r>
              <w:rPr>
                <w:szCs w:val="24"/>
              </w:rPr>
              <w:fldChar w:fldCharType="end"/>
            </w:r>
            <w:bookmarkEnd w:id="4"/>
          </w:p>
        </w:tc>
      </w:tr>
      <w:tr w:rsidR="00EE7097" w:rsidRPr="001C60B5" w14:paraId="5F74B920" w14:textId="77777777" w:rsidTr="001C560D">
        <w:tc>
          <w:tcPr>
            <w:tcW w:w="9016" w:type="dxa"/>
            <w:gridSpan w:val="7"/>
            <w:tcBorders>
              <w:bottom w:val="single" w:sz="4" w:space="0" w:color="auto"/>
            </w:tcBorders>
          </w:tcPr>
          <w:p w14:paraId="5F74B91A" w14:textId="35900FA5" w:rsidR="00EE7097" w:rsidRPr="001C60B5" w:rsidRDefault="00EE7097" w:rsidP="007C7229">
            <w:pPr>
              <w:jc w:val="both"/>
              <w:rPr>
                <w:szCs w:val="24"/>
              </w:rPr>
            </w:pPr>
            <w:r w:rsidRPr="0027663B">
              <w:rPr>
                <w:szCs w:val="24"/>
              </w:rPr>
              <w:t xml:space="preserve">The Board is </w:t>
            </w:r>
            <w:r w:rsidRPr="001C60B5">
              <w:rPr>
                <w:szCs w:val="24"/>
              </w:rPr>
              <w:t xml:space="preserve">asked to: </w:t>
            </w:r>
          </w:p>
          <w:p w14:paraId="5F74B91E" w14:textId="4B4080E7" w:rsidR="00EE7097" w:rsidRDefault="00141FC5" w:rsidP="007C7229">
            <w:pPr>
              <w:pStyle w:val="ListParagraph"/>
              <w:numPr>
                <w:ilvl w:val="0"/>
                <w:numId w:val="17"/>
              </w:numPr>
              <w:ind w:left="851" w:hanging="567"/>
              <w:jc w:val="both"/>
              <w:rPr>
                <w:szCs w:val="24"/>
              </w:rPr>
            </w:pPr>
            <w:r w:rsidRPr="0027663B">
              <w:rPr>
                <w:b/>
                <w:szCs w:val="24"/>
              </w:rPr>
              <w:t>Receive assurance</w:t>
            </w:r>
            <w:r w:rsidR="0005502D" w:rsidRPr="0027663B">
              <w:rPr>
                <w:b/>
                <w:szCs w:val="24"/>
              </w:rPr>
              <w:t xml:space="preserve"> </w:t>
            </w:r>
            <w:r w:rsidR="0005502D" w:rsidRPr="0027663B">
              <w:rPr>
                <w:szCs w:val="24"/>
              </w:rPr>
              <w:t>that</w:t>
            </w:r>
            <w:r w:rsidR="0027663B" w:rsidRPr="0027663B">
              <w:rPr>
                <w:szCs w:val="24"/>
              </w:rPr>
              <w:t xml:space="preserve"> the COVID-19 </w:t>
            </w:r>
            <w:r w:rsidR="00455F4E">
              <w:rPr>
                <w:szCs w:val="24"/>
              </w:rPr>
              <w:t xml:space="preserve">Vaccination </w:t>
            </w:r>
            <w:r w:rsidR="0027663B" w:rsidRPr="0027663B">
              <w:rPr>
                <w:szCs w:val="24"/>
              </w:rPr>
              <w:t>programme has successfully launched</w:t>
            </w:r>
            <w:r w:rsidR="00455F4E">
              <w:rPr>
                <w:szCs w:val="24"/>
              </w:rPr>
              <w:t xml:space="preserve"> in Wales</w:t>
            </w:r>
            <w:r w:rsidR="0027663B" w:rsidRPr="0027663B">
              <w:rPr>
                <w:szCs w:val="24"/>
              </w:rPr>
              <w:t xml:space="preserve">. </w:t>
            </w:r>
          </w:p>
          <w:p w14:paraId="049DEB53" w14:textId="59A2BB97" w:rsidR="00455F4E" w:rsidRPr="0027663B" w:rsidRDefault="00455F4E" w:rsidP="007C7229">
            <w:pPr>
              <w:pStyle w:val="ListParagraph"/>
              <w:numPr>
                <w:ilvl w:val="0"/>
                <w:numId w:val="17"/>
              </w:numPr>
              <w:ind w:left="851" w:hanging="567"/>
              <w:jc w:val="both"/>
              <w:rPr>
                <w:szCs w:val="24"/>
              </w:rPr>
            </w:pPr>
            <w:r>
              <w:rPr>
                <w:b/>
                <w:szCs w:val="24"/>
              </w:rPr>
              <w:t>Note the significant contribution from Public Health Wales</w:t>
            </w:r>
          </w:p>
          <w:p w14:paraId="5F74B91F" w14:textId="77777777" w:rsidR="00916053" w:rsidRPr="00916053" w:rsidRDefault="00916053" w:rsidP="007C7229">
            <w:pPr>
              <w:jc w:val="both"/>
              <w:rPr>
                <w:szCs w:val="24"/>
              </w:rPr>
            </w:pPr>
          </w:p>
        </w:tc>
      </w:tr>
    </w:tbl>
    <w:p w14:paraId="5F74B921" w14:textId="77777777" w:rsidR="00916053" w:rsidRDefault="00916053" w:rsidP="007C7229">
      <w:pPr>
        <w:jc w:val="both"/>
      </w:pPr>
      <w:r>
        <w:br w:type="page"/>
      </w:r>
    </w:p>
    <w:tbl>
      <w:tblPr>
        <w:tblStyle w:val="TableGrid"/>
        <w:tblW w:w="0" w:type="auto"/>
        <w:tblLook w:val="04A0" w:firstRow="1" w:lastRow="0" w:firstColumn="1" w:lastColumn="0" w:noHBand="0" w:noVBand="1"/>
      </w:tblPr>
      <w:tblGrid>
        <w:gridCol w:w="3192"/>
        <w:gridCol w:w="5834"/>
      </w:tblGrid>
      <w:tr w:rsidR="00D713DC" w:rsidRPr="001C60B5" w14:paraId="5F74B923" w14:textId="77777777" w:rsidTr="00480353">
        <w:tc>
          <w:tcPr>
            <w:tcW w:w="9026" w:type="dxa"/>
            <w:gridSpan w:val="2"/>
            <w:tcBorders>
              <w:left w:val="nil"/>
              <w:right w:val="nil"/>
            </w:tcBorders>
            <w:shd w:val="clear" w:color="auto" w:fill="auto"/>
          </w:tcPr>
          <w:p w14:paraId="5F74B922" w14:textId="77777777" w:rsidR="00D713DC" w:rsidRPr="005B4E75" w:rsidRDefault="00D713DC" w:rsidP="007C7229">
            <w:pPr>
              <w:jc w:val="both"/>
              <w:rPr>
                <w:b/>
                <w:sz w:val="12"/>
                <w:szCs w:val="12"/>
              </w:rPr>
            </w:pPr>
          </w:p>
        </w:tc>
      </w:tr>
      <w:tr w:rsidR="00EE7097" w:rsidRPr="001C60B5" w14:paraId="5F74B929" w14:textId="77777777" w:rsidTr="00480353">
        <w:tc>
          <w:tcPr>
            <w:tcW w:w="9026" w:type="dxa"/>
            <w:gridSpan w:val="2"/>
            <w:shd w:val="clear" w:color="auto" w:fill="F2F2F2" w:themeFill="background1" w:themeFillShade="F2"/>
          </w:tcPr>
          <w:p w14:paraId="5F74B924" w14:textId="77777777" w:rsidR="00EE7097" w:rsidRPr="001C60B5" w:rsidRDefault="00EE7097" w:rsidP="007C7229">
            <w:pPr>
              <w:jc w:val="both"/>
              <w:rPr>
                <w:szCs w:val="24"/>
              </w:rPr>
            </w:pPr>
            <w:r w:rsidRPr="001C60B5">
              <w:rPr>
                <w:b/>
                <w:szCs w:val="24"/>
              </w:rPr>
              <w:t xml:space="preserve">Link to Public Health Wales </w:t>
            </w:r>
            <w:hyperlink r:id="rId12" w:history="1">
              <w:r w:rsidRPr="001C60B5">
                <w:rPr>
                  <w:rStyle w:val="Hyperlink"/>
                  <w:b/>
                  <w:szCs w:val="24"/>
                </w:rPr>
                <w:t>Strategic Plan</w:t>
              </w:r>
            </w:hyperlink>
          </w:p>
          <w:p w14:paraId="5F74B925" w14:textId="77777777" w:rsidR="00EE7097" w:rsidRPr="001C60B5" w:rsidRDefault="00EE7097" w:rsidP="007C7229">
            <w:pPr>
              <w:jc w:val="both"/>
              <w:rPr>
                <w:szCs w:val="24"/>
              </w:rPr>
            </w:pPr>
          </w:p>
          <w:p w14:paraId="5F74B926" w14:textId="77777777" w:rsidR="0013075E" w:rsidRDefault="00B52B29" w:rsidP="007C7229">
            <w:pPr>
              <w:jc w:val="both"/>
              <w:rPr>
                <w:szCs w:val="24"/>
              </w:rPr>
            </w:pPr>
            <w:r w:rsidRPr="001C60B5">
              <w:rPr>
                <w:szCs w:val="24"/>
              </w:rPr>
              <w:t>Public Health Wales has an agreed strategic plan</w:t>
            </w:r>
            <w:r>
              <w:rPr>
                <w:szCs w:val="24"/>
              </w:rPr>
              <w:t xml:space="preserve">, which has identified seven strategic priorities and well-being objectives.  </w:t>
            </w:r>
          </w:p>
          <w:p w14:paraId="5F74B927" w14:textId="77777777" w:rsidR="00B52B29" w:rsidRDefault="00B52B29" w:rsidP="007C7229">
            <w:pPr>
              <w:jc w:val="both"/>
              <w:rPr>
                <w:bCs/>
                <w:szCs w:val="24"/>
              </w:rPr>
            </w:pPr>
          </w:p>
          <w:p w14:paraId="5F74B928" w14:textId="77777777" w:rsidR="00EE7097" w:rsidRPr="001C60B5" w:rsidRDefault="00EE7097" w:rsidP="007C7229">
            <w:pPr>
              <w:jc w:val="both"/>
              <w:rPr>
                <w:szCs w:val="24"/>
              </w:rPr>
            </w:pPr>
            <w:r w:rsidRPr="001C60B5">
              <w:rPr>
                <w:szCs w:val="24"/>
              </w:rPr>
              <w:t>This report contributes to the following:</w:t>
            </w:r>
          </w:p>
        </w:tc>
      </w:tr>
      <w:tr w:rsidR="00EE7097" w:rsidRPr="001C60B5" w14:paraId="5F74B92C" w14:textId="77777777" w:rsidTr="00480353">
        <w:tc>
          <w:tcPr>
            <w:tcW w:w="3192" w:type="dxa"/>
            <w:shd w:val="clear" w:color="auto" w:fill="auto"/>
          </w:tcPr>
          <w:p w14:paraId="5F74B92A" w14:textId="77777777" w:rsidR="00EE7097" w:rsidRPr="001C60B5" w:rsidRDefault="00B52B29" w:rsidP="007C7229">
            <w:pPr>
              <w:jc w:val="both"/>
              <w:rPr>
                <w:b/>
                <w:szCs w:val="24"/>
              </w:rPr>
            </w:pPr>
            <w:r w:rsidRPr="001C60B5">
              <w:rPr>
                <w:b/>
                <w:szCs w:val="24"/>
              </w:rPr>
              <w:t xml:space="preserve">Strategic </w:t>
            </w:r>
            <w:r>
              <w:rPr>
                <w:b/>
                <w:szCs w:val="24"/>
              </w:rPr>
              <w:t>Priority/Well-being Objective</w:t>
            </w:r>
          </w:p>
        </w:tc>
        <w:tc>
          <w:tcPr>
            <w:tcW w:w="5834" w:type="dxa"/>
            <w:shd w:val="clear" w:color="auto" w:fill="auto"/>
          </w:tcPr>
          <w:p w14:paraId="5F74B92B" w14:textId="618CE466" w:rsidR="00EE7097" w:rsidRPr="0013075E" w:rsidRDefault="000F3289" w:rsidP="007C7229">
            <w:pPr>
              <w:jc w:val="both"/>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F768D0">
                  <w:rPr>
                    <w:rStyle w:val="Dropdown"/>
                  </w:rPr>
                  <w:t>5 - Protecting the public from infection and environmental threats to health</w:t>
                </w:r>
              </w:sdtContent>
            </w:sdt>
          </w:p>
        </w:tc>
      </w:tr>
      <w:tr w:rsidR="005D5FC4" w:rsidRPr="001C60B5" w14:paraId="5F74B92F" w14:textId="77777777" w:rsidTr="00480353">
        <w:tc>
          <w:tcPr>
            <w:tcW w:w="3192" w:type="dxa"/>
            <w:shd w:val="clear" w:color="auto" w:fill="auto"/>
          </w:tcPr>
          <w:p w14:paraId="5F74B92D" w14:textId="77777777" w:rsidR="005D5FC4" w:rsidRPr="001C60B5" w:rsidRDefault="005D5FC4" w:rsidP="007C7229">
            <w:pPr>
              <w:jc w:val="both"/>
              <w:rPr>
                <w:b/>
                <w:szCs w:val="24"/>
              </w:rPr>
            </w:pPr>
            <w:r w:rsidRPr="001C60B5">
              <w:rPr>
                <w:b/>
                <w:szCs w:val="24"/>
              </w:rPr>
              <w:t xml:space="preserve">Strategic </w:t>
            </w:r>
            <w:r>
              <w:rPr>
                <w:b/>
                <w:szCs w:val="24"/>
              </w:rPr>
              <w:t>Priority/Well-being Objective</w:t>
            </w:r>
          </w:p>
        </w:tc>
        <w:tc>
          <w:tcPr>
            <w:tcW w:w="5834" w:type="dxa"/>
            <w:shd w:val="clear" w:color="auto" w:fill="auto"/>
          </w:tcPr>
          <w:p w14:paraId="5F74B92E" w14:textId="6DA1644B" w:rsidR="005D5FC4" w:rsidRPr="0013075E" w:rsidRDefault="000F3289" w:rsidP="007C7229">
            <w:pPr>
              <w:jc w:val="both"/>
              <w:rPr>
                <w:szCs w:val="24"/>
              </w:rPr>
            </w:pPr>
            <w:sdt>
              <w:sdtPr>
                <w:rPr>
                  <w:rStyle w:val="Dropdown"/>
                </w:rPr>
                <w:alias w:val="Strategic Objective"/>
                <w:tag w:val="Strategic Objective"/>
                <w:id w:val="-973981063"/>
                <w:placeholder>
                  <w:docPart w:val="E19A39A2DC34427782303866B501EF52"/>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5D5FC4" w:rsidRPr="0013075E">
                  <w:rPr>
                    <w:rStyle w:val="PlaceholderText"/>
                    <w:szCs w:val="24"/>
                  </w:rPr>
                  <w:t>Choose an item.</w:t>
                </w:r>
              </w:sdtContent>
            </w:sdt>
          </w:p>
        </w:tc>
      </w:tr>
      <w:tr w:rsidR="005D5FC4" w:rsidRPr="001C60B5" w14:paraId="5F74B932" w14:textId="77777777" w:rsidTr="00480353">
        <w:tc>
          <w:tcPr>
            <w:tcW w:w="3192" w:type="dxa"/>
            <w:tcBorders>
              <w:bottom w:val="single" w:sz="4" w:space="0" w:color="auto"/>
            </w:tcBorders>
            <w:shd w:val="clear" w:color="auto" w:fill="auto"/>
          </w:tcPr>
          <w:p w14:paraId="5F74B930" w14:textId="77777777" w:rsidR="005D5FC4" w:rsidRPr="001C60B5" w:rsidRDefault="005D5FC4" w:rsidP="007C7229">
            <w:pPr>
              <w:jc w:val="both"/>
              <w:rPr>
                <w:b/>
                <w:szCs w:val="24"/>
              </w:rPr>
            </w:pPr>
            <w:r w:rsidRPr="001C60B5">
              <w:rPr>
                <w:b/>
                <w:szCs w:val="24"/>
              </w:rPr>
              <w:t xml:space="preserve">Strategic </w:t>
            </w:r>
            <w:r>
              <w:rPr>
                <w:b/>
                <w:szCs w:val="24"/>
              </w:rPr>
              <w:t>Priority/Well-being Objective</w:t>
            </w:r>
          </w:p>
        </w:tc>
        <w:tc>
          <w:tcPr>
            <w:tcW w:w="5834" w:type="dxa"/>
            <w:tcBorders>
              <w:bottom w:val="single" w:sz="4" w:space="0" w:color="auto"/>
            </w:tcBorders>
            <w:shd w:val="clear" w:color="auto" w:fill="auto"/>
          </w:tcPr>
          <w:p w14:paraId="5F74B931" w14:textId="1A2270D4" w:rsidR="005D5FC4" w:rsidRPr="0013075E" w:rsidRDefault="000F3289" w:rsidP="007C7229">
            <w:pPr>
              <w:jc w:val="both"/>
              <w:rPr>
                <w:szCs w:val="24"/>
              </w:rPr>
            </w:pPr>
            <w:sdt>
              <w:sdtPr>
                <w:rPr>
                  <w:rStyle w:val="Dropdown"/>
                </w:rPr>
                <w:alias w:val="Strategic Objective"/>
                <w:tag w:val="Strategic Objective"/>
                <w:id w:val="-693302159"/>
                <w:placeholder>
                  <w:docPart w:val="4037A60F381647269327C3491F818BF7"/>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5D5FC4" w:rsidRPr="0013075E">
                  <w:rPr>
                    <w:rStyle w:val="PlaceholderText"/>
                    <w:szCs w:val="24"/>
                  </w:rPr>
                  <w:t>Choose an item.</w:t>
                </w:r>
              </w:sdtContent>
            </w:sdt>
          </w:p>
        </w:tc>
      </w:tr>
      <w:tr w:rsidR="00EE7097" w:rsidRPr="001C60B5" w14:paraId="5F74B934" w14:textId="77777777" w:rsidTr="00480353">
        <w:tc>
          <w:tcPr>
            <w:tcW w:w="9026" w:type="dxa"/>
            <w:gridSpan w:val="2"/>
            <w:tcBorders>
              <w:left w:val="nil"/>
              <w:right w:val="nil"/>
            </w:tcBorders>
            <w:shd w:val="clear" w:color="auto" w:fill="auto"/>
          </w:tcPr>
          <w:p w14:paraId="5F74B933" w14:textId="77777777" w:rsidR="00EE7097" w:rsidRPr="005B4E75" w:rsidRDefault="00EE7097" w:rsidP="007C7229">
            <w:pPr>
              <w:jc w:val="both"/>
              <w:rPr>
                <w:b/>
                <w:sz w:val="12"/>
                <w:szCs w:val="12"/>
              </w:rPr>
            </w:pPr>
          </w:p>
        </w:tc>
      </w:tr>
      <w:tr w:rsidR="00EE7097" w:rsidRPr="001C60B5" w14:paraId="5F74B937" w14:textId="77777777" w:rsidTr="00480353">
        <w:tc>
          <w:tcPr>
            <w:tcW w:w="9026" w:type="dxa"/>
            <w:gridSpan w:val="2"/>
            <w:shd w:val="clear" w:color="auto" w:fill="F2F2F2" w:themeFill="background1" w:themeFillShade="F2"/>
          </w:tcPr>
          <w:p w14:paraId="5F74B935" w14:textId="77777777" w:rsidR="00EE7097" w:rsidRPr="001C60B5" w:rsidRDefault="00EE7097" w:rsidP="007C7229">
            <w:pPr>
              <w:jc w:val="both"/>
              <w:rPr>
                <w:i/>
                <w:color w:val="FF0000"/>
                <w:szCs w:val="24"/>
              </w:rPr>
            </w:pPr>
            <w:r w:rsidRPr="001C60B5">
              <w:rPr>
                <w:b/>
                <w:szCs w:val="24"/>
              </w:rPr>
              <w:t xml:space="preserve">Summary impact analysis </w:t>
            </w:r>
            <w:r w:rsidRPr="001C60B5">
              <w:rPr>
                <w:i/>
                <w:color w:val="FF0000"/>
                <w:szCs w:val="24"/>
              </w:rPr>
              <w:t xml:space="preserve"> </w:t>
            </w:r>
          </w:p>
          <w:p w14:paraId="5F74B936" w14:textId="77777777" w:rsidR="00EE7097" w:rsidRPr="001C60B5" w:rsidRDefault="00EE7097" w:rsidP="007C7229">
            <w:pPr>
              <w:jc w:val="both"/>
              <w:rPr>
                <w:color w:val="FF0000"/>
                <w:szCs w:val="24"/>
              </w:rPr>
            </w:pPr>
          </w:p>
        </w:tc>
      </w:tr>
      <w:tr w:rsidR="00EE7097" w:rsidRPr="001C60B5" w14:paraId="5F74B93E" w14:textId="77777777" w:rsidTr="00480353">
        <w:tc>
          <w:tcPr>
            <w:tcW w:w="3192" w:type="dxa"/>
          </w:tcPr>
          <w:p w14:paraId="5F74B938" w14:textId="77777777" w:rsidR="00EE7097" w:rsidRPr="001C60B5" w:rsidRDefault="00EE7097" w:rsidP="007C7229">
            <w:pPr>
              <w:jc w:val="both"/>
              <w:rPr>
                <w:b/>
                <w:szCs w:val="24"/>
              </w:rPr>
            </w:pPr>
            <w:r w:rsidRPr="001C60B5">
              <w:rPr>
                <w:b/>
                <w:szCs w:val="24"/>
              </w:rPr>
              <w:t>Equality and Health Impact Assessment</w:t>
            </w:r>
          </w:p>
        </w:tc>
        <w:tc>
          <w:tcPr>
            <w:tcW w:w="5834" w:type="dxa"/>
          </w:tcPr>
          <w:p w14:paraId="5F74B93D" w14:textId="72861016" w:rsidR="00EE7097" w:rsidRPr="00126327" w:rsidRDefault="00F768D0" w:rsidP="007C7229">
            <w:pPr>
              <w:jc w:val="both"/>
              <w:rPr>
                <w:i/>
                <w:color w:val="FF0000"/>
                <w:szCs w:val="24"/>
              </w:rPr>
            </w:pPr>
            <w:r w:rsidRPr="00F768D0">
              <w:rPr>
                <w:szCs w:val="24"/>
              </w:rPr>
              <w:t>Not undertaken</w:t>
            </w:r>
            <w:r w:rsidR="00126327" w:rsidRPr="00F768D0">
              <w:rPr>
                <w:i/>
                <w:color w:val="FF0000"/>
                <w:szCs w:val="24"/>
              </w:rPr>
              <w:t xml:space="preserve">  </w:t>
            </w:r>
          </w:p>
        </w:tc>
      </w:tr>
      <w:tr w:rsidR="003A3414" w:rsidRPr="001C60B5" w14:paraId="5F74B941" w14:textId="77777777" w:rsidTr="00480353">
        <w:tc>
          <w:tcPr>
            <w:tcW w:w="3192" w:type="dxa"/>
          </w:tcPr>
          <w:p w14:paraId="5F74B93F" w14:textId="77777777" w:rsidR="003A3414" w:rsidRPr="001C60B5" w:rsidRDefault="003A3414" w:rsidP="007C7229">
            <w:pPr>
              <w:jc w:val="both"/>
              <w:rPr>
                <w:b/>
                <w:szCs w:val="24"/>
              </w:rPr>
            </w:pPr>
            <w:r>
              <w:rPr>
                <w:b/>
                <w:szCs w:val="24"/>
              </w:rPr>
              <w:t>Risk and Assurance</w:t>
            </w:r>
          </w:p>
        </w:tc>
        <w:tc>
          <w:tcPr>
            <w:tcW w:w="5834" w:type="dxa"/>
            <w:tcBorders>
              <w:bottom w:val="single" w:sz="4" w:space="0" w:color="auto"/>
            </w:tcBorders>
          </w:tcPr>
          <w:p w14:paraId="5F74B940" w14:textId="220AFF92" w:rsidR="003A3414" w:rsidRPr="003A3414" w:rsidRDefault="00461F10" w:rsidP="007C7229">
            <w:pPr>
              <w:jc w:val="both"/>
              <w:rPr>
                <w:color w:val="FF0000"/>
                <w:szCs w:val="24"/>
              </w:rPr>
            </w:pPr>
            <w:r w:rsidRPr="00461F10">
              <w:t xml:space="preserve">Links to general risk for Public Health Service/ Health protection services and risks relating to the COVID response. Successful delivery of vaccination programme will positively impact on rates of COVID 19 within the population and mitigate current risks associated with high circulating levels. However, given the complexity of the programme this will take many months to realise. </w:t>
            </w:r>
          </w:p>
        </w:tc>
      </w:tr>
      <w:tr w:rsidR="00EE7097" w:rsidRPr="001C60B5" w14:paraId="5F74B944" w14:textId="77777777" w:rsidTr="00480353">
        <w:trPr>
          <w:trHeight w:val="1030"/>
        </w:trPr>
        <w:tc>
          <w:tcPr>
            <w:tcW w:w="3192" w:type="dxa"/>
            <w:vMerge w:val="restart"/>
          </w:tcPr>
          <w:p w14:paraId="5F74B942" w14:textId="77777777" w:rsidR="00EE7097" w:rsidRPr="001C60B5" w:rsidRDefault="00EE7097" w:rsidP="007C7229">
            <w:pPr>
              <w:jc w:val="both"/>
              <w:rPr>
                <w:b/>
                <w:szCs w:val="24"/>
              </w:rPr>
            </w:pPr>
            <w:r w:rsidRPr="001C60B5">
              <w:rPr>
                <w:b/>
                <w:szCs w:val="24"/>
              </w:rPr>
              <w:t>Health and Care Standards</w:t>
            </w:r>
          </w:p>
        </w:tc>
        <w:tc>
          <w:tcPr>
            <w:tcW w:w="5834" w:type="dxa"/>
            <w:tcBorders>
              <w:bottom w:val="nil"/>
            </w:tcBorders>
          </w:tcPr>
          <w:p w14:paraId="5F74B943" w14:textId="77777777" w:rsidR="00EE7097" w:rsidRPr="001C60B5" w:rsidRDefault="00EE7097" w:rsidP="007C7229">
            <w:pPr>
              <w:jc w:val="both"/>
              <w:rPr>
                <w:szCs w:val="24"/>
              </w:rPr>
            </w:pPr>
            <w:r w:rsidRPr="001C60B5">
              <w:rPr>
                <w:szCs w:val="24"/>
              </w:rPr>
              <w:t xml:space="preserve">This report supports and/or takes into account the </w:t>
            </w:r>
            <w:hyperlink r:id="rId13"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E263D4" w:rsidRPr="001C60B5" w14:paraId="5F74B947" w14:textId="77777777" w:rsidTr="00480353">
        <w:trPr>
          <w:trHeight w:val="281"/>
        </w:trPr>
        <w:tc>
          <w:tcPr>
            <w:tcW w:w="3192" w:type="dxa"/>
            <w:vMerge/>
          </w:tcPr>
          <w:p w14:paraId="5F74B945" w14:textId="77777777" w:rsidR="00E263D4" w:rsidRPr="001C60B5" w:rsidRDefault="00E263D4" w:rsidP="007C7229">
            <w:pPr>
              <w:jc w:val="both"/>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14:paraId="5F74B946" w14:textId="69F5ABC5" w:rsidR="00E263D4" w:rsidRPr="001C60B5" w:rsidRDefault="00F768D0" w:rsidP="007C7229">
                <w:pPr>
                  <w:ind w:left="436"/>
                  <w:jc w:val="both"/>
                  <w:rPr>
                    <w:szCs w:val="24"/>
                  </w:rPr>
                </w:pPr>
                <w:r>
                  <w:rPr>
                    <w:rStyle w:val="Dropdown"/>
                  </w:rPr>
                  <w:t>Theme 1 - Staying Healthy</w:t>
                </w:r>
              </w:p>
            </w:sdtContent>
          </w:sdt>
        </w:tc>
      </w:tr>
      <w:tr w:rsidR="00EE7097" w:rsidRPr="001C60B5" w14:paraId="5F74B94A" w14:textId="77777777" w:rsidTr="00480353">
        <w:trPr>
          <w:trHeight w:val="277"/>
        </w:trPr>
        <w:tc>
          <w:tcPr>
            <w:tcW w:w="3192" w:type="dxa"/>
            <w:vMerge/>
          </w:tcPr>
          <w:p w14:paraId="5F74B948" w14:textId="77777777" w:rsidR="00EE7097" w:rsidRPr="001C60B5" w:rsidRDefault="00EE7097" w:rsidP="007C7229">
            <w:pPr>
              <w:jc w:val="both"/>
              <w:rPr>
                <w:b/>
                <w:szCs w:val="24"/>
              </w:rPr>
            </w:pPr>
          </w:p>
        </w:tc>
        <w:tc>
          <w:tcPr>
            <w:tcW w:w="5834" w:type="dxa"/>
            <w:tcBorders>
              <w:top w:val="nil"/>
              <w:bottom w:val="nil"/>
            </w:tcBorders>
          </w:tcPr>
          <w:sdt>
            <w:sdtPr>
              <w:rPr>
                <w:rStyle w:val="Dropdown"/>
              </w:rPr>
              <w:alias w:val="Health and Care Standards"/>
              <w:tag w:val="Health and Care Standards"/>
              <w:id w:val="1886576"/>
              <w:placeholder>
                <w:docPart w:val="9B8CED89FE6E489186EB32EA798E74F5"/>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sz w:val="22"/>
                <w:szCs w:val="24"/>
              </w:rPr>
            </w:sdtEndPr>
            <w:sdtContent>
              <w:p w14:paraId="5F74B949" w14:textId="46E38ED6" w:rsidR="00EE7097" w:rsidRPr="001C60B5" w:rsidRDefault="00F768D0" w:rsidP="007C7229">
                <w:pPr>
                  <w:ind w:left="436"/>
                  <w:jc w:val="both"/>
                  <w:rPr>
                    <w:szCs w:val="24"/>
                  </w:rPr>
                </w:pPr>
                <w:r>
                  <w:rPr>
                    <w:rStyle w:val="Dropdown"/>
                  </w:rPr>
                  <w:t>Theme 3 - Effective Care</w:t>
                </w:r>
              </w:p>
            </w:sdtContent>
          </w:sdt>
        </w:tc>
      </w:tr>
      <w:tr w:rsidR="00EE7097" w:rsidRPr="001C60B5" w14:paraId="5F74B94D" w14:textId="77777777" w:rsidTr="00480353">
        <w:trPr>
          <w:trHeight w:val="353"/>
        </w:trPr>
        <w:tc>
          <w:tcPr>
            <w:tcW w:w="3192" w:type="dxa"/>
            <w:vMerge/>
          </w:tcPr>
          <w:p w14:paraId="5F74B94B" w14:textId="77777777" w:rsidR="00EE7097" w:rsidRPr="001C60B5" w:rsidRDefault="00EE7097" w:rsidP="007C7229">
            <w:pPr>
              <w:jc w:val="both"/>
              <w:rPr>
                <w:b/>
                <w:szCs w:val="24"/>
              </w:rPr>
            </w:pPr>
          </w:p>
        </w:tc>
        <w:tc>
          <w:tcPr>
            <w:tcW w:w="5834" w:type="dxa"/>
            <w:tcBorders>
              <w:top w:val="nil"/>
            </w:tcBorders>
          </w:tcPr>
          <w:sdt>
            <w:sdtPr>
              <w:rPr>
                <w:rStyle w:val="Dropdown"/>
              </w:rPr>
              <w:alias w:val="Health and Care Standards"/>
              <w:tag w:val="Health and Care Standards"/>
              <w:id w:val="1886578"/>
              <w:placeholder>
                <w:docPart w:val="19A444ACBEA34578BA0CB31422DD2377"/>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sz w:val="22"/>
                <w:szCs w:val="24"/>
              </w:rPr>
            </w:sdtEndPr>
            <w:sdtContent>
              <w:p w14:paraId="5F74B94C" w14:textId="75EE394B" w:rsidR="00EE7097" w:rsidRPr="001C60B5" w:rsidRDefault="00F768D0" w:rsidP="007C7229">
                <w:pPr>
                  <w:ind w:left="436"/>
                  <w:jc w:val="both"/>
                  <w:rPr>
                    <w:szCs w:val="24"/>
                  </w:rPr>
                </w:pPr>
                <w:r>
                  <w:rPr>
                    <w:rStyle w:val="Dropdown"/>
                  </w:rPr>
                  <w:t>Theme 6 - Individual Care</w:t>
                </w:r>
              </w:p>
            </w:sdtContent>
          </w:sdt>
        </w:tc>
      </w:tr>
      <w:tr w:rsidR="00EE7097" w:rsidRPr="001C60B5" w14:paraId="5F74B950" w14:textId="77777777" w:rsidTr="00480353">
        <w:tc>
          <w:tcPr>
            <w:tcW w:w="3192" w:type="dxa"/>
          </w:tcPr>
          <w:p w14:paraId="5F74B94E" w14:textId="77777777" w:rsidR="00EE7097" w:rsidRPr="001C60B5" w:rsidRDefault="00EE7097" w:rsidP="007C7229">
            <w:pPr>
              <w:jc w:val="both"/>
              <w:rPr>
                <w:b/>
                <w:szCs w:val="24"/>
              </w:rPr>
            </w:pPr>
            <w:r w:rsidRPr="001C60B5">
              <w:rPr>
                <w:b/>
                <w:szCs w:val="24"/>
              </w:rPr>
              <w:t>Financial implications</w:t>
            </w:r>
          </w:p>
        </w:tc>
        <w:tc>
          <w:tcPr>
            <w:tcW w:w="5834" w:type="dxa"/>
          </w:tcPr>
          <w:p w14:paraId="5F74B94F" w14:textId="025775FC" w:rsidR="00EE7097" w:rsidRPr="00126327" w:rsidRDefault="00F768D0" w:rsidP="007C7229">
            <w:pPr>
              <w:jc w:val="both"/>
              <w:rPr>
                <w:szCs w:val="24"/>
              </w:rPr>
            </w:pPr>
            <w:r w:rsidRPr="00F768D0">
              <w:rPr>
                <w:szCs w:val="24"/>
              </w:rPr>
              <w:t>Pay and non-pay forecast 2020/21 £503,573. Full year £1,316,776</w:t>
            </w:r>
            <w:r w:rsidR="00A92911">
              <w:rPr>
                <w:szCs w:val="24"/>
              </w:rPr>
              <w:t xml:space="preserve"> (includes posts agreed in PHW business case)</w:t>
            </w:r>
          </w:p>
        </w:tc>
      </w:tr>
      <w:tr w:rsidR="00EE7097" w:rsidRPr="001C60B5" w14:paraId="5F74B953" w14:textId="77777777" w:rsidTr="00480353">
        <w:tc>
          <w:tcPr>
            <w:tcW w:w="3192" w:type="dxa"/>
          </w:tcPr>
          <w:p w14:paraId="5F74B951" w14:textId="77777777" w:rsidR="00EE7097" w:rsidRPr="001C60B5" w:rsidRDefault="00EE7097" w:rsidP="007C7229">
            <w:pPr>
              <w:jc w:val="both"/>
              <w:rPr>
                <w:b/>
                <w:szCs w:val="24"/>
              </w:rPr>
            </w:pPr>
            <w:r w:rsidRPr="001C60B5">
              <w:rPr>
                <w:b/>
                <w:szCs w:val="24"/>
              </w:rPr>
              <w:t xml:space="preserve">People implications </w:t>
            </w:r>
          </w:p>
        </w:tc>
        <w:tc>
          <w:tcPr>
            <w:tcW w:w="5834" w:type="dxa"/>
            <w:tcBorders>
              <w:bottom w:val="single" w:sz="4" w:space="0" w:color="auto"/>
            </w:tcBorders>
          </w:tcPr>
          <w:p w14:paraId="5F74B952" w14:textId="6CE35226" w:rsidR="00EE7097" w:rsidRPr="00126327" w:rsidRDefault="00A92911" w:rsidP="007C7229">
            <w:pPr>
              <w:jc w:val="both"/>
              <w:rPr>
                <w:color w:val="FF0000"/>
                <w:szCs w:val="24"/>
              </w:rPr>
            </w:pPr>
            <w:r w:rsidRPr="00A92911">
              <w:rPr>
                <w:szCs w:val="24"/>
              </w:rPr>
              <w:t xml:space="preserve">Additional posts agreed as part of PHW </w:t>
            </w:r>
            <w:r>
              <w:rPr>
                <w:szCs w:val="24"/>
              </w:rPr>
              <w:t xml:space="preserve">business case </w:t>
            </w:r>
          </w:p>
        </w:tc>
      </w:tr>
    </w:tbl>
    <w:p w14:paraId="5F74B954" w14:textId="77777777" w:rsidR="007D03B8" w:rsidRPr="001C60B5" w:rsidRDefault="007D03B8" w:rsidP="007C7229">
      <w:pPr>
        <w:pStyle w:val="ListBullet"/>
        <w:jc w:val="both"/>
        <w:rPr>
          <w:b/>
          <w:color w:val="FF0000"/>
          <w:szCs w:val="24"/>
        </w:rPr>
        <w:sectPr w:rsidR="007D03B8" w:rsidRPr="001C60B5" w:rsidSect="008902AA">
          <w:footerReference w:type="default" r:id="rId14"/>
          <w:pgSz w:w="11906" w:h="16838"/>
          <w:pgMar w:top="1440" w:right="1440" w:bottom="1440" w:left="1440" w:header="708" w:footer="708" w:gutter="0"/>
          <w:cols w:space="708"/>
          <w:docGrid w:linePitch="360"/>
        </w:sectPr>
      </w:pPr>
    </w:p>
    <w:p w14:paraId="5F74B955" w14:textId="66912322" w:rsidR="0087331D" w:rsidRPr="007C7229" w:rsidRDefault="00A75811" w:rsidP="007C7229">
      <w:pPr>
        <w:pStyle w:val="Heading1"/>
        <w:numPr>
          <w:ilvl w:val="0"/>
          <w:numId w:val="2"/>
        </w:numPr>
        <w:ind w:left="567" w:hanging="567"/>
        <w:jc w:val="both"/>
        <w:rPr>
          <w:sz w:val="28"/>
        </w:rPr>
      </w:pPr>
      <w:r w:rsidRPr="007C7229">
        <w:rPr>
          <w:sz w:val="28"/>
        </w:rPr>
        <w:lastRenderedPageBreak/>
        <w:t>S</w:t>
      </w:r>
      <w:r w:rsidR="00051E74" w:rsidRPr="007C7229">
        <w:rPr>
          <w:sz w:val="28"/>
        </w:rPr>
        <w:t>ituation</w:t>
      </w:r>
    </w:p>
    <w:p w14:paraId="75A89BEC" w14:textId="58EADEA1" w:rsidR="007C7229" w:rsidRPr="007C7229" w:rsidRDefault="00400009" w:rsidP="007C7229">
      <w:pPr>
        <w:pStyle w:val="Heading1"/>
        <w:jc w:val="both"/>
        <w:rPr>
          <w:b w:val="0"/>
          <w:sz w:val="28"/>
        </w:rPr>
      </w:pPr>
      <w:r w:rsidRPr="007C7229">
        <w:rPr>
          <w:b w:val="0"/>
          <w:szCs w:val="24"/>
        </w:rPr>
        <w:t xml:space="preserve">This paper provides a </w:t>
      </w:r>
      <w:r w:rsidR="00B47D9C" w:rsidRPr="007C7229">
        <w:rPr>
          <w:b w:val="0"/>
          <w:szCs w:val="24"/>
        </w:rPr>
        <w:t>high-level</w:t>
      </w:r>
      <w:r w:rsidRPr="007C7229">
        <w:rPr>
          <w:b w:val="0"/>
          <w:szCs w:val="24"/>
        </w:rPr>
        <w:t xml:space="preserve"> update on the COVID-19 vaccination programme in Wales, outlin</w:t>
      </w:r>
      <w:r w:rsidR="00C23150" w:rsidRPr="007C7229">
        <w:rPr>
          <w:b w:val="0"/>
          <w:szCs w:val="24"/>
        </w:rPr>
        <w:t xml:space="preserve">ing the progress of </w:t>
      </w:r>
      <w:r w:rsidRPr="007C7229">
        <w:rPr>
          <w:b w:val="0"/>
          <w:szCs w:val="24"/>
        </w:rPr>
        <w:t xml:space="preserve"> NHS Wales’ and </w:t>
      </w:r>
      <w:r w:rsidR="00C23150" w:rsidRPr="007C7229">
        <w:rPr>
          <w:b w:val="0"/>
          <w:szCs w:val="24"/>
        </w:rPr>
        <w:t xml:space="preserve">describing the contribution of Public Health Wales (PHW) </w:t>
      </w:r>
      <w:r w:rsidR="00A72B4F" w:rsidRPr="007C7229">
        <w:rPr>
          <w:b w:val="0"/>
          <w:szCs w:val="24"/>
        </w:rPr>
        <w:t xml:space="preserve">The paper also includes updates on plans for vaccinating PHW staff and includes brief updates on the flu and childhood vaccination programmes. </w:t>
      </w:r>
    </w:p>
    <w:p w14:paraId="5F74B958" w14:textId="623DBDD6" w:rsidR="0087331D" w:rsidRPr="007C7229" w:rsidRDefault="0087331D" w:rsidP="007C7229">
      <w:pPr>
        <w:pStyle w:val="Heading1"/>
        <w:numPr>
          <w:ilvl w:val="0"/>
          <w:numId w:val="2"/>
        </w:numPr>
        <w:ind w:left="567" w:hanging="567"/>
        <w:jc w:val="both"/>
        <w:rPr>
          <w:sz w:val="28"/>
        </w:rPr>
      </w:pPr>
      <w:r w:rsidRPr="007C7229">
        <w:rPr>
          <w:sz w:val="28"/>
        </w:rPr>
        <w:t>Background</w:t>
      </w:r>
    </w:p>
    <w:p w14:paraId="47E58C66" w14:textId="77777777" w:rsidR="0072060D" w:rsidRDefault="0072060D" w:rsidP="007C7229">
      <w:pPr>
        <w:jc w:val="both"/>
        <w:rPr>
          <w:szCs w:val="24"/>
        </w:rPr>
      </w:pPr>
    </w:p>
    <w:p w14:paraId="3EF135D7" w14:textId="40744771" w:rsidR="0072060D" w:rsidRPr="00262C75" w:rsidRDefault="0072060D" w:rsidP="007C7229">
      <w:pPr>
        <w:jc w:val="both"/>
      </w:pPr>
      <w:r w:rsidRPr="00262C75">
        <w:t xml:space="preserve">The long term response to the COVID-19 pandemic requires a safe and effective vaccine to be available for all who need it. </w:t>
      </w:r>
    </w:p>
    <w:p w14:paraId="12D7A3A8" w14:textId="77777777" w:rsidR="0072060D" w:rsidRPr="00262C75" w:rsidRDefault="0072060D" w:rsidP="007C7229">
      <w:pPr>
        <w:pStyle w:val="ListParagraph"/>
        <w:ind w:left="360"/>
        <w:jc w:val="both"/>
      </w:pPr>
    </w:p>
    <w:p w14:paraId="5F16D0D1" w14:textId="453A8661" w:rsidR="0072060D" w:rsidRPr="00262C75" w:rsidRDefault="0072060D" w:rsidP="007C7229">
      <w:pPr>
        <w:jc w:val="both"/>
      </w:pPr>
      <w:r w:rsidRPr="00262C75">
        <w:t>Rapid progress has been made in research of a large number of candidate COVID-19 vaccines and preparations for manufacture</w:t>
      </w:r>
      <w:r w:rsidR="00266096">
        <w:t xml:space="preserve">, with </w:t>
      </w:r>
      <w:r w:rsidRPr="00262C75">
        <w:t xml:space="preserve">over 200 COVID-19 vaccine candidates against the SARS-CoV-2 virus to date, of which around 50 have entered clinical trials. Wales has participated in this research, providing leadership for the part of the </w:t>
      </w:r>
      <w:r w:rsidR="00266096" w:rsidRPr="00262C75">
        <w:t xml:space="preserve">Oxford </w:t>
      </w:r>
      <w:proofErr w:type="spellStart"/>
      <w:r w:rsidR="00266096" w:rsidRPr="00262C75">
        <w:t>AstraZenaca</w:t>
      </w:r>
      <w:proofErr w:type="spellEnd"/>
      <w:r w:rsidR="00266096" w:rsidRPr="00262C75">
        <w:t xml:space="preserve"> COVID-19 vaccine </w:t>
      </w:r>
      <w:r w:rsidRPr="00262C75">
        <w:t xml:space="preserve">phase III trial based in Wales. </w:t>
      </w:r>
    </w:p>
    <w:p w14:paraId="0B75857D" w14:textId="77777777" w:rsidR="0072060D" w:rsidRPr="00262C75" w:rsidRDefault="0072060D" w:rsidP="007C7229">
      <w:pPr>
        <w:jc w:val="both"/>
      </w:pPr>
    </w:p>
    <w:p w14:paraId="46AB4AED" w14:textId="707EB091" w:rsidR="0072060D" w:rsidRPr="00262C75" w:rsidRDefault="0072060D" w:rsidP="007C7229">
      <w:pPr>
        <w:jc w:val="both"/>
      </w:pPr>
      <w:r w:rsidRPr="00262C75">
        <w:t>UK governments have announced the advanced purchase of</w:t>
      </w:r>
      <w:r w:rsidR="00266096">
        <w:t xml:space="preserve"> seven </w:t>
      </w:r>
      <w:r w:rsidR="00455F4E">
        <w:t xml:space="preserve">different </w:t>
      </w:r>
      <w:r w:rsidR="00266096">
        <w:t>vaccines,</w:t>
      </w:r>
      <w:r w:rsidRPr="00262C75">
        <w:t xml:space="preserve"> </w:t>
      </w:r>
      <w:r w:rsidR="00266096">
        <w:t xml:space="preserve">utilising </w:t>
      </w:r>
      <w:r w:rsidRPr="00262C75">
        <w:t xml:space="preserve">four different COVID-19 vaccine technologies, totalling over 350 million doses. The contracts </w:t>
      </w:r>
      <w:r w:rsidR="00266096" w:rsidRPr="00262C75">
        <w:t xml:space="preserve">announced </w:t>
      </w:r>
      <w:r w:rsidRPr="00262C75">
        <w:t xml:space="preserve">include the </w:t>
      </w:r>
      <w:r w:rsidR="00266096" w:rsidRPr="00262C75">
        <w:t xml:space="preserve">Pfizer </w:t>
      </w:r>
      <w:proofErr w:type="spellStart"/>
      <w:r w:rsidR="00266096">
        <w:t>BioNT</w:t>
      </w:r>
      <w:r w:rsidRPr="00262C75">
        <w:t>ech</w:t>
      </w:r>
      <w:proofErr w:type="spellEnd"/>
      <w:r w:rsidRPr="00262C75">
        <w:t xml:space="preserve"> and Oxford AstraZeneca vaccines. These are reported to be highly effective vaccines in Phase III trials, achieving 90% and 62-90% effectiveness respectively. </w:t>
      </w:r>
    </w:p>
    <w:p w14:paraId="3D180EF3" w14:textId="77777777" w:rsidR="0072060D" w:rsidRPr="00262C75" w:rsidRDefault="0072060D" w:rsidP="007C7229">
      <w:pPr>
        <w:jc w:val="both"/>
      </w:pPr>
    </w:p>
    <w:p w14:paraId="34664D6D" w14:textId="7A0BA9AA" w:rsidR="0072060D" w:rsidRPr="00262C75" w:rsidRDefault="0072060D" w:rsidP="007C7229">
      <w:pPr>
        <w:jc w:val="both"/>
      </w:pPr>
      <w:r w:rsidRPr="00262C75">
        <w:t xml:space="preserve">Public Health Wales has been involved in leading the planning for COVID-19 vaccine programme </w:t>
      </w:r>
      <w:r w:rsidR="00266096" w:rsidRPr="00262C75">
        <w:t xml:space="preserve">delivery </w:t>
      </w:r>
      <w:r w:rsidRPr="00262C75">
        <w:t xml:space="preserve">in Wales.  </w:t>
      </w:r>
      <w:r w:rsidR="00262C75" w:rsidRPr="00262C75">
        <w:t xml:space="preserve">This </w:t>
      </w:r>
      <w:r w:rsidRPr="00262C75">
        <w:t>has been exceptionally challenging due to the emerging nature of data on vaccine characteristics and of developing understanding of which individuals are most at risk of severe COVID-19 infection.</w:t>
      </w:r>
    </w:p>
    <w:p w14:paraId="5F74B95B" w14:textId="1AE0663F" w:rsidR="0087331D" w:rsidRDefault="0087331D" w:rsidP="007C7229">
      <w:pPr>
        <w:pStyle w:val="Heading1"/>
        <w:numPr>
          <w:ilvl w:val="0"/>
          <w:numId w:val="2"/>
        </w:numPr>
        <w:ind w:left="567" w:hanging="567"/>
        <w:jc w:val="both"/>
        <w:rPr>
          <w:sz w:val="28"/>
        </w:rPr>
      </w:pPr>
      <w:r w:rsidRPr="007C7229">
        <w:rPr>
          <w:sz w:val="28"/>
        </w:rPr>
        <w:t>Assessment</w:t>
      </w:r>
    </w:p>
    <w:p w14:paraId="2DBF3D74" w14:textId="77777777" w:rsidR="007C7229" w:rsidRPr="007C7229" w:rsidRDefault="007C7229" w:rsidP="007C7229"/>
    <w:p w14:paraId="04836526" w14:textId="5350DF2A" w:rsidR="00400009" w:rsidRDefault="00400009" w:rsidP="007C7229">
      <w:pPr>
        <w:spacing w:after="200" w:line="276" w:lineRule="auto"/>
        <w:jc w:val="both"/>
      </w:pPr>
      <w:r>
        <w:t>The COVID-19 vaccination programme started on Tuesday 8 December 2020</w:t>
      </w:r>
      <w:r w:rsidRPr="00024715">
        <w:t xml:space="preserve"> </w:t>
      </w:r>
      <w:r>
        <w:t>in Wales and across the UK.</w:t>
      </w:r>
      <w:r>
        <w:rPr>
          <w:rStyle w:val="FootnoteReference"/>
        </w:rPr>
        <w:footnoteReference w:id="1"/>
      </w:r>
      <w:r>
        <w:t xml:space="preserve"> The programme is large scale and ambitious, aiming eventually to offer COVID-19 vaccine to every adult in Wales. The </w:t>
      </w:r>
      <w:r w:rsidR="00A72B4F">
        <w:t xml:space="preserve">delivery of the </w:t>
      </w:r>
      <w:r>
        <w:t xml:space="preserve">programme </w:t>
      </w:r>
      <w:r w:rsidR="00A72B4F">
        <w:t>to</w:t>
      </w:r>
      <w:r>
        <w:t xml:space="preserve"> priority groups will take several months</w:t>
      </w:r>
      <w:r w:rsidR="00A72B4F">
        <w:t xml:space="preserve">. </w:t>
      </w:r>
    </w:p>
    <w:p w14:paraId="13BCA8F7" w14:textId="6470D37B" w:rsidR="007C7229" w:rsidRDefault="00400009" w:rsidP="007C7229">
      <w:pPr>
        <w:spacing w:after="200" w:line="276" w:lineRule="auto"/>
        <w:jc w:val="both"/>
      </w:pPr>
      <w:r>
        <w:lastRenderedPageBreak/>
        <w:t xml:space="preserve">Over </w:t>
      </w:r>
      <w:r w:rsidR="00A72B4F">
        <w:t xml:space="preserve">2,500 doses of vaccine were given on </w:t>
      </w:r>
      <w:r>
        <w:t xml:space="preserve">the first two days of the programme </w:t>
      </w:r>
      <w:r w:rsidR="00A72B4F">
        <w:t xml:space="preserve">with </w:t>
      </w:r>
      <w:r>
        <w:t>all HBs ha</w:t>
      </w:r>
      <w:r w:rsidR="00A72B4F">
        <w:t>ving</w:t>
      </w:r>
      <w:r>
        <w:t xml:space="preserve"> one vaccination centre operating. This was an extremely successful launch</w:t>
      </w:r>
      <w:r w:rsidR="00A72B4F">
        <w:t xml:space="preserve"> following 6 months of intensive pl</w:t>
      </w:r>
      <w:r w:rsidR="007C7229">
        <w:t>anning by all partner agencies.</w:t>
      </w:r>
      <w:r>
        <w:t xml:space="preserve"> </w:t>
      </w:r>
      <w:r w:rsidR="00A75811">
        <w:t>Vaccine delivery</w:t>
      </w:r>
      <w:r>
        <w:t xml:space="preserve"> will increase</w:t>
      </w:r>
      <w:r w:rsidR="00A75811">
        <w:t xml:space="preserve"> weekly</w:t>
      </w:r>
      <w:r>
        <w:t xml:space="preserve"> as more vaccine is received from the manufacturer.</w:t>
      </w:r>
    </w:p>
    <w:p w14:paraId="475C8890" w14:textId="24C85599" w:rsidR="00A72B4F" w:rsidRDefault="00A72B4F" w:rsidP="007C7229">
      <w:pPr>
        <w:spacing w:after="200" w:line="276" w:lineRule="auto"/>
        <w:jc w:val="both"/>
      </w:pPr>
      <w:r>
        <w:t xml:space="preserve">The Medicines and Healthcare products Regulatory Agency (MHRA) granted the Pfizer </w:t>
      </w:r>
      <w:proofErr w:type="spellStart"/>
      <w:r>
        <w:t>BioNTech</w:t>
      </w:r>
      <w:proofErr w:type="spellEnd"/>
      <w:r>
        <w:t xml:space="preserve"> COVID-19 vaccine temporary authorisation based on evidence of safety and effectiveness on Wednesday 25 November 2020. The UK has ordered 40 million doses of the vaccine, with Wales receiving a 5% share</w:t>
      </w:r>
      <w:r w:rsidR="007C7229">
        <w:t>.</w:t>
      </w:r>
    </w:p>
    <w:p w14:paraId="2AB83A6E" w14:textId="77777777" w:rsidR="00730291" w:rsidRDefault="00A72B4F" w:rsidP="007C7229">
      <w:pPr>
        <w:spacing w:after="200" w:line="276" w:lineRule="auto"/>
        <w:jc w:val="both"/>
      </w:pPr>
      <w:r>
        <w:t xml:space="preserve">The Pfizer </w:t>
      </w:r>
      <w:proofErr w:type="spellStart"/>
      <w:r>
        <w:t>BioNTech</w:t>
      </w:r>
      <w:proofErr w:type="spellEnd"/>
      <w:r>
        <w:t xml:space="preserve"> vaccine is over 90% effective in preventing symptomatic COVID-19 disease, including in older individuals. We do not know if it prevents virus shedding or transmission, so we cannot currently relax existing control measures for individuals or localities. </w:t>
      </w:r>
      <w:r w:rsidR="00730291">
        <w:t xml:space="preserve">MHRA has updated its advice after two cases of anaphylaxis in healthcare workers in England on 2 December, both fully recovered. </w:t>
      </w:r>
    </w:p>
    <w:p w14:paraId="7152801C" w14:textId="1CF05526" w:rsidR="00A72B4F" w:rsidRPr="007C7229" w:rsidRDefault="00730291" w:rsidP="007C7229">
      <w:pPr>
        <w:spacing w:after="200" w:line="276" w:lineRule="auto"/>
        <w:jc w:val="both"/>
      </w:pPr>
      <w:r>
        <w:t>T</w:t>
      </w:r>
      <w:r w:rsidR="00A72B4F">
        <w:t xml:space="preserve">he handling characteristics of the Pfizer </w:t>
      </w:r>
      <w:proofErr w:type="spellStart"/>
      <w:r w:rsidR="00A72B4F">
        <w:t>BioNTech</w:t>
      </w:r>
      <w:proofErr w:type="spellEnd"/>
      <w:r w:rsidR="00A72B4F">
        <w:t xml:space="preserve"> vaccine (which needs to be stored at -75C and transported on dry ice) </w:t>
      </w:r>
      <w:r>
        <w:t xml:space="preserve">means </w:t>
      </w:r>
      <w:r w:rsidR="00A75811">
        <w:t>the programme is initially</w:t>
      </w:r>
      <w:r w:rsidR="00A72B4F">
        <w:t xml:space="preserve"> immunising NHS frontline </w:t>
      </w:r>
      <w:r w:rsidR="00A75811">
        <w:t xml:space="preserve">and social care staff </w:t>
      </w:r>
      <w:r w:rsidR="00A72B4F">
        <w:t>in large NHS premises staff</w:t>
      </w:r>
      <w:r w:rsidR="00A75811">
        <w:t xml:space="preserve">. It </w:t>
      </w:r>
      <w:r w:rsidR="00A72B4F">
        <w:t xml:space="preserve">will move to those age 80 years and over in mass vaccination community venues, before moving to include care homes once </w:t>
      </w:r>
      <w:r w:rsidR="00A75811">
        <w:t xml:space="preserve">further vaccines are brought into play and </w:t>
      </w:r>
      <w:r w:rsidR="00A72B4F">
        <w:t>vaccine stability for transport at normal fridge temperature (2-8C) is cl</w:t>
      </w:r>
      <w:r w:rsidR="00A75811">
        <w:t>arified. The JCVI priority groups are</w:t>
      </w:r>
      <w:r w:rsidR="00A72B4F">
        <w:t>:</w:t>
      </w:r>
    </w:p>
    <w:p w14:paraId="572FB47B" w14:textId="77777777" w:rsidR="00A72B4F" w:rsidRDefault="00A72B4F" w:rsidP="007C7229">
      <w:pPr>
        <w:pStyle w:val="ListParagraph"/>
        <w:numPr>
          <w:ilvl w:val="0"/>
          <w:numId w:val="25"/>
        </w:numPr>
        <w:spacing w:after="160" w:line="259" w:lineRule="auto"/>
        <w:jc w:val="both"/>
        <w:rPr>
          <w:color w:val="000000"/>
        </w:rPr>
      </w:pPr>
      <w:r>
        <w:rPr>
          <w:color w:val="000000"/>
        </w:rPr>
        <w:t xml:space="preserve">Priority </w:t>
      </w:r>
      <w:r w:rsidRPr="00374AA3">
        <w:rPr>
          <w:color w:val="000000"/>
        </w:rPr>
        <w:t>Group 1, which is residents in a care home and staff who are working in care homes for older adults and</w:t>
      </w:r>
      <w:r>
        <w:rPr>
          <w:color w:val="000000"/>
        </w:rPr>
        <w:t>;</w:t>
      </w:r>
      <w:r w:rsidRPr="00374AA3">
        <w:rPr>
          <w:color w:val="000000"/>
        </w:rPr>
        <w:t xml:space="preserve"> </w:t>
      </w:r>
    </w:p>
    <w:p w14:paraId="5C2BAB06" w14:textId="2515F2E9" w:rsidR="00A72B4F" w:rsidRDefault="00A72B4F" w:rsidP="007C7229">
      <w:pPr>
        <w:pStyle w:val="ListParagraph"/>
        <w:numPr>
          <w:ilvl w:val="0"/>
          <w:numId w:val="25"/>
        </w:numPr>
        <w:spacing w:after="160" w:line="259" w:lineRule="auto"/>
        <w:jc w:val="both"/>
        <w:rPr>
          <w:color w:val="000000"/>
        </w:rPr>
      </w:pPr>
      <w:r>
        <w:rPr>
          <w:color w:val="000000"/>
        </w:rPr>
        <w:t>Priority G</w:t>
      </w:r>
      <w:r w:rsidRPr="00374AA3">
        <w:rPr>
          <w:color w:val="000000"/>
        </w:rPr>
        <w:t xml:space="preserve">roup 2 which are those aged 80 years and over and frontline health and social care staff. </w:t>
      </w:r>
    </w:p>
    <w:p w14:paraId="40CCA010" w14:textId="6A6876ED" w:rsidR="00A72B4F" w:rsidRDefault="00A72B4F" w:rsidP="007C7229">
      <w:pPr>
        <w:spacing w:after="200" w:line="276" w:lineRule="auto"/>
        <w:jc w:val="both"/>
      </w:pPr>
      <w:r>
        <w:t>The programme will then deploy step wise down the age range, and include those under 75 in clinically extremely vulnerable and under 65 in at risk groups, then down to those age 50 and over to complete the first priority phase of the roll out in by Quarter 2 2021</w:t>
      </w:r>
      <w:r w:rsidR="00A75811">
        <w:t xml:space="preserve"> (appendix </w:t>
      </w:r>
      <w:r w:rsidR="00F653E0">
        <w:t>1)</w:t>
      </w:r>
      <w:r>
        <w:t xml:space="preserve">. </w:t>
      </w:r>
    </w:p>
    <w:p w14:paraId="5614977B" w14:textId="05256666" w:rsidR="00A72B4F" w:rsidRPr="007C7229" w:rsidRDefault="00A72B4F" w:rsidP="007C7229">
      <w:pPr>
        <w:spacing w:after="160" w:line="259" w:lineRule="auto"/>
        <w:jc w:val="both"/>
        <w:rPr>
          <w:color w:val="000000"/>
        </w:rPr>
      </w:pPr>
      <w:r>
        <w:t>The UK Government has also ordered 100 million doses of the Oxford AstraZeneca COVID-19 vaccine. The MHRA is now considering the large scale Phase III trial data, and a decision from the MHRA is awaited. If approved delivery may be later in December</w:t>
      </w:r>
    </w:p>
    <w:p w14:paraId="5A3FF4B0" w14:textId="77777777" w:rsidR="00284769" w:rsidRDefault="00284769" w:rsidP="007C7229">
      <w:pPr>
        <w:spacing w:after="200" w:line="276" w:lineRule="auto"/>
        <w:jc w:val="both"/>
        <w:rPr>
          <w:b/>
        </w:rPr>
      </w:pPr>
    </w:p>
    <w:p w14:paraId="6D10741D" w14:textId="77777777" w:rsidR="00284769" w:rsidRDefault="00284769" w:rsidP="007C7229">
      <w:pPr>
        <w:spacing w:after="200" w:line="276" w:lineRule="auto"/>
        <w:jc w:val="both"/>
        <w:rPr>
          <w:b/>
        </w:rPr>
      </w:pPr>
    </w:p>
    <w:p w14:paraId="5EC3EE1F" w14:textId="736B0E4C" w:rsidR="00A72B4F" w:rsidRPr="007C7229" w:rsidRDefault="00730291" w:rsidP="007C7229">
      <w:pPr>
        <w:spacing w:after="200" w:line="276" w:lineRule="auto"/>
        <w:jc w:val="both"/>
        <w:rPr>
          <w:b/>
        </w:rPr>
      </w:pPr>
      <w:r w:rsidRPr="007C7229">
        <w:rPr>
          <w:b/>
        </w:rPr>
        <w:lastRenderedPageBreak/>
        <w:t xml:space="preserve">Update on </w:t>
      </w:r>
      <w:r w:rsidR="00A72B4F" w:rsidRPr="007C7229">
        <w:rPr>
          <w:b/>
        </w:rPr>
        <w:t>PHW contribution</w:t>
      </w:r>
    </w:p>
    <w:p w14:paraId="5830F7D7" w14:textId="10BF6B6D" w:rsidR="00F30C8E" w:rsidRDefault="00400009" w:rsidP="007C7229">
      <w:pPr>
        <w:spacing w:after="200" w:line="276" w:lineRule="auto"/>
        <w:jc w:val="both"/>
      </w:pPr>
      <w:r>
        <w:t xml:space="preserve">PHW has supported the programme by providing leadership, expertise and advice to the programme board and </w:t>
      </w:r>
      <w:r w:rsidR="009448F2">
        <w:t>work streams</w:t>
      </w:r>
      <w:r>
        <w:t xml:space="preserve">, </w:t>
      </w:r>
      <w:r w:rsidR="00F30C8E">
        <w:t>with VPDP team members leading sub-groups for the COVID-19 Vaccine Programme Board on:</w:t>
      </w:r>
    </w:p>
    <w:p w14:paraId="2DB63F7D" w14:textId="77777777" w:rsidR="00F30C8E" w:rsidRDefault="00400009" w:rsidP="007C7229">
      <w:pPr>
        <w:pStyle w:val="ListParagraph"/>
        <w:numPr>
          <w:ilvl w:val="1"/>
          <w:numId w:val="21"/>
        </w:numPr>
        <w:spacing w:after="200" w:line="276" w:lineRule="auto"/>
        <w:jc w:val="both"/>
      </w:pPr>
      <w:r>
        <w:t xml:space="preserve">information resources for </w:t>
      </w:r>
      <w:r w:rsidR="00F30C8E">
        <w:t xml:space="preserve">the public and </w:t>
      </w:r>
      <w:r>
        <w:t>health and social care workforce</w:t>
      </w:r>
    </w:p>
    <w:p w14:paraId="654902DA" w14:textId="77777777" w:rsidR="00F30C8E" w:rsidRDefault="00400009" w:rsidP="007C7229">
      <w:pPr>
        <w:pStyle w:val="ListParagraph"/>
        <w:numPr>
          <w:ilvl w:val="1"/>
          <w:numId w:val="21"/>
        </w:numPr>
        <w:spacing w:after="200" w:line="276" w:lineRule="auto"/>
        <w:jc w:val="both"/>
      </w:pPr>
      <w:r>
        <w:t>surveillance</w:t>
      </w:r>
    </w:p>
    <w:p w14:paraId="22BE772D" w14:textId="77777777" w:rsidR="00F30C8E" w:rsidRDefault="00400009" w:rsidP="007C7229">
      <w:pPr>
        <w:pStyle w:val="ListParagraph"/>
        <w:numPr>
          <w:ilvl w:val="1"/>
          <w:numId w:val="21"/>
        </w:numPr>
        <w:spacing w:after="200" w:line="276" w:lineRule="auto"/>
        <w:jc w:val="both"/>
      </w:pPr>
      <w:r>
        <w:t>training</w:t>
      </w:r>
    </w:p>
    <w:p w14:paraId="1D698117" w14:textId="6BB15A6D" w:rsidR="00F30C8E" w:rsidRDefault="00400009" w:rsidP="007C7229">
      <w:pPr>
        <w:pStyle w:val="ListParagraph"/>
        <w:numPr>
          <w:ilvl w:val="1"/>
          <w:numId w:val="21"/>
        </w:numPr>
        <w:spacing w:after="200" w:line="276" w:lineRule="auto"/>
        <w:jc w:val="both"/>
      </w:pPr>
      <w:r>
        <w:t>Patient Group Direction</w:t>
      </w:r>
      <w:r w:rsidR="00F30C8E">
        <w:t>s</w:t>
      </w:r>
      <w:r>
        <w:t xml:space="preserve"> (PGD</w:t>
      </w:r>
      <w:r w:rsidR="00F30C8E">
        <w:t>s</w:t>
      </w:r>
      <w:r>
        <w:t xml:space="preserve">) </w:t>
      </w:r>
      <w:r w:rsidR="00F30C8E">
        <w:t>and protocols</w:t>
      </w:r>
    </w:p>
    <w:p w14:paraId="490A27D0" w14:textId="77777777" w:rsidR="00A72B4F" w:rsidRDefault="00F30C8E" w:rsidP="007C7229">
      <w:pPr>
        <w:pStyle w:val="ListParagraph"/>
        <w:numPr>
          <w:ilvl w:val="1"/>
          <w:numId w:val="21"/>
        </w:numPr>
        <w:spacing w:after="200" w:line="276" w:lineRule="auto"/>
        <w:jc w:val="both"/>
      </w:pPr>
      <w:proofErr w:type="gramStart"/>
      <w:r>
        <w:t>the</w:t>
      </w:r>
      <w:proofErr w:type="gramEnd"/>
      <w:r>
        <w:t xml:space="preserve"> Welsh Immunisation System, developed by NWIS for invitation and data management. </w:t>
      </w:r>
    </w:p>
    <w:p w14:paraId="14E9C989" w14:textId="543AEA7C" w:rsidR="00400009" w:rsidRDefault="00A72B4F" w:rsidP="007C7229">
      <w:pPr>
        <w:spacing w:after="200" w:line="276" w:lineRule="auto"/>
        <w:jc w:val="both"/>
      </w:pPr>
      <w:r>
        <w:t>Surveillance reporting of vaccine uptake, programme outputs and dashboards have been developed and delivered by VPDP and CDSC.  Daily situational reporting (</w:t>
      </w:r>
      <w:proofErr w:type="spellStart"/>
      <w:r>
        <w:t>Sitreps</w:t>
      </w:r>
      <w:proofErr w:type="spellEnd"/>
      <w:r>
        <w:t>) commenced covering day 1 of the campaign. These include adverse effects of vaccination</w:t>
      </w:r>
      <w:r w:rsidR="007C7229">
        <w:t xml:space="preserve">. </w:t>
      </w:r>
      <w:r w:rsidR="00F30C8E">
        <w:t>C</w:t>
      </w:r>
      <w:r w:rsidR="00400009">
        <w:t xml:space="preserve">ommunication, marketing and publications support </w:t>
      </w:r>
      <w:r w:rsidR="00F30C8E">
        <w:t xml:space="preserve">has been provided by </w:t>
      </w:r>
      <w:r w:rsidR="00400009">
        <w:t xml:space="preserve">the </w:t>
      </w:r>
      <w:r w:rsidR="00455F4E">
        <w:t xml:space="preserve">Public Health Wales </w:t>
      </w:r>
      <w:r w:rsidR="00400009">
        <w:t>Communications Team. The Observatory Evidence Service also produced rapid reviews of evidence on mass vaccination programmes. Finance colleagues have supported wit</w:t>
      </w:r>
      <w:r w:rsidR="00F30C8E">
        <w:t>h budget and financial planning</w:t>
      </w:r>
      <w:r w:rsidR="00400009">
        <w:t xml:space="preserve">. </w:t>
      </w:r>
    </w:p>
    <w:p w14:paraId="5B4699BC" w14:textId="733E3E00" w:rsidR="00400009" w:rsidRDefault="00400009" w:rsidP="007C7229">
      <w:pPr>
        <w:spacing w:after="200" w:line="276" w:lineRule="auto"/>
        <w:jc w:val="both"/>
      </w:pPr>
      <w:r>
        <w:t>A microsite</w:t>
      </w:r>
      <w:r w:rsidR="00266096">
        <w:rPr>
          <w:rStyle w:val="FootnoteReference"/>
        </w:rPr>
        <w:footnoteReference w:id="2"/>
      </w:r>
      <w:r>
        <w:t xml:space="preserve"> has been developed to share key messages with the public and includes an area for professionals involved in vaccination who are not employed by the NHS and cannot access the VPDP intranet page for resources. This will eventually be superseded by </w:t>
      </w:r>
      <w:r w:rsidR="002F41BF">
        <w:t xml:space="preserve">NHS </w:t>
      </w:r>
      <w:r>
        <w:t>111.</w:t>
      </w:r>
      <w:r w:rsidRPr="007322CB">
        <w:t xml:space="preserve"> </w:t>
      </w:r>
    </w:p>
    <w:p w14:paraId="6EC5AD02" w14:textId="1F7A7B8D" w:rsidR="009448F2" w:rsidRDefault="00400009" w:rsidP="007C7229">
      <w:pPr>
        <w:spacing w:after="200" w:line="276" w:lineRule="auto"/>
        <w:jc w:val="both"/>
      </w:pPr>
      <w:r>
        <w:t>The team in VPDP have produced public and professional information</w:t>
      </w:r>
      <w:r w:rsidR="0032064F">
        <w:t xml:space="preserve"> (example below)</w:t>
      </w:r>
      <w:r>
        <w:t>, surveillance reports and dashboards, training materials and guidance, and regulatory template documents including Patient Group Directions (PGDs) for health boards and trusts to use. There is usually a six week minimum lead in to make available these materials, but due to advanced preparation we had these materials ready within five days of the MHRA announcement by Monday 7 Dec.</w:t>
      </w:r>
      <w:r w:rsidR="00F653E0">
        <w:t xml:space="preserve"> </w:t>
      </w:r>
      <w:r>
        <w:t>H</w:t>
      </w:r>
      <w:r w:rsidR="002F41BF">
        <w:t xml:space="preserve">ealth </w:t>
      </w:r>
      <w:r>
        <w:t>B</w:t>
      </w:r>
      <w:r w:rsidR="002F41BF">
        <w:t>oard</w:t>
      </w:r>
      <w:r>
        <w:t xml:space="preserve">s </w:t>
      </w:r>
      <w:r w:rsidR="00B47D9C">
        <w:t>are continuing with planning to address the significant</w:t>
      </w:r>
      <w:r>
        <w:t xml:space="preserve"> operational challenges in expanding recruitment and venues.</w:t>
      </w:r>
    </w:p>
    <w:p w14:paraId="00B6C9B4" w14:textId="77777777" w:rsidR="00284769" w:rsidRDefault="00284769" w:rsidP="009448F2">
      <w:pPr>
        <w:rPr>
          <w:b/>
          <w:szCs w:val="24"/>
        </w:rPr>
      </w:pPr>
    </w:p>
    <w:p w14:paraId="4D6D4EF0" w14:textId="77777777" w:rsidR="00284769" w:rsidRDefault="00284769" w:rsidP="009448F2">
      <w:pPr>
        <w:rPr>
          <w:b/>
          <w:szCs w:val="24"/>
        </w:rPr>
      </w:pPr>
    </w:p>
    <w:p w14:paraId="1EFADF08" w14:textId="77777777" w:rsidR="00284769" w:rsidRDefault="00284769" w:rsidP="009448F2">
      <w:pPr>
        <w:rPr>
          <w:b/>
          <w:szCs w:val="24"/>
        </w:rPr>
      </w:pPr>
    </w:p>
    <w:p w14:paraId="6B6C0DFF" w14:textId="0381A09A" w:rsidR="009448F2" w:rsidRPr="007C7229" w:rsidRDefault="009448F2" w:rsidP="009448F2">
      <w:r w:rsidRPr="00D419D7">
        <w:rPr>
          <w:b/>
          <w:szCs w:val="24"/>
        </w:rPr>
        <w:lastRenderedPageBreak/>
        <w:t>COVID 19 vaccine delivery for Public Health Wales Staff.</w:t>
      </w:r>
    </w:p>
    <w:p w14:paraId="5A51DF16" w14:textId="77777777" w:rsidR="009448F2" w:rsidRPr="00D419D7" w:rsidRDefault="009448F2" w:rsidP="009448F2">
      <w:pPr>
        <w:rPr>
          <w:b/>
          <w:szCs w:val="24"/>
        </w:rPr>
      </w:pPr>
    </w:p>
    <w:p w14:paraId="33A33507" w14:textId="51A9C0BB" w:rsidR="009448F2" w:rsidRPr="007C7229" w:rsidRDefault="009448F2" w:rsidP="009448F2">
      <w:pPr>
        <w:jc w:val="both"/>
        <w:rPr>
          <w:color w:val="000000"/>
        </w:rPr>
      </w:pPr>
      <w:r w:rsidRPr="007C7229">
        <w:rPr>
          <w:color w:val="000000"/>
        </w:rPr>
        <w:t xml:space="preserve">JCVI have provided the definition of frontline staff as staff who have face to face clinical contact with patients/service users, this also includes laboratory staff who handle potential infected specimens. Front line staff within the Public Health Wales workforce have been identified through information held on the Electronic Staff Record and agreed through Divisional Directors or identified delegates.  The areas identified with front line staff includes microbiology, screening, health protection and other staff who hold </w:t>
      </w:r>
      <w:proofErr w:type="spellStart"/>
      <w:r w:rsidRPr="007C7229">
        <w:rPr>
          <w:color w:val="000000"/>
        </w:rPr>
        <w:t>honary</w:t>
      </w:r>
      <w:proofErr w:type="spellEnd"/>
      <w:r w:rsidRPr="007C7229">
        <w:rPr>
          <w:color w:val="000000"/>
        </w:rPr>
        <w:t xml:space="preserve"> contacts who undertake clinical work with other organisations.  (Relevant bank staff who are undertaking ‘front line’ work have also been included).</w:t>
      </w:r>
    </w:p>
    <w:p w14:paraId="520540DE" w14:textId="77777777" w:rsidR="009448F2" w:rsidRDefault="009448F2" w:rsidP="009448F2">
      <w:pPr>
        <w:jc w:val="both"/>
        <w:rPr>
          <w:color w:val="000000"/>
        </w:rPr>
      </w:pPr>
    </w:p>
    <w:p w14:paraId="4835D66D" w14:textId="77777777" w:rsidR="009448F2" w:rsidRPr="007C7229" w:rsidRDefault="009448F2" w:rsidP="009448F2">
      <w:pPr>
        <w:jc w:val="both"/>
        <w:rPr>
          <w:color w:val="000000"/>
        </w:rPr>
      </w:pPr>
      <w:r w:rsidRPr="007C7229">
        <w:rPr>
          <w:color w:val="000000"/>
        </w:rPr>
        <w:t xml:space="preserve">Staff information has been submitted to the Welsh Immunisation System (WIS) which is held by NWIS, which is the information system being used to manage the role out of the vaccine. Unlike our internal delivery plan for the influenza vaccine, due to the logistics of the storage and handling of the first available vaccine, we have been unable to deliver this in house. Therefore, have had agreement with Health Boards within NHS Wales that they will vaccinate our frontline staff.   Discussions are ongoing in terms of staff access arrangements with individual Health Board Booking arrangements.  Issues in gaining clear confirmation with regard to access have been escalated to the COVID-19 Programme Board and with individual Health Boards.  </w:t>
      </w:r>
    </w:p>
    <w:p w14:paraId="0096A705" w14:textId="77777777" w:rsidR="009448F2" w:rsidRDefault="009448F2" w:rsidP="00A72B4F">
      <w:pPr>
        <w:jc w:val="both"/>
        <w:rPr>
          <w:color w:val="000000"/>
        </w:rPr>
      </w:pPr>
    </w:p>
    <w:p w14:paraId="13A8AB3E" w14:textId="345DF326" w:rsidR="009448F2" w:rsidRPr="007C7229" w:rsidRDefault="009448F2" w:rsidP="00A72B4F">
      <w:pPr>
        <w:jc w:val="both"/>
        <w:rPr>
          <w:color w:val="000000"/>
        </w:rPr>
      </w:pPr>
      <w:r w:rsidRPr="007C7229">
        <w:rPr>
          <w:color w:val="000000"/>
        </w:rPr>
        <w:t>There are ongoing dynamic changes on a daily basis which make the plans for roll out very challenging</w:t>
      </w:r>
      <w:r w:rsidR="00284769">
        <w:rPr>
          <w:color w:val="000000"/>
        </w:rPr>
        <w:t xml:space="preserve">. There is much of this </w:t>
      </w:r>
      <w:r w:rsidRPr="007C7229">
        <w:rPr>
          <w:color w:val="000000"/>
        </w:rPr>
        <w:t>Public Health Wales has no direct control</w:t>
      </w:r>
      <w:r w:rsidR="00284769">
        <w:rPr>
          <w:color w:val="000000"/>
        </w:rPr>
        <w:t xml:space="preserve"> over</w:t>
      </w:r>
      <w:r w:rsidRPr="007C7229">
        <w:rPr>
          <w:color w:val="000000"/>
        </w:rPr>
        <w:t xml:space="preserve">.   Ensuring that Public Health Wales staff are not disadvantaged in terms of access to the vaccine has been raised with individual Health Boards and with the Programme Board.   </w:t>
      </w:r>
    </w:p>
    <w:p w14:paraId="2E814D14" w14:textId="77777777" w:rsidR="009448F2" w:rsidRDefault="009448F2" w:rsidP="00A72B4F">
      <w:pPr>
        <w:jc w:val="both"/>
        <w:rPr>
          <w:color w:val="000000"/>
        </w:rPr>
      </w:pPr>
    </w:p>
    <w:p w14:paraId="48BE21F2" w14:textId="0FA64AA4" w:rsidR="009448F2" w:rsidRPr="007C7229" w:rsidRDefault="009448F2" w:rsidP="00A72B4F">
      <w:pPr>
        <w:jc w:val="both"/>
        <w:rPr>
          <w:color w:val="000000"/>
        </w:rPr>
      </w:pPr>
      <w:r w:rsidRPr="007C7229">
        <w:rPr>
          <w:color w:val="000000"/>
        </w:rPr>
        <w:t xml:space="preserve">Regular communications are being provided to staff and managers on the prioritisation process, information on the vaccine itself and access route to the vaccine.  A Q&amp;A session is planned for next week which staff will be able to join on a live basis.  </w:t>
      </w:r>
    </w:p>
    <w:p w14:paraId="798A40CE" w14:textId="77777777" w:rsidR="009448F2" w:rsidRDefault="009448F2" w:rsidP="00A72B4F">
      <w:pPr>
        <w:jc w:val="both"/>
        <w:rPr>
          <w:color w:val="000000"/>
        </w:rPr>
      </w:pPr>
    </w:p>
    <w:p w14:paraId="42657735" w14:textId="11567E4F" w:rsidR="009448F2" w:rsidRDefault="009448F2" w:rsidP="007C7229">
      <w:pPr>
        <w:spacing w:after="200" w:line="276" w:lineRule="auto"/>
        <w:jc w:val="both"/>
      </w:pPr>
      <w:r w:rsidRPr="007C7229">
        <w:rPr>
          <w:color w:val="000000"/>
        </w:rPr>
        <w:t>When other vaccines become available in the near future which have less logistical challenges, Public Heal</w:t>
      </w:r>
      <w:r w:rsidR="00284769">
        <w:rPr>
          <w:color w:val="000000"/>
        </w:rPr>
        <w:t>th Wales will assess</w:t>
      </w:r>
      <w:r w:rsidRPr="007C7229">
        <w:rPr>
          <w:color w:val="000000"/>
        </w:rPr>
        <w:t xml:space="preserve"> whether it will be preferable for us to deliver the vaccine ‘in </w:t>
      </w:r>
      <w:r w:rsidR="00284769">
        <w:rPr>
          <w:color w:val="000000"/>
        </w:rPr>
        <w:t>house’, as with the flu vaccine. This would provide</w:t>
      </w:r>
      <w:r w:rsidR="00284769" w:rsidRPr="007C7229">
        <w:rPr>
          <w:color w:val="000000"/>
        </w:rPr>
        <w:t xml:space="preserve"> the</w:t>
      </w:r>
      <w:r w:rsidRPr="007C7229">
        <w:rPr>
          <w:color w:val="000000"/>
        </w:rPr>
        <w:t xml:space="preserve"> organisation with more control and the ability to be much clearer with our communication to staff</w:t>
      </w:r>
    </w:p>
    <w:p w14:paraId="0A587488" w14:textId="38F0C145" w:rsidR="008A7B92" w:rsidRDefault="002054AB" w:rsidP="007C7229">
      <w:pPr>
        <w:jc w:val="both"/>
        <w:rPr>
          <w:b/>
        </w:rPr>
      </w:pPr>
      <w:r>
        <w:rPr>
          <w:b/>
        </w:rPr>
        <w:t xml:space="preserve">Influenza vaccination programme </w:t>
      </w:r>
    </w:p>
    <w:p w14:paraId="72B15F34" w14:textId="77777777" w:rsidR="008A7B92" w:rsidRDefault="008A7B92" w:rsidP="007C7229">
      <w:pPr>
        <w:jc w:val="both"/>
      </w:pPr>
    </w:p>
    <w:p w14:paraId="4437A294" w14:textId="47A2A6A5" w:rsidR="008A7B92" w:rsidRDefault="008A7B92" w:rsidP="007C7229">
      <w:pPr>
        <w:spacing w:after="200" w:line="276" w:lineRule="auto"/>
        <w:jc w:val="both"/>
      </w:pPr>
      <w:r>
        <w:t>The flu vaccination programme this year is the largest ever, and has already achieved the highest vaccine uptake ever in those age 65 and over at 7</w:t>
      </w:r>
      <w:r w:rsidR="0078297C">
        <w:t>4</w:t>
      </w:r>
      <w:r>
        <w:t>.3%, compared to 68.3% at the end of season last year</w:t>
      </w:r>
      <w:r w:rsidR="0078297C">
        <w:t xml:space="preserve">, and 54.2% in </w:t>
      </w:r>
      <w:r w:rsidR="0078297C">
        <w:lastRenderedPageBreak/>
        <w:t>under 65 at risk, also higher than last year</w:t>
      </w:r>
      <w:r>
        <w:t>. Over 7</w:t>
      </w:r>
      <w:r w:rsidR="0078297C">
        <w:t>50</w:t>
      </w:r>
      <w:r>
        <w:t>,000 adults and children have been vaccinate</w:t>
      </w:r>
      <w:r w:rsidR="0078297C">
        <w:t>d</w:t>
      </w:r>
      <w:r>
        <w:t xml:space="preserve"> to date.</w:t>
      </w:r>
    </w:p>
    <w:p w14:paraId="0532B533" w14:textId="77777777" w:rsidR="002F2FFC" w:rsidRDefault="002F2FFC" w:rsidP="007C7229">
      <w:pPr>
        <w:spacing w:after="200" w:line="276" w:lineRule="auto"/>
        <w:jc w:val="both"/>
      </w:pPr>
      <w:r>
        <w:t>Uptake of influenza immunisation in children age 2 years has increased from 27.7% to 49.8%, in children age 3 years from 28.3% to 50.7%, and in primary school children aged 4-10 years from 69.3% to 72.4% compared to the same time period last year.</w:t>
      </w:r>
    </w:p>
    <w:p w14:paraId="36C82A5D" w14:textId="021C3627" w:rsidR="008A7B92" w:rsidRDefault="002054AB" w:rsidP="007C7229">
      <w:pPr>
        <w:spacing w:after="200" w:line="276" w:lineRule="auto"/>
        <w:jc w:val="both"/>
      </w:pPr>
      <w:r>
        <w:t xml:space="preserve">Welsh Government have procured over 400,000 additional </w:t>
      </w:r>
      <w:r w:rsidR="008A7B92">
        <w:t xml:space="preserve">flu vaccines </w:t>
      </w:r>
      <w:r>
        <w:t xml:space="preserve">this year, and have extended eligibility to </w:t>
      </w:r>
      <w:r w:rsidR="008A7B92">
        <w:t xml:space="preserve">everyone aged 50-64 years </w:t>
      </w:r>
      <w:r>
        <w:t>from 1</w:t>
      </w:r>
      <w:r w:rsidR="008A7B92">
        <w:t xml:space="preserve"> December</w:t>
      </w:r>
      <w:r>
        <w:t xml:space="preserve">. </w:t>
      </w:r>
    </w:p>
    <w:p w14:paraId="70D7724F" w14:textId="52156D42" w:rsidR="002F2FFC" w:rsidRPr="002F2FFC" w:rsidRDefault="002F2FFC" w:rsidP="007C7229">
      <w:pPr>
        <w:jc w:val="both"/>
        <w:rPr>
          <w:b/>
        </w:rPr>
      </w:pPr>
      <w:r>
        <w:rPr>
          <w:b/>
        </w:rPr>
        <w:t>Routine childhood v</w:t>
      </w:r>
      <w:r w:rsidRPr="002F2FFC">
        <w:rPr>
          <w:b/>
        </w:rPr>
        <w:t xml:space="preserve">accination programme </w:t>
      </w:r>
    </w:p>
    <w:p w14:paraId="25748D5C" w14:textId="77777777" w:rsidR="00284769" w:rsidRDefault="00284769" w:rsidP="007C7229">
      <w:pPr>
        <w:spacing w:after="200" w:line="276" w:lineRule="auto"/>
        <w:jc w:val="both"/>
      </w:pPr>
    </w:p>
    <w:p w14:paraId="205D2151" w14:textId="1A9D73EA" w:rsidR="002F2FFC" w:rsidRDefault="002054AB" w:rsidP="007C7229">
      <w:pPr>
        <w:spacing w:after="200" w:line="276" w:lineRule="auto"/>
        <w:jc w:val="both"/>
      </w:pPr>
      <w:r w:rsidRPr="002054AB">
        <w:t xml:space="preserve">The uptake of routine immunisations in pre-school children </w:t>
      </w:r>
      <w:r w:rsidR="002F2FFC" w:rsidRPr="002054AB">
        <w:t xml:space="preserve">has been stable and within the range of previous trends </w:t>
      </w:r>
      <w:r w:rsidR="002F2FFC">
        <w:t xml:space="preserve">as </w:t>
      </w:r>
      <w:r w:rsidRPr="002054AB">
        <w:t xml:space="preserve">reported via </w:t>
      </w:r>
      <w:r w:rsidR="002F2FFC">
        <w:t xml:space="preserve">PHW VPDP </w:t>
      </w:r>
      <w:r w:rsidRPr="002054AB">
        <w:t xml:space="preserve">enhanced surveillance since May 2020. </w:t>
      </w:r>
    </w:p>
    <w:p w14:paraId="4943BA95" w14:textId="77777777" w:rsidR="002F2FFC" w:rsidRDefault="002F2FFC" w:rsidP="007C7229">
      <w:pPr>
        <w:spacing w:after="200" w:line="276" w:lineRule="auto"/>
        <w:jc w:val="both"/>
      </w:pPr>
      <w:r>
        <w:t>M</w:t>
      </w:r>
      <w:r w:rsidR="002054AB" w:rsidRPr="002054AB">
        <w:t xml:space="preserve">onitoring suggests that the enhanced safety measures put in place in Wales have maintained public trust, with parents and carers continuing to bring their pre-school children to immunisation appointments and reflects the hard work and dedication of all the staff in primary care and child health departments. </w:t>
      </w:r>
    </w:p>
    <w:p w14:paraId="70CC6E4D" w14:textId="6E594FC0" w:rsidR="002054AB" w:rsidRDefault="002054AB" w:rsidP="007C7229">
      <w:pPr>
        <w:spacing w:after="200" w:line="276" w:lineRule="auto"/>
        <w:jc w:val="both"/>
      </w:pPr>
      <w:r w:rsidRPr="002054AB">
        <w:t xml:space="preserve">However, </w:t>
      </w:r>
      <w:r w:rsidR="002F2FFC">
        <w:t>t</w:t>
      </w:r>
      <w:r w:rsidRPr="002054AB">
        <w:t>imeliness of vaccinations tends to decrease over the winter period whilst practices are prioritising influenza vaccination sessions. The impact of this extra workload on general practices in combination with COVID-19 restrictions may result in further decreases in timeliness.</w:t>
      </w:r>
    </w:p>
    <w:p w14:paraId="5F74B966" w14:textId="77777777" w:rsidR="00680CAE" w:rsidRPr="001C60B5" w:rsidRDefault="00680CAE" w:rsidP="007C7229">
      <w:pPr>
        <w:pStyle w:val="ListParagraph"/>
        <w:ind w:left="0"/>
        <w:jc w:val="both"/>
        <w:rPr>
          <w:color w:val="FF0000"/>
          <w:szCs w:val="24"/>
        </w:rPr>
      </w:pPr>
    </w:p>
    <w:p w14:paraId="5F74B97F" w14:textId="4EEFE613" w:rsidR="00E07F66" w:rsidRPr="007C7229" w:rsidRDefault="00E07F66" w:rsidP="007C7229">
      <w:pPr>
        <w:pStyle w:val="Heading1"/>
        <w:numPr>
          <w:ilvl w:val="0"/>
          <w:numId w:val="2"/>
        </w:numPr>
        <w:jc w:val="both"/>
        <w:rPr>
          <w:sz w:val="28"/>
        </w:rPr>
      </w:pPr>
      <w:r w:rsidRPr="007C7229">
        <w:rPr>
          <w:sz w:val="28"/>
        </w:rPr>
        <w:t>Recommendation</w:t>
      </w:r>
      <w:r w:rsidR="00A75811" w:rsidRPr="007C7229">
        <w:rPr>
          <w:sz w:val="28"/>
        </w:rPr>
        <w:t>s</w:t>
      </w:r>
    </w:p>
    <w:p w14:paraId="5F74B980" w14:textId="77777777" w:rsidR="00E07F66" w:rsidRPr="001C60B5" w:rsidRDefault="00E07F66" w:rsidP="007C7229">
      <w:pPr>
        <w:jc w:val="both"/>
        <w:rPr>
          <w:szCs w:val="24"/>
        </w:rPr>
      </w:pPr>
    </w:p>
    <w:p w14:paraId="2FBC10A9" w14:textId="77777777" w:rsidR="000F3289" w:rsidRPr="001C60B5" w:rsidRDefault="000F3289" w:rsidP="000F3289">
      <w:pPr>
        <w:jc w:val="both"/>
        <w:rPr>
          <w:szCs w:val="24"/>
        </w:rPr>
      </w:pPr>
      <w:r w:rsidRPr="0027663B">
        <w:rPr>
          <w:szCs w:val="24"/>
        </w:rPr>
        <w:t xml:space="preserve">The Board is </w:t>
      </w:r>
      <w:r w:rsidRPr="001C60B5">
        <w:rPr>
          <w:szCs w:val="24"/>
        </w:rPr>
        <w:t xml:space="preserve">asked to: </w:t>
      </w:r>
    </w:p>
    <w:p w14:paraId="5CD7E448" w14:textId="77777777" w:rsidR="000F3289" w:rsidRDefault="000F3289" w:rsidP="000F3289">
      <w:pPr>
        <w:pStyle w:val="ListParagraph"/>
        <w:numPr>
          <w:ilvl w:val="0"/>
          <w:numId w:val="17"/>
        </w:numPr>
        <w:ind w:left="851" w:hanging="567"/>
        <w:jc w:val="both"/>
        <w:rPr>
          <w:szCs w:val="24"/>
        </w:rPr>
      </w:pPr>
      <w:r w:rsidRPr="0027663B">
        <w:rPr>
          <w:b/>
          <w:szCs w:val="24"/>
        </w:rPr>
        <w:t xml:space="preserve">Receive assurance </w:t>
      </w:r>
      <w:r w:rsidRPr="0027663B">
        <w:rPr>
          <w:szCs w:val="24"/>
        </w:rPr>
        <w:t xml:space="preserve">that the COVID-19 </w:t>
      </w:r>
      <w:r>
        <w:rPr>
          <w:szCs w:val="24"/>
        </w:rPr>
        <w:t xml:space="preserve">Vaccination </w:t>
      </w:r>
      <w:r w:rsidRPr="0027663B">
        <w:rPr>
          <w:szCs w:val="24"/>
        </w:rPr>
        <w:t>programme has successfully launched</w:t>
      </w:r>
      <w:r>
        <w:rPr>
          <w:szCs w:val="24"/>
        </w:rPr>
        <w:t xml:space="preserve"> in Wales</w:t>
      </w:r>
      <w:r w:rsidRPr="0027663B">
        <w:rPr>
          <w:szCs w:val="24"/>
        </w:rPr>
        <w:t xml:space="preserve">. </w:t>
      </w:r>
    </w:p>
    <w:p w14:paraId="615D8388" w14:textId="77777777" w:rsidR="000F3289" w:rsidRPr="000F3289" w:rsidRDefault="000F3289" w:rsidP="000F3289">
      <w:pPr>
        <w:pStyle w:val="ListParagraph"/>
        <w:numPr>
          <w:ilvl w:val="0"/>
          <w:numId w:val="17"/>
        </w:numPr>
        <w:ind w:left="851" w:hanging="567"/>
        <w:jc w:val="both"/>
        <w:rPr>
          <w:szCs w:val="24"/>
        </w:rPr>
      </w:pPr>
      <w:r>
        <w:rPr>
          <w:b/>
          <w:szCs w:val="24"/>
        </w:rPr>
        <w:t xml:space="preserve">Note </w:t>
      </w:r>
      <w:r w:rsidRPr="000F3289">
        <w:rPr>
          <w:szCs w:val="24"/>
        </w:rPr>
        <w:t>the significant contribution from Public Health Wales</w:t>
      </w:r>
    </w:p>
    <w:p w14:paraId="53236259" w14:textId="7A7ADC34" w:rsidR="008809F1" w:rsidRDefault="008809F1" w:rsidP="007C7229">
      <w:pPr>
        <w:jc w:val="both"/>
        <w:rPr>
          <w:szCs w:val="24"/>
        </w:rPr>
      </w:pPr>
    </w:p>
    <w:p w14:paraId="5B8EAA2B" w14:textId="77777777" w:rsidR="008809F1" w:rsidRDefault="008809F1" w:rsidP="007C7229">
      <w:pPr>
        <w:spacing w:after="200" w:line="276" w:lineRule="auto"/>
        <w:jc w:val="both"/>
        <w:rPr>
          <w:b/>
          <w:szCs w:val="24"/>
        </w:rPr>
      </w:pPr>
      <w:r>
        <w:rPr>
          <w:b/>
          <w:szCs w:val="24"/>
        </w:rPr>
        <w:br w:type="page"/>
      </w:r>
      <w:bookmarkStart w:id="5" w:name="_GoBack"/>
      <w:bookmarkEnd w:id="5"/>
    </w:p>
    <w:p w14:paraId="565EB48B" w14:textId="5652D23D" w:rsidR="008809F1" w:rsidRDefault="008809F1" w:rsidP="007C7229">
      <w:pPr>
        <w:jc w:val="both"/>
        <w:rPr>
          <w:b/>
          <w:szCs w:val="24"/>
        </w:rPr>
      </w:pPr>
      <w:r w:rsidRPr="008809F1">
        <w:rPr>
          <w:b/>
          <w:szCs w:val="24"/>
        </w:rPr>
        <w:lastRenderedPageBreak/>
        <w:t>Appendix</w:t>
      </w:r>
      <w:r w:rsidR="00A75811">
        <w:rPr>
          <w:b/>
          <w:szCs w:val="24"/>
        </w:rPr>
        <w:t xml:space="preserve"> 1</w:t>
      </w:r>
    </w:p>
    <w:p w14:paraId="26F39313" w14:textId="436CFEFA" w:rsidR="008809F1" w:rsidRDefault="008809F1" w:rsidP="007C7229">
      <w:pPr>
        <w:jc w:val="both"/>
        <w:rPr>
          <w:b/>
          <w:szCs w:val="24"/>
        </w:rPr>
      </w:pPr>
    </w:p>
    <w:p w14:paraId="234BC40F" w14:textId="77777777" w:rsidR="008809F1" w:rsidRPr="00B7780C" w:rsidRDefault="008809F1" w:rsidP="00C23150">
      <w:pPr>
        <w:jc w:val="both"/>
      </w:pPr>
      <w:r>
        <w:t>Table: JCVI priority groups</w:t>
      </w:r>
    </w:p>
    <w:p w14:paraId="2CAD40ED" w14:textId="77777777" w:rsidR="008809F1" w:rsidRDefault="008809F1" w:rsidP="007C7229">
      <w:pPr>
        <w:jc w:val="both"/>
      </w:pPr>
      <w:r>
        <w:rPr>
          <w:noProof/>
          <w:lang w:eastAsia="en-GB"/>
        </w:rPr>
        <w:drawing>
          <wp:inline distT="0" distB="0" distL="0" distR="0" wp14:anchorId="26F1BAF4" wp14:editId="05598F00">
            <wp:extent cx="4290060" cy="2473648"/>
            <wp:effectExtent l="0" t="0" r="0" b="3175"/>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5"/>
                    <a:stretch>
                      <a:fillRect/>
                    </a:stretch>
                  </pic:blipFill>
                  <pic:spPr>
                    <a:xfrm>
                      <a:off x="0" y="0"/>
                      <a:ext cx="4475187" cy="2580392"/>
                    </a:xfrm>
                    <a:prstGeom prst="rect">
                      <a:avLst/>
                    </a:prstGeom>
                  </pic:spPr>
                </pic:pic>
              </a:graphicData>
            </a:graphic>
          </wp:inline>
        </w:drawing>
      </w:r>
    </w:p>
    <w:p w14:paraId="0DA096E6" w14:textId="77777777" w:rsidR="008809F1" w:rsidRDefault="008809F1" w:rsidP="007C7229">
      <w:pPr>
        <w:jc w:val="both"/>
      </w:pPr>
      <w:r>
        <w:t xml:space="preserve">Source: </w:t>
      </w:r>
      <w:hyperlink r:id="rId16" w:history="1">
        <w:r w:rsidRPr="00060C67">
          <w:rPr>
            <w:rStyle w:val="Hyperlink"/>
          </w:rPr>
          <w:t>https://assets.publishing.service.gov.uk/government/uploads/system/uploads/attachment_data/file/941450/Greenbook_chapter_14a_v2.pdf</w:t>
        </w:r>
      </w:hyperlink>
      <w:r>
        <w:t xml:space="preserve"> </w:t>
      </w:r>
    </w:p>
    <w:p w14:paraId="64C99E04" w14:textId="77777777" w:rsidR="008809F1" w:rsidRDefault="008809F1" w:rsidP="007C7229">
      <w:pPr>
        <w:jc w:val="both"/>
      </w:pPr>
    </w:p>
    <w:p w14:paraId="7BC12443" w14:textId="77777777" w:rsidR="008809F1" w:rsidRDefault="008809F1" w:rsidP="007C7229">
      <w:pPr>
        <w:jc w:val="both"/>
      </w:pPr>
    </w:p>
    <w:p w14:paraId="4C7E5E3A" w14:textId="2F3E153A" w:rsidR="008809F1" w:rsidRDefault="008809F1" w:rsidP="007C7229">
      <w:pPr>
        <w:jc w:val="both"/>
      </w:pPr>
      <w:r>
        <w:t>An example of one of the resources developed by PHW:</w:t>
      </w:r>
    </w:p>
    <w:p w14:paraId="7A4DFB8B" w14:textId="70FF18C7" w:rsidR="008809F1" w:rsidRDefault="008809F1" w:rsidP="007C7229">
      <w:pPr>
        <w:jc w:val="both"/>
        <w:rPr>
          <w:b/>
          <w:szCs w:val="24"/>
        </w:rPr>
      </w:pPr>
    </w:p>
    <w:p w14:paraId="05667D03" w14:textId="2A96452C" w:rsidR="008809F1" w:rsidRPr="008809F1" w:rsidRDefault="008809F1" w:rsidP="007C7229">
      <w:pPr>
        <w:jc w:val="both"/>
        <w:rPr>
          <w:b/>
          <w:szCs w:val="24"/>
        </w:rPr>
      </w:pPr>
      <w:r w:rsidRPr="00A67F64">
        <w:rPr>
          <w:noProof/>
          <w:lang w:eastAsia="en-GB"/>
        </w:rPr>
        <w:drawing>
          <wp:inline distT="0" distB="0" distL="0" distR="0" wp14:anchorId="61E865D3" wp14:editId="26AEA9FD">
            <wp:extent cx="5295900" cy="43415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42695" cy="4379952"/>
                    </a:xfrm>
                    <a:prstGeom prst="rect">
                      <a:avLst/>
                    </a:prstGeom>
                  </pic:spPr>
                </pic:pic>
              </a:graphicData>
            </a:graphic>
          </wp:inline>
        </w:drawing>
      </w:r>
    </w:p>
    <w:p w14:paraId="5F74B988" w14:textId="77777777" w:rsidR="00506C55" w:rsidRPr="001C60B5" w:rsidRDefault="00506C55" w:rsidP="007C7229">
      <w:pPr>
        <w:jc w:val="both"/>
        <w:rPr>
          <w:color w:val="FF0000"/>
          <w:szCs w:val="24"/>
        </w:rPr>
      </w:pPr>
    </w:p>
    <w:sectPr w:rsidR="00506C55" w:rsidRPr="001C60B5" w:rsidSect="00E2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3C51C" w14:textId="77777777" w:rsidR="000001FA" w:rsidRDefault="000001FA" w:rsidP="00497F39">
      <w:r>
        <w:separator/>
      </w:r>
    </w:p>
  </w:endnote>
  <w:endnote w:type="continuationSeparator" w:id="0">
    <w:p w14:paraId="0FCEF8D0" w14:textId="77777777" w:rsidR="000001FA" w:rsidRDefault="000001FA"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6"/>
      <w:gridCol w:w="2992"/>
    </w:tblGrid>
    <w:tr w:rsidR="007623DA" w:rsidRPr="00511AFF" w14:paraId="5F74B99C" w14:textId="77777777" w:rsidTr="003B7361">
      <w:tc>
        <w:tcPr>
          <w:tcW w:w="3100" w:type="dxa"/>
        </w:tcPr>
        <w:p w14:paraId="5F74B999" w14:textId="5280B10F" w:rsidR="007623DA" w:rsidRPr="00511AFF" w:rsidRDefault="007623DA" w:rsidP="0027663B">
          <w:pPr>
            <w:pStyle w:val="Footer"/>
            <w:tabs>
              <w:tab w:val="right" w:pos="9090"/>
            </w:tabs>
            <w:jc w:val="center"/>
            <w:rPr>
              <w:b/>
              <w:sz w:val="20"/>
            </w:rPr>
          </w:pPr>
          <w:r w:rsidRPr="00511AFF">
            <w:rPr>
              <w:b/>
              <w:sz w:val="20"/>
            </w:rPr>
            <w:t>Date</w:t>
          </w:r>
          <w:r w:rsidRPr="0027663B">
            <w:rPr>
              <w:b/>
              <w:sz w:val="20"/>
            </w:rPr>
            <w:t xml:space="preserve">: </w:t>
          </w:r>
          <w:r w:rsidRPr="0027663B">
            <w:rPr>
              <w:sz w:val="20"/>
            </w:rPr>
            <w:t xml:space="preserve"> </w:t>
          </w:r>
          <w:r w:rsidR="0027663B" w:rsidRPr="0027663B">
            <w:rPr>
              <w:sz w:val="20"/>
            </w:rPr>
            <w:t>10/12/2020</w:t>
          </w:r>
        </w:p>
      </w:tc>
      <w:tc>
        <w:tcPr>
          <w:tcW w:w="3100" w:type="dxa"/>
        </w:tcPr>
        <w:p w14:paraId="5F74B99A" w14:textId="7D72DE69" w:rsidR="007623DA" w:rsidRPr="00511AFF" w:rsidRDefault="007623DA" w:rsidP="002D4ABD">
          <w:pPr>
            <w:pStyle w:val="Footer"/>
            <w:tabs>
              <w:tab w:val="center" w:pos="1433"/>
              <w:tab w:val="right" w:pos="2866"/>
              <w:tab w:val="right" w:pos="9090"/>
            </w:tabs>
            <w:jc w:val="center"/>
            <w:rPr>
              <w:b/>
              <w:sz w:val="20"/>
            </w:rPr>
          </w:pPr>
          <w:r w:rsidRPr="00511AFF">
            <w:rPr>
              <w:b/>
              <w:sz w:val="20"/>
            </w:rPr>
            <w:t>Version</w:t>
          </w:r>
          <w:r w:rsidRPr="0027663B">
            <w:rPr>
              <w:b/>
              <w:sz w:val="20"/>
            </w:rPr>
            <w:t>:</w:t>
          </w:r>
          <w:r w:rsidRPr="0027663B">
            <w:rPr>
              <w:sz w:val="20"/>
            </w:rPr>
            <w:t xml:space="preserve"> </w:t>
          </w:r>
          <w:r w:rsidR="0027663B" w:rsidRPr="0027663B">
            <w:rPr>
              <w:sz w:val="20"/>
            </w:rPr>
            <w:t>v1</w:t>
          </w:r>
          <w:r w:rsidR="00284769">
            <w:rPr>
              <w:sz w:val="20"/>
            </w:rPr>
            <w:t>c</w:t>
          </w:r>
        </w:p>
      </w:tc>
      <w:tc>
        <w:tcPr>
          <w:tcW w:w="3101" w:type="dxa"/>
        </w:tcPr>
        <w:p w14:paraId="5F74B99B" w14:textId="3DB3C252" w:rsidR="007623DA" w:rsidRPr="00511AFF" w:rsidRDefault="007623DA"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0F3289">
            <w:rPr>
              <w:rStyle w:val="PageNumber"/>
              <w:noProof/>
              <w:sz w:val="20"/>
            </w:rPr>
            <w:t>8</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0F3289">
            <w:rPr>
              <w:rStyle w:val="PageNumber"/>
              <w:noProof/>
              <w:sz w:val="20"/>
            </w:rPr>
            <w:t>8</w:t>
          </w:r>
          <w:r w:rsidRPr="00511AFF">
            <w:rPr>
              <w:rStyle w:val="PageNumber"/>
              <w:sz w:val="20"/>
            </w:rPr>
            <w:fldChar w:fldCharType="end"/>
          </w:r>
        </w:p>
      </w:tc>
    </w:tr>
  </w:tbl>
  <w:p w14:paraId="5F74B99D" w14:textId="77777777" w:rsidR="007623DA" w:rsidRPr="00FA7943" w:rsidRDefault="007623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64734" w14:textId="77777777" w:rsidR="000001FA" w:rsidRDefault="000001FA" w:rsidP="00497F39">
      <w:r>
        <w:separator/>
      </w:r>
    </w:p>
  </w:footnote>
  <w:footnote w:type="continuationSeparator" w:id="0">
    <w:p w14:paraId="50170FC5" w14:textId="77777777" w:rsidR="000001FA" w:rsidRDefault="000001FA" w:rsidP="00497F39">
      <w:r>
        <w:continuationSeparator/>
      </w:r>
    </w:p>
  </w:footnote>
  <w:footnote w:id="1">
    <w:p w14:paraId="0ED1E283" w14:textId="66DAE810" w:rsidR="00400009" w:rsidRPr="00B977EC" w:rsidRDefault="00400009" w:rsidP="00400009">
      <w:pPr>
        <w:pStyle w:val="FootnoteText"/>
      </w:pPr>
      <w:r w:rsidRPr="00B977EC">
        <w:rPr>
          <w:rStyle w:val="FootnoteReference"/>
        </w:rPr>
        <w:footnoteRef/>
      </w:r>
      <w:r w:rsidRPr="00B977EC">
        <w:t xml:space="preserve"> </w:t>
      </w:r>
      <w:hyperlink r:id="rId1" w:history="1">
        <w:r w:rsidR="00266096" w:rsidRPr="00A0342A">
          <w:rPr>
            <w:rStyle w:val="Hyperlink"/>
            <w:color w:val="auto"/>
            <w:u w:val="none"/>
          </w:rPr>
          <w:t>Written Statement: COVID-19 Vaccine Deployment in Wales (2 December 2020) | GOV.WALES</w:t>
        </w:r>
      </w:hyperlink>
      <w:r w:rsidR="00266096">
        <w:rPr>
          <w:rStyle w:val="Hyperlink"/>
          <w:color w:val="auto"/>
          <w:u w:val="none"/>
        </w:rPr>
        <w:t xml:space="preserve"> </w:t>
      </w:r>
      <w:r w:rsidR="00266096" w:rsidRPr="00B977EC">
        <w:t xml:space="preserve"> </w:t>
      </w:r>
      <w:hyperlink r:id="rId2" w:history="1"/>
      <w:r w:rsidR="00266096">
        <w:rPr>
          <w:rStyle w:val="Hyperlink"/>
          <w:color w:val="auto"/>
          <w:u w:val="none"/>
        </w:rPr>
        <w:t xml:space="preserve"> </w:t>
      </w:r>
      <w:r w:rsidRPr="00B977EC">
        <w:t xml:space="preserve"> </w:t>
      </w:r>
    </w:p>
  </w:footnote>
  <w:footnote w:id="2">
    <w:p w14:paraId="732DCB9F" w14:textId="7B26BB53" w:rsidR="00266096" w:rsidRDefault="00266096">
      <w:pPr>
        <w:pStyle w:val="FootnoteText"/>
      </w:pPr>
      <w:r>
        <w:rPr>
          <w:rStyle w:val="FootnoteReference"/>
        </w:rPr>
        <w:footnoteRef/>
      </w:r>
      <w:r>
        <w:t xml:space="preserve"> </w:t>
      </w:r>
      <w:hyperlink r:id="rId3" w:history="1">
        <w:r w:rsidRPr="00BC63CF">
          <w:rPr>
            <w:rStyle w:val="Hyperlink"/>
          </w:rPr>
          <w:t>https://phw.nhs.wales/topics/immunisation-and-vaccines/covid-19-vaccination-information/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CD3"/>
    <w:multiLevelType w:val="hybridMultilevel"/>
    <w:tmpl w:val="868412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015579"/>
    <w:multiLevelType w:val="hybridMultilevel"/>
    <w:tmpl w:val="964A2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7B516F"/>
    <w:multiLevelType w:val="hybridMultilevel"/>
    <w:tmpl w:val="EC34447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2" w15:restartNumberingAfterBreak="0">
    <w:nsid w:val="7A4F0D6B"/>
    <w:multiLevelType w:val="hybridMultilevel"/>
    <w:tmpl w:val="C478E85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B204501"/>
    <w:multiLevelType w:val="hybridMultilevel"/>
    <w:tmpl w:val="E03C0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9"/>
  </w:num>
  <w:num w:numId="3">
    <w:abstractNumId w:val="24"/>
  </w:num>
  <w:num w:numId="4">
    <w:abstractNumId w:val="14"/>
  </w:num>
  <w:num w:numId="5">
    <w:abstractNumId w:val="1"/>
  </w:num>
  <w:num w:numId="6">
    <w:abstractNumId w:val="8"/>
  </w:num>
  <w:num w:numId="7">
    <w:abstractNumId w:val="7"/>
  </w:num>
  <w:num w:numId="8">
    <w:abstractNumId w:val="13"/>
  </w:num>
  <w:num w:numId="9">
    <w:abstractNumId w:val="16"/>
  </w:num>
  <w:num w:numId="10">
    <w:abstractNumId w:val="6"/>
  </w:num>
  <w:num w:numId="11">
    <w:abstractNumId w:val="17"/>
  </w:num>
  <w:num w:numId="12">
    <w:abstractNumId w:val="4"/>
  </w:num>
  <w:num w:numId="13">
    <w:abstractNumId w:val="10"/>
  </w:num>
  <w:num w:numId="14">
    <w:abstractNumId w:val="12"/>
  </w:num>
  <w:num w:numId="15">
    <w:abstractNumId w:val="3"/>
  </w:num>
  <w:num w:numId="16">
    <w:abstractNumId w:val="21"/>
  </w:num>
  <w:num w:numId="17">
    <w:abstractNumId w:val="15"/>
  </w:num>
  <w:num w:numId="18">
    <w:abstractNumId w:val="20"/>
  </w:num>
  <w:num w:numId="19">
    <w:abstractNumId w:val="19"/>
  </w:num>
  <w:num w:numId="20">
    <w:abstractNumId w:val="2"/>
  </w:num>
  <w:num w:numId="21">
    <w:abstractNumId w:val="18"/>
  </w:num>
  <w:num w:numId="22">
    <w:abstractNumId w:val="5"/>
  </w:num>
  <w:num w:numId="23">
    <w:abstractNumId w:val="0"/>
  </w:num>
  <w:num w:numId="24">
    <w:abstractNumId w:val="2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01FA"/>
    <w:rsid w:val="000037FD"/>
    <w:rsid w:val="0000561A"/>
    <w:rsid w:val="00051CDC"/>
    <w:rsid w:val="00051E74"/>
    <w:rsid w:val="0005502D"/>
    <w:rsid w:val="00057CFB"/>
    <w:rsid w:val="000716F7"/>
    <w:rsid w:val="00097ACD"/>
    <w:rsid w:val="000B306B"/>
    <w:rsid w:val="000F3289"/>
    <w:rsid w:val="000F46F4"/>
    <w:rsid w:val="000F4B57"/>
    <w:rsid w:val="000F5A72"/>
    <w:rsid w:val="001107EE"/>
    <w:rsid w:val="00121679"/>
    <w:rsid w:val="00123FD2"/>
    <w:rsid w:val="00126327"/>
    <w:rsid w:val="001272F6"/>
    <w:rsid w:val="0013075E"/>
    <w:rsid w:val="00133373"/>
    <w:rsid w:val="00141FC5"/>
    <w:rsid w:val="00174118"/>
    <w:rsid w:val="001B2A97"/>
    <w:rsid w:val="001B3428"/>
    <w:rsid w:val="001C02C6"/>
    <w:rsid w:val="001C305C"/>
    <w:rsid w:val="001C560D"/>
    <w:rsid w:val="001C60B5"/>
    <w:rsid w:val="001E5B78"/>
    <w:rsid w:val="00202AB8"/>
    <w:rsid w:val="002054AB"/>
    <w:rsid w:val="00211B9D"/>
    <w:rsid w:val="00214BA4"/>
    <w:rsid w:val="0022713F"/>
    <w:rsid w:val="00250088"/>
    <w:rsid w:val="00257CD2"/>
    <w:rsid w:val="00262C75"/>
    <w:rsid w:val="00266096"/>
    <w:rsid w:val="00273D26"/>
    <w:rsid w:val="0027663B"/>
    <w:rsid w:val="00284769"/>
    <w:rsid w:val="002B0BC9"/>
    <w:rsid w:val="002B712E"/>
    <w:rsid w:val="002C0A83"/>
    <w:rsid w:val="002C170B"/>
    <w:rsid w:val="002D11B1"/>
    <w:rsid w:val="002D4ABD"/>
    <w:rsid w:val="002E3478"/>
    <w:rsid w:val="002E6258"/>
    <w:rsid w:val="002F2FFC"/>
    <w:rsid w:val="002F41BF"/>
    <w:rsid w:val="003018F5"/>
    <w:rsid w:val="00304FD0"/>
    <w:rsid w:val="00305721"/>
    <w:rsid w:val="0032064F"/>
    <w:rsid w:val="00322D2E"/>
    <w:rsid w:val="00326EC6"/>
    <w:rsid w:val="00337864"/>
    <w:rsid w:val="00345CAF"/>
    <w:rsid w:val="003461AF"/>
    <w:rsid w:val="00371966"/>
    <w:rsid w:val="003A3414"/>
    <w:rsid w:val="003B40BB"/>
    <w:rsid w:val="003B7361"/>
    <w:rsid w:val="003B7B09"/>
    <w:rsid w:val="003C6952"/>
    <w:rsid w:val="003F3D59"/>
    <w:rsid w:val="003F3E7F"/>
    <w:rsid w:val="00400009"/>
    <w:rsid w:val="0040037A"/>
    <w:rsid w:val="00407604"/>
    <w:rsid w:val="00427779"/>
    <w:rsid w:val="004375CA"/>
    <w:rsid w:val="00455F4E"/>
    <w:rsid w:val="0046169C"/>
    <w:rsid w:val="00461F10"/>
    <w:rsid w:val="00477627"/>
    <w:rsid w:val="00480353"/>
    <w:rsid w:val="004939C2"/>
    <w:rsid w:val="00497F39"/>
    <w:rsid w:val="004A4626"/>
    <w:rsid w:val="004A6253"/>
    <w:rsid w:val="004B31A5"/>
    <w:rsid w:val="004D632B"/>
    <w:rsid w:val="004F24A1"/>
    <w:rsid w:val="00504A87"/>
    <w:rsid w:val="00506C55"/>
    <w:rsid w:val="0052328C"/>
    <w:rsid w:val="00536FA4"/>
    <w:rsid w:val="00544C9E"/>
    <w:rsid w:val="00554429"/>
    <w:rsid w:val="0055720E"/>
    <w:rsid w:val="00564789"/>
    <w:rsid w:val="005767ED"/>
    <w:rsid w:val="00577744"/>
    <w:rsid w:val="00590736"/>
    <w:rsid w:val="005B4E75"/>
    <w:rsid w:val="005C7D40"/>
    <w:rsid w:val="005D5FC4"/>
    <w:rsid w:val="005E33CB"/>
    <w:rsid w:val="00607476"/>
    <w:rsid w:val="00611958"/>
    <w:rsid w:val="006310BB"/>
    <w:rsid w:val="00657B25"/>
    <w:rsid w:val="00660772"/>
    <w:rsid w:val="00672175"/>
    <w:rsid w:val="00680248"/>
    <w:rsid w:val="00680CAE"/>
    <w:rsid w:val="0068275A"/>
    <w:rsid w:val="0068334E"/>
    <w:rsid w:val="006C4A51"/>
    <w:rsid w:val="006D0542"/>
    <w:rsid w:val="006F654D"/>
    <w:rsid w:val="00713972"/>
    <w:rsid w:val="0072060D"/>
    <w:rsid w:val="00730291"/>
    <w:rsid w:val="00737008"/>
    <w:rsid w:val="00754449"/>
    <w:rsid w:val="007623DA"/>
    <w:rsid w:val="007774C7"/>
    <w:rsid w:val="0078297C"/>
    <w:rsid w:val="007A47F5"/>
    <w:rsid w:val="007C7229"/>
    <w:rsid w:val="007D01C9"/>
    <w:rsid w:val="007D03B8"/>
    <w:rsid w:val="007D04C7"/>
    <w:rsid w:val="007D79E4"/>
    <w:rsid w:val="007E45DA"/>
    <w:rsid w:val="007F7EA7"/>
    <w:rsid w:val="008036D5"/>
    <w:rsid w:val="00805FAF"/>
    <w:rsid w:val="00824D05"/>
    <w:rsid w:val="00847120"/>
    <w:rsid w:val="008524C0"/>
    <w:rsid w:val="00857182"/>
    <w:rsid w:val="008653E0"/>
    <w:rsid w:val="00872DD5"/>
    <w:rsid w:val="0087331D"/>
    <w:rsid w:val="00880111"/>
    <w:rsid w:val="008809F1"/>
    <w:rsid w:val="008902AA"/>
    <w:rsid w:val="00890A9D"/>
    <w:rsid w:val="00893619"/>
    <w:rsid w:val="008A2D5F"/>
    <w:rsid w:val="008A7B92"/>
    <w:rsid w:val="008C12E0"/>
    <w:rsid w:val="008C745A"/>
    <w:rsid w:val="008D4CCD"/>
    <w:rsid w:val="008F1F7E"/>
    <w:rsid w:val="00911572"/>
    <w:rsid w:val="00912C7B"/>
    <w:rsid w:val="00916053"/>
    <w:rsid w:val="00921F72"/>
    <w:rsid w:val="009233B4"/>
    <w:rsid w:val="00923A14"/>
    <w:rsid w:val="009328E2"/>
    <w:rsid w:val="009448F2"/>
    <w:rsid w:val="00955486"/>
    <w:rsid w:val="00961E2C"/>
    <w:rsid w:val="00980587"/>
    <w:rsid w:val="00980F99"/>
    <w:rsid w:val="0098365C"/>
    <w:rsid w:val="009878C1"/>
    <w:rsid w:val="00987E54"/>
    <w:rsid w:val="009B2519"/>
    <w:rsid w:val="009C0B0C"/>
    <w:rsid w:val="009E71F6"/>
    <w:rsid w:val="009F7F6B"/>
    <w:rsid w:val="00A06B87"/>
    <w:rsid w:val="00A250EA"/>
    <w:rsid w:val="00A25B36"/>
    <w:rsid w:val="00A279F5"/>
    <w:rsid w:val="00A34009"/>
    <w:rsid w:val="00A435F1"/>
    <w:rsid w:val="00A56D26"/>
    <w:rsid w:val="00A60C7E"/>
    <w:rsid w:val="00A60D6C"/>
    <w:rsid w:val="00A72B4F"/>
    <w:rsid w:val="00A75811"/>
    <w:rsid w:val="00A92911"/>
    <w:rsid w:val="00AB112A"/>
    <w:rsid w:val="00AC45EB"/>
    <w:rsid w:val="00AC5841"/>
    <w:rsid w:val="00AD7227"/>
    <w:rsid w:val="00AE3D01"/>
    <w:rsid w:val="00AF3146"/>
    <w:rsid w:val="00B00419"/>
    <w:rsid w:val="00B4783C"/>
    <w:rsid w:val="00B47936"/>
    <w:rsid w:val="00B47D9C"/>
    <w:rsid w:val="00B509E3"/>
    <w:rsid w:val="00B52B29"/>
    <w:rsid w:val="00B80218"/>
    <w:rsid w:val="00B936DE"/>
    <w:rsid w:val="00B94BB0"/>
    <w:rsid w:val="00BA3E2A"/>
    <w:rsid w:val="00BC39AE"/>
    <w:rsid w:val="00BC5B9C"/>
    <w:rsid w:val="00BF3E39"/>
    <w:rsid w:val="00C05D9F"/>
    <w:rsid w:val="00C1444B"/>
    <w:rsid w:val="00C17DDB"/>
    <w:rsid w:val="00C23150"/>
    <w:rsid w:val="00C84EE5"/>
    <w:rsid w:val="00C87F23"/>
    <w:rsid w:val="00C9163D"/>
    <w:rsid w:val="00CA4D3A"/>
    <w:rsid w:val="00CA4DA9"/>
    <w:rsid w:val="00CA5841"/>
    <w:rsid w:val="00CA7E0D"/>
    <w:rsid w:val="00CB0E6B"/>
    <w:rsid w:val="00CC764D"/>
    <w:rsid w:val="00CE6807"/>
    <w:rsid w:val="00CE6EB8"/>
    <w:rsid w:val="00CF7674"/>
    <w:rsid w:val="00D147A1"/>
    <w:rsid w:val="00D25D84"/>
    <w:rsid w:val="00D26E48"/>
    <w:rsid w:val="00D34F08"/>
    <w:rsid w:val="00D41503"/>
    <w:rsid w:val="00D45A01"/>
    <w:rsid w:val="00D55785"/>
    <w:rsid w:val="00D60F40"/>
    <w:rsid w:val="00D64BA8"/>
    <w:rsid w:val="00D713DC"/>
    <w:rsid w:val="00D74461"/>
    <w:rsid w:val="00D87080"/>
    <w:rsid w:val="00DA2383"/>
    <w:rsid w:val="00DC488B"/>
    <w:rsid w:val="00DC594E"/>
    <w:rsid w:val="00DC7EE7"/>
    <w:rsid w:val="00DE2218"/>
    <w:rsid w:val="00DE7DF5"/>
    <w:rsid w:val="00DF60B6"/>
    <w:rsid w:val="00E01426"/>
    <w:rsid w:val="00E02A10"/>
    <w:rsid w:val="00E07F66"/>
    <w:rsid w:val="00E11F44"/>
    <w:rsid w:val="00E24001"/>
    <w:rsid w:val="00E263D4"/>
    <w:rsid w:val="00E333F3"/>
    <w:rsid w:val="00E343B1"/>
    <w:rsid w:val="00E371EA"/>
    <w:rsid w:val="00E37B54"/>
    <w:rsid w:val="00E56DBB"/>
    <w:rsid w:val="00E805CD"/>
    <w:rsid w:val="00EA23FA"/>
    <w:rsid w:val="00EA4379"/>
    <w:rsid w:val="00EB0841"/>
    <w:rsid w:val="00EC6188"/>
    <w:rsid w:val="00EE1810"/>
    <w:rsid w:val="00EE7097"/>
    <w:rsid w:val="00EF229F"/>
    <w:rsid w:val="00F2582A"/>
    <w:rsid w:val="00F30C8E"/>
    <w:rsid w:val="00F31C10"/>
    <w:rsid w:val="00F47896"/>
    <w:rsid w:val="00F479A1"/>
    <w:rsid w:val="00F653E0"/>
    <w:rsid w:val="00F768D0"/>
    <w:rsid w:val="00F95B15"/>
    <w:rsid w:val="00FA62CB"/>
    <w:rsid w:val="00FA7943"/>
    <w:rsid w:val="00FB65B3"/>
    <w:rsid w:val="00FB67EB"/>
    <w:rsid w:val="00FC2859"/>
    <w:rsid w:val="00FC7FAE"/>
    <w:rsid w:val="00FD1D43"/>
    <w:rsid w:val="00FF0106"/>
    <w:rsid w:val="00FF1936"/>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74B8E6"/>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400009"/>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00009"/>
    <w:rPr>
      <w:sz w:val="20"/>
      <w:szCs w:val="20"/>
    </w:rPr>
  </w:style>
  <w:style w:type="character" w:styleId="FootnoteReference">
    <w:name w:val="footnote reference"/>
    <w:basedOn w:val="DefaultParagraphFont"/>
    <w:uiPriority w:val="99"/>
    <w:semiHidden/>
    <w:unhideWhenUsed/>
    <w:rsid w:val="004000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les.nhs.uk/governance-emanual/how-the-health-and-care-standards-are-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wis.wales.nhs.uk/sitesplus/888/page/64548"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1450/Greenbook_chapter_14a_v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phw.nhs.wales/topics/immunisation-and-vaccines/covid-19-vaccination-information/" TargetMode="External"/><Relationship Id="rId2" Type="http://schemas.openxmlformats.org/officeDocument/2006/relationships/hyperlink" Target="https://gov.wales/written-statement-covid-19-vaccine-deployment-wales-0" TargetMode="External"/><Relationship Id="rId1" Type="http://schemas.openxmlformats.org/officeDocument/2006/relationships/hyperlink" Target="https://gov.wales/written-statement-covid-19-vaccine-deployment-wales-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9B8CED89FE6E489186EB32EA798E74F5"/>
        <w:category>
          <w:name w:val="General"/>
          <w:gallery w:val="placeholder"/>
        </w:category>
        <w:types>
          <w:type w:val="bbPlcHdr"/>
        </w:types>
        <w:behaviors>
          <w:behavior w:val="content"/>
        </w:behaviors>
        <w:guid w:val="{56AD932B-BF98-4DAC-B615-EED0FFC427B6}"/>
      </w:docPartPr>
      <w:docPartBody>
        <w:p w:rsidR="00942F3C" w:rsidRDefault="0098440F" w:rsidP="0098440F">
          <w:pPr>
            <w:pStyle w:val="9B8CED89FE6E489186EB32EA798E74F51"/>
          </w:pPr>
          <w:r w:rsidRPr="001C60B5">
            <w:rPr>
              <w:rStyle w:val="PlaceholderText"/>
              <w:szCs w:val="24"/>
            </w:rPr>
            <w:t>Choose an item.</w:t>
          </w:r>
        </w:p>
      </w:docPartBody>
    </w:docPart>
    <w:docPart>
      <w:docPartPr>
        <w:name w:val="19A444ACBEA34578BA0CB31422DD2377"/>
        <w:category>
          <w:name w:val="General"/>
          <w:gallery w:val="placeholder"/>
        </w:category>
        <w:types>
          <w:type w:val="bbPlcHdr"/>
        </w:types>
        <w:behaviors>
          <w:behavior w:val="content"/>
        </w:behaviors>
        <w:guid w:val="{A4BEB4AF-8624-42C7-80AB-0B70F3C62545}"/>
      </w:docPartPr>
      <w:docPartBody>
        <w:p w:rsidR="00942F3C" w:rsidRDefault="0098440F" w:rsidP="0098440F">
          <w:pPr>
            <w:pStyle w:val="19A444ACBEA34578BA0CB31422DD23771"/>
          </w:pPr>
          <w:r w:rsidRPr="001C60B5">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
      <w:docPartPr>
        <w:name w:val="E19A39A2DC34427782303866B501EF52"/>
        <w:category>
          <w:name w:val="General"/>
          <w:gallery w:val="placeholder"/>
        </w:category>
        <w:types>
          <w:type w:val="bbPlcHdr"/>
        </w:types>
        <w:behaviors>
          <w:behavior w:val="content"/>
        </w:behaviors>
        <w:guid w:val="{F7EC3352-105C-477C-838D-AD061A4E5EC1}"/>
      </w:docPartPr>
      <w:docPartBody>
        <w:p w:rsidR="00CF449E" w:rsidRDefault="004838BF" w:rsidP="004838BF">
          <w:pPr>
            <w:pStyle w:val="E19A39A2DC34427782303866B501EF52"/>
          </w:pPr>
          <w:r w:rsidRPr="0013075E">
            <w:rPr>
              <w:rStyle w:val="PlaceholderText"/>
              <w:szCs w:val="24"/>
            </w:rPr>
            <w:t>Choose an item.</w:t>
          </w:r>
        </w:p>
      </w:docPartBody>
    </w:docPart>
    <w:docPart>
      <w:docPartPr>
        <w:name w:val="4037A60F381647269327C3491F818BF7"/>
        <w:category>
          <w:name w:val="General"/>
          <w:gallery w:val="placeholder"/>
        </w:category>
        <w:types>
          <w:type w:val="bbPlcHdr"/>
        </w:types>
        <w:behaviors>
          <w:behavior w:val="content"/>
        </w:behaviors>
        <w:guid w:val="{DEAF250B-3D28-4BAE-AC23-C8CCE9FB5415}"/>
      </w:docPartPr>
      <w:docPartBody>
        <w:p w:rsidR="00CF449E" w:rsidRDefault="004838BF" w:rsidP="004838BF">
          <w:pPr>
            <w:pStyle w:val="4037A60F381647269327C3491F818BF7"/>
          </w:pPr>
          <w:r w:rsidRPr="0013075E">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42F3C"/>
    <w:rsid w:val="000A375C"/>
    <w:rsid w:val="000D2F27"/>
    <w:rsid w:val="000E4CB5"/>
    <w:rsid w:val="002967AF"/>
    <w:rsid w:val="00397642"/>
    <w:rsid w:val="003D3909"/>
    <w:rsid w:val="00430118"/>
    <w:rsid w:val="0045397F"/>
    <w:rsid w:val="004838BF"/>
    <w:rsid w:val="00514022"/>
    <w:rsid w:val="005A164A"/>
    <w:rsid w:val="00760EAF"/>
    <w:rsid w:val="00884126"/>
    <w:rsid w:val="00895D61"/>
    <w:rsid w:val="00942F3C"/>
    <w:rsid w:val="0098440F"/>
    <w:rsid w:val="00A12BED"/>
    <w:rsid w:val="00AA293F"/>
    <w:rsid w:val="00B518DF"/>
    <w:rsid w:val="00B661DB"/>
    <w:rsid w:val="00CF449E"/>
    <w:rsid w:val="00E861E6"/>
    <w:rsid w:val="00F66F0C"/>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8BF"/>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 w:type="paragraph" w:customStyle="1" w:styleId="5725F11CA3AB4BF7861CEAA56AA1D24C">
    <w:name w:val="5725F11CA3AB4BF7861CEAA56AA1D24C"/>
    <w:rsid w:val="0045397F"/>
    <w:pPr>
      <w:spacing w:after="160" w:line="259" w:lineRule="auto"/>
    </w:pPr>
  </w:style>
  <w:style w:type="paragraph" w:customStyle="1" w:styleId="7F00E96D11CF4307AC6771E4BB14B953">
    <w:name w:val="7F00E96D11CF4307AC6771E4BB14B953"/>
    <w:rsid w:val="0045397F"/>
    <w:pPr>
      <w:spacing w:after="160" w:line="259" w:lineRule="auto"/>
    </w:pPr>
  </w:style>
  <w:style w:type="paragraph" w:customStyle="1" w:styleId="5A753FB1D9E14086A408EB643958D1AA">
    <w:name w:val="5A753FB1D9E14086A408EB643958D1AA"/>
    <w:rsid w:val="004838BF"/>
    <w:pPr>
      <w:spacing w:after="160" w:line="259" w:lineRule="auto"/>
    </w:pPr>
  </w:style>
  <w:style w:type="paragraph" w:customStyle="1" w:styleId="F93CAFC8B8E34EB6A8C84A0546774BB5">
    <w:name w:val="F93CAFC8B8E34EB6A8C84A0546774BB5"/>
    <w:rsid w:val="004838BF"/>
    <w:pPr>
      <w:spacing w:after="160" w:line="259" w:lineRule="auto"/>
    </w:pPr>
  </w:style>
  <w:style w:type="paragraph" w:customStyle="1" w:styleId="E19A39A2DC34427782303866B501EF52">
    <w:name w:val="E19A39A2DC34427782303866B501EF52"/>
    <w:rsid w:val="004838BF"/>
    <w:pPr>
      <w:spacing w:after="160" w:line="259" w:lineRule="auto"/>
    </w:pPr>
  </w:style>
  <w:style w:type="paragraph" w:customStyle="1" w:styleId="4037A60F381647269327C3491F818BF7">
    <w:name w:val="4037A60F381647269327C3491F818BF7"/>
    <w:rsid w:val="004838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936CDCDE8F8418920914B3BFFF19C" ma:contentTypeVersion="12" ma:contentTypeDescription="Create a new document." ma:contentTypeScope="" ma:versionID="5bbc8a80845ef81851894684f8013077">
  <xsd:schema xmlns:xsd="http://www.w3.org/2001/XMLSchema" xmlns:xs="http://www.w3.org/2001/XMLSchema" xmlns:p="http://schemas.microsoft.com/office/2006/metadata/properties" xmlns:ns3="f30bebb2-c01f-48d0-81da-dc8b123879c2" xmlns:ns4="b7e247b7-cca8-429f-8688-16f83c8fba5f" targetNamespace="http://schemas.microsoft.com/office/2006/metadata/properties" ma:root="true" ma:fieldsID="7270533fd889365290c10fe03d5cded3" ns3:_="" ns4:_="">
    <xsd:import namespace="f30bebb2-c01f-48d0-81da-dc8b123879c2"/>
    <xsd:import namespace="b7e247b7-cca8-429f-8688-16f83c8fba5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bebb2-c01f-48d0-81da-dc8b1238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e247b7-cca8-429f-8688-16f83c8fba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A5BFB1-DBC1-4C9C-BF71-FDBD58C908F8}">
  <ds:schemaRefs>
    <ds:schemaRef ds:uri="http://schemas.microsoft.com/sharepoint/v3/contenttype/forms"/>
  </ds:schemaRefs>
</ds:datastoreItem>
</file>

<file path=customXml/itemProps2.xml><?xml version="1.0" encoding="utf-8"?>
<ds:datastoreItem xmlns:ds="http://schemas.openxmlformats.org/officeDocument/2006/customXml" ds:itemID="{EF2EA72E-3DA3-4A85-B5EB-4207DB8E6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bebb2-c01f-48d0-81da-dc8b123879c2"/>
    <ds:schemaRef ds:uri="b7e247b7-cca8-429f-8688-16f83c8f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E4FD6-408B-48BD-A088-9C453C496D1C}">
  <ds:schemaRefs>
    <ds:schemaRef ds:uri="f30bebb2-c01f-48d0-81da-dc8b123879c2"/>
    <ds:schemaRef ds:uri="b7e247b7-cca8-429f-8688-16f83c8fba5f"/>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694046A-2F34-4595-92EA-C8B2E639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1945</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Board and Committe template 2019</vt:lpstr>
    </vt:vector>
  </TitlesOfParts>
  <Company>Public Health Wales</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and Committe template 2019</dc:title>
  <dc:creator>Cathie Steele</dc:creator>
  <cp:keywords>board committee</cp:keywords>
  <cp:lastModifiedBy>Liz Blayney (Public Health Wales - No. 2 Capital Quarter)</cp:lastModifiedBy>
  <cp:revision>4</cp:revision>
  <cp:lastPrinted>2017-10-16T08:46:00Z</cp:lastPrinted>
  <dcterms:created xsi:type="dcterms:W3CDTF">2020-12-11T16:27:00Z</dcterms:created>
  <dcterms:modified xsi:type="dcterms:W3CDTF">2020-12-11T17:28:00Z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0x01010072F936CDCDE8F8418920914B3BFFF19C</vt:lpwstr>
  </property>
  <property fmtid="{D5CDD505-2E9C-101B-9397-08002B2CF9AE}" pid="3" name="_dlc_DocIdItemGuid">
    <vt:lpwstr>a1c43624-a7f3-40e9-a413-8921fd834b29</vt:lpwstr>
  </property>
  <property fmtid="{D5CDD505-2E9C-101B-9397-08002B2CF9AE}" pid="4" name="TaxKeyword">
    <vt:lpwstr>12;#board committee|4c59d375-e8fe-4895-99f7-de1ea7bd2bf6</vt:lpwstr>
  </property>
</Properties>
</file>